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C7745" w14:textId="44D19EBE" w:rsidR="005E2342" w:rsidRDefault="005E2342">
      <w:pPr>
        <w:pStyle w:val="CoverText"/>
        <w:jc w:val="left"/>
        <w:rPr>
          <w:bCs/>
          <w:sz w:val="20"/>
          <w:u w:val="none"/>
        </w:rPr>
      </w:pPr>
      <w:r>
        <w:rPr>
          <w:bCs/>
        </w:rPr>
        <w:t xml:space="preserve">Neutral Citation Number: </w:t>
      </w:r>
      <w:r w:rsidR="003C5D8E">
        <w:rPr>
          <w:bCs/>
        </w:rPr>
        <w:t>[2017] EWHC 450 (</w:t>
      </w:r>
      <w:proofErr w:type="gramStart"/>
      <w:r w:rsidR="003C5D8E">
        <w:rPr>
          <w:bCs/>
        </w:rPr>
        <w:t>Fam</w:t>
      </w:r>
      <w:proofErr w:type="gramEnd"/>
      <w:r w:rsidR="003C5D8E">
        <w:rPr>
          <w:bCs/>
        </w:rPr>
        <w:t>)</w:t>
      </w:r>
    </w:p>
    <w:p w14:paraId="1E488502" w14:textId="77777777" w:rsidR="005E2342" w:rsidRDefault="005E2342">
      <w:pPr>
        <w:pStyle w:val="CoverText"/>
        <w:rPr>
          <w:b/>
          <w:spacing w:val="-3"/>
        </w:rPr>
      </w:pPr>
      <w:r>
        <w:t xml:space="preserve">Case No: </w:t>
      </w:r>
      <w:r w:rsidR="008163EB">
        <w:t>LU15C03851</w:t>
      </w:r>
    </w:p>
    <w:p w14:paraId="5F2369A1"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6C981F66" w14:textId="77777777" w:rsidR="005E2342" w:rsidRDefault="008163EB">
      <w:pPr>
        <w:suppressAutoHyphens/>
        <w:rPr>
          <w:b/>
          <w:spacing w:val="-3"/>
          <w:u w:val="single"/>
        </w:rPr>
      </w:pPr>
      <w:r>
        <w:rPr>
          <w:b/>
          <w:spacing w:val="-3"/>
          <w:u w:val="single"/>
        </w:rPr>
        <w:t>FAMILY DIVISION</w:t>
      </w:r>
    </w:p>
    <w:p w14:paraId="22F98B0F" w14:textId="77777777" w:rsidR="005E2342" w:rsidRDefault="005E2342">
      <w:pPr>
        <w:suppressAutoHyphens/>
        <w:rPr>
          <w:b/>
          <w:spacing w:val="-3"/>
          <w:u w:val="single"/>
        </w:rPr>
      </w:pPr>
    </w:p>
    <w:p w14:paraId="5A5893CB" w14:textId="77777777" w:rsidR="005E2342" w:rsidRDefault="005E2342">
      <w:pPr>
        <w:pStyle w:val="CoverText"/>
      </w:pPr>
      <w:r>
        <w:t>Royal Courts of Justice</w:t>
      </w:r>
    </w:p>
    <w:p w14:paraId="132AA851" w14:textId="77777777" w:rsidR="005E2342" w:rsidRDefault="005E2342">
      <w:pPr>
        <w:pStyle w:val="CoverText"/>
      </w:pPr>
      <w:r>
        <w:t>Strand, London, WC2A 2LL</w:t>
      </w:r>
    </w:p>
    <w:p w14:paraId="6687EF89" w14:textId="77777777" w:rsidR="005E2342" w:rsidRDefault="005E2342">
      <w:pPr>
        <w:suppressAutoHyphens/>
        <w:jc w:val="right"/>
        <w:rPr>
          <w:spacing w:val="-3"/>
          <w:u w:val="single"/>
        </w:rPr>
      </w:pPr>
    </w:p>
    <w:p w14:paraId="07FD38E2" w14:textId="6115F6A0" w:rsidR="005E2342" w:rsidRDefault="005E2342">
      <w:pPr>
        <w:pStyle w:val="CoverText"/>
        <w:rPr>
          <w:b/>
        </w:rPr>
      </w:pPr>
      <w:r>
        <w:t xml:space="preserve">Date: </w:t>
      </w:r>
      <w:r w:rsidR="007E2631">
        <w:t>08/03/2017</w:t>
      </w:r>
    </w:p>
    <w:p w14:paraId="187BEEFA" w14:textId="77777777" w:rsidR="005E2342" w:rsidRDefault="005E2342">
      <w:pPr>
        <w:suppressAutoHyphens/>
        <w:rPr>
          <w:spacing w:val="-3"/>
        </w:rPr>
      </w:pPr>
    </w:p>
    <w:p w14:paraId="658B9B20" w14:textId="77777777" w:rsidR="005E2342" w:rsidRDefault="005E2342">
      <w:pPr>
        <w:suppressAutoHyphens/>
        <w:jc w:val="center"/>
        <w:rPr>
          <w:spacing w:val="-3"/>
        </w:rPr>
      </w:pPr>
      <w:proofErr w:type="gramStart"/>
      <w:r>
        <w:rPr>
          <w:b/>
          <w:spacing w:val="-3"/>
        </w:rPr>
        <w:t>Before</w:t>
      </w:r>
      <w:r>
        <w:rPr>
          <w:spacing w:val="-3"/>
        </w:rPr>
        <w:t xml:space="preserve"> :</w:t>
      </w:r>
      <w:proofErr w:type="gramEnd"/>
    </w:p>
    <w:p w14:paraId="37CAFE35" w14:textId="77777777" w:rsidR="005E2342" w:rsidRDefault="005E2342">
      <w:pPr>
        <w:suppressAutoHyphens/>
        <w:jc w:val="center"/>
        <w:rPr>
          <w:spacing w:val="-3"/>
        </w:rPr>
      </w:pPr>
    </w:p>
    <w:p w14:paraId="0186FA18" w14:textId="77777777" w:rsidR="005E2342" w:rsidRDefault="008163E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HONOURABLE MR. JUSTICE COBB</w:t>
      </w:r>
    </w:p>
    <w:p w14:paraId="32351F18" w14:textId="77777777" w:rsidR="005E2342" w:rsidRDefault="005E2342">
      <w:pPr>
        <w:suppressAutoHyphens/>
        <w:jc w:val="center"/>
        <w:rPr>
          <w:spacing w:val="-3"/>
        </w:rPr>
      </w:pPr>
      <w:r>
        <w:rPr>
          <w:spacing w:val="-3"/>
        </w:rPr>
        <w:t>- - - - - - - - - - - - - - - - - - - - -</w:t>
      </w:r>
    </w:p>
    <w:p w14:paraId="3AF6B449" w14:textId="77777777" w:rsidR="005E2342" w:rsidRDefault="005E2342">
      <w:pPr>
        <w:suppressAutoHyphens/>
        <w:jc w:val="center"/>
        <w:rPr>
          <w:b/>
          <w:spacing w:val="-3"/>
        </w:rPr>
      </w:pPr>
      <w:proofErr w:type="gramStart"/>
      <w:r>
        <w:rPr>
          <w:b/>
          <w:spacing w:val="-3"/>
        </w:rPr>
        <w:t>Between :</w:t>
      </w:r>
      <w:proofErr w:type="gramEnd"/>
    </w:p>
    <w:p w14:paraId="256F2E53"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4395E860" w14:textId="77777777">
        <w:trPr>
          <w:jc w:val="center"/>
        </w:trPr>
        <w:tc>
          <w:tcPr>
            <w:tcW w:w="1701" w:type="dxa"/>
          </w:tcPr>
          <w:p w14:paraId="3550E132" w14:textId="77777777" w:rsidR="005E2342" w:rsidRDefault="005E2342">
            <w:pPr>
              <w:suppressAutoHyphens/>
              <w:rPr>
                <w:b/>
                <w:spacing w:val="-3"/>
              </w:rPr>
            </w:pPr>
          </w:p>
        </w:tc>
        <w:tc>
          <w:tcPr>
            <w:tcW w:w="5333" w:type="dxa"/>
          </w:tcPr>
          <w:p w14:paraId="7ADC1A18" w14:textId="77777777" w:rsidR="005E2342" w:rsidRDefault="008163EB">
            <w:pPr>
              <w:suppressAutoHyphens/>
              <w:jc w:val="center"/>
              <w:rPr>
                <w:b/>
                <w:spacing w:val="-3"/>
              </w:rPr>
            </w:pPr>
            <w:r>
              <w:rPr>
                <w:b/>
                <w:spacing w:val="-3"/>
              </w:rPr>
              <w:t>LUTON BOROUGH COUNCIL</w:t>
            </w:r>
          </w:p>
        </w:tc>
        <w:tc>
          <w:tcPr>
            <w:tcW w:w="1707" w:type="dxa"/>
          </w:tcPr>
          <w:p w14:paraId="68E2103D" w14:textId="77777777" w:rsidR="005E2342" w:rsidRDefault="008163E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w:t>
            </w:r>
          </w:p>
        </w:tc>
      </w:tr>
      <w:tr w:rsidR="005E2342" w14:paraId="70AB9E95" w14:textId="77777777" w:rsidTr="00F45D2B">
        <w:trPr>
          <w:jc w:val="center"/>
        </w:trPr>
        <w:tc>
          <w:tcPr>
            <w:tcW w:w="1701" w:type="dxa"/>
          </w:tcPr>
          <w:p w14:paraId="69007A26" w14:textId="77777777" w:rsidR="005E2342" w:rsidRDefault="005E2342">
            <w:pPr>
              <w:suppressAutoHyphens/>
              <w:rPr>
                <w:b/>
                <w:spacing w:val="-3"/>
              </w:rPr>
            </w:pPr>
          </w:p>
        </w:tc>
        <w:tc>
          <w:tcPr>
            <w:tcW w:w="5333" w:type="dxa"/>
          </w:tcPr>
          <w:p w14:paraId="02260444" w14:textId="77777777" w:rsidR="006A471D" w:rsidRDefault="006A471D">
            <w:pPr>
              <w:suppressAutoHyphens/>
              <w:jc w:val="center"/>
              <w:rPr>
                <w:b/>
                <w:spacing w:val="-3"/>
              </w:rPr>
            </w:pPr>
          </w:p>
          <w:p w14:paraId="077E5F9A" w14:textId="54AEC929" w:rsidR="005E2342" w:rsidRDefault="005E2342">
            <w:pPr>
              <w:suppressAutoHyphens/>
              <w:jc w:val="center"/>
              <w:rPr>
                <w:b/>
                <w:spacing w:val="-3"/>
              </w:rPr>
            </w:pPr>
            <w:r>
              <w:rPr>
                <w:b/>
                <w:spacing w:val="-3"/>
              </w:rPr>
              <w:t xml:space="preserve">- and </w:t>
            </w:r>
            <w:r w:rsidR="006A471D">
              <w:rPr>
                <w:b/>
                <w:spacing w:val="-3"/>
              </w:rPr>
              <w:t>–</w:t>
            </w:r>
          </w:p>
          <w:p w14:paraId="525AE463" w14:textId="77777777" w:rsidR="006A471D" w:rsidRDefault="006A471D">
            <w:pPr>
              <w:suppressAutoHyphens/>
              <w:jc w:val="center"/>
              <w:rPr>
                <w:b/>
                <w:spacing w:val="-3"/>
              </w:rPr>
            </w:pPr>
          </w:p>
        </w:tc>
        <w:tc>
          <w:tcPr>
            <w:tcW w:w="1707" w:type="dxa"/>
          </w:tcPr>
          <w:p w14:paraId="03F888FA"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77841D17" w14:textId="77777777">
        <w:trPr>
          <w:jc w:val="center"/>
        </w:trPr>
        <w:tc>
          <w:tcPr>
            <w:tcW w:w="1701" w:type="dxa"/>
          </w:tcPr>
          <w:p w14:paraId="02EFAA13" w14:textId="77777777" w:rsidR="005E2342" w:rsidRDefault="005E2342">
            <w:pPr>
              <w:suppressAutoHyphens/>
              <w:rPr>
                <w:b/>
                <w:spacing w:val="-3"/>
              </w:rPr>
            </w:pPr>
          </w:p>
        </w:tc>
        <w:tc>
          <w:tcPr>
            <w:tcW w:w="5333" w:type="dxa"/>
          </w:tcPr>
          <w:p w14:paraId="3F5C5CC4" w14:textId="3632A1BD" w:rsidR="005E2342" w:rsidRDefault="002E6715">
            <w:pPr>
              <w:suppressAutoHyphens/>
              <w:jc w:val="center"/>
              <w:rPr>
                <w:b/>
                <w:spacing w:val="-3"/>
              </w:rPr>
            </w:pPr>
            <w:r>
              <w:rPr>
                <w:b/>
                <w:spacing w:val="-3"/>
              </w:rPr>
              <w:t>PW</w:t>
            </w:r>
          </w:p>
          <w:p w14:paraId="555F9815" w14:textId="0148EA26" w:rsidR="0082366A" w:rsidRDefault="0082366A">
            <w:pPr>
              <w:suppressAutoHyphens/>
              <w:jc w:val="center"/>
              <w:rPr>
                <w:b/>
                <w:spacing w:val="-3"/>
              </w:rPr>
            </w:pPr>
            <w:r>
              <w:rPr>
                <w:b/>
                <w:spacing w:val="-3"/>
              </w:rPr>
              <w:t>M</w:t>
            </w:r>
            <w:r w:rsidR="002E6715">
              <w:rPr>
                <w:b/>
                <w:spacing w:val="-3"/>
              </w:rPr>
              <w:t>T</w:t>
            </w:r>
          </w:p>
          <w:p w14:paraId="4F5A360B" w14:textId="6A743572" w:rsidR="00BF7937" w:rsidRDefault="002E6715" w:rsidP="00BF7937">
            <w:pPr>
              <w:suppressAutoHyphens/>
              <w:jc w:val="center"/>
              <w:rPr>
                <w:b/>
                <w:spacing w:val="-3"/>
              </w:rPr>
            </w:pPr>
            <w:r>
              <w:rPr>
                <w:b/>
                <w:spacing w:val="-3"/>
              </w:rPr>
              <w:t>SW</w:t>
            </w:r>
            <w:r w:rsidR="00BF7937">
              <w:rPr>
                <w:b/>
                <w:spacing w:val="-3"/>
              </w:rPr>
              <w:t xml:space="preserve"> &amp; </w:t>
            </w:r>
            <w:r>
              <w:rPr>
                <w:b/>
                <w:spacing w:val="-3"/>
              </w:rPr>
              <w:t>TW</w:t>
            </w:r>
          </w:p>
          <w:p w14:paraId="6F57FE7B" w14:textId="3BE116AD" w:rsidR="00BF7937" w:rsidRDefault="00BF7937" w:rsidP="007E2631">
            <w:pPr>
              <w:suppressAutoHyphens/>
              <w:jc w:val="center"/>
              <w:rPr>
                <w:b/>
                <w:spacing w:val="-3"/>
              </w:rPr>
            </w:pPr>
            <w:r>
              <w:rPr>
                <w:b/>
                <w:spacing w:val="-3"/>
              </w:rPr>
              <w:t>(Children by their Children’s Guardian</w:t>
            </w:r>
            <w:r w:rsidR="007E2631">
              <w:rPr>
                <w:b/>
                <w:spacing w:val="-3"/>
              </w:rPr>
              <w:t xml:space="preserve"> in the </w:t>
            </w:r>
            <w:r w:rsidR="007E2631" w:rsidRPr="007E2631">
              <w:rPr>
                <w:b/>
                <w:i/>
                <w:spacing w:val="-3"/>
              </w:rPr>
              <w:t>C</w:t>
            </w:r>
            <w:r w:rsidR="00F45D2B">
              <w:rPr>
                <w:b/>
                <w:i/>
                <w:spacing w:val="-3"/>
              </w:rPr>
              <w:t xml:space="preserve">hildren </w:t>
            </w:r>
            <w:r w:rsidR="007E2631" w:rsidRPr="007E2631">
              <w:rPr>
                <w:b/>
                <w:i/>
                <w:spacing w:val="-3"/>
              </w:rPr>
              <w:t>A</w:t>
            </w:r>
            <w:r w:rsidR="00F45D2B">
              <w:rPr>
                <w:b/>
                <w:i/>
                <w:spacing w:val="-3"/>
              </w:rPr>
              <w:t>ct</w:t>
            </w:r>
            <w:r w:rsidR="007E2631" w:rsidRPr="007E2631">
              <w:rPr>
                <w:b/>
                <w:i/>
                <w:spacing w:val="-3"/>
              </w:rPr>
              <w:t xml:space="preserve"> 1989</w:t>
            </w:r>
            <w:r w:rsidR="007E2631">
              <w:rPr>
                <w:b/>
                <w:spacing w:val="-3"/>
              </w:rPr>
              <w:t xml:space="preserve"> proceedings</w:t>
            </w:r>
            <w:r>
              <w:rPr>
                <w:b/>
                <w:spacing w:val="-3"/>
              </w:rPr>
              <w:t>)</w:t>
            </w:r>
          </w:p>
          <w:p w14:paraId="52D82AB9" w14:textId="5FD90355" w:rsidR="001F7FC2" w:rsidRDefault="001F7FC2" w:rsidP="007E2631">
            <w:pPr>
              <w:suppressAutoHyphens/>
              <w:jc w:val="center"/>
              <w:rPr>
                <w:b/>
                <w:spacing w:val="-3"/>
              </w:rPr>
            </w:pPr>
          </w:p>
        </w:tc>
        <w:tc>
          <w:tcPr>
            <w:tcW w:w="1707" w:type="dxa"/>
          </w:tcPr>
          <w:p w14:paraId="49EBD62B" w14:textId="033A5137" w:rsidR="005E2342" w:rsidRDefault="008163E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w:t>
            </w:r>
            <w:r w:rsidR="007E2631">
              <w:t>s</w:t>
            </w:r>
          </w:p>
        </w:tc>
      </w:tr>
      <w:tr w:rsidR="006A471D" w14:paraId="65C32E6D" w14:textId="77777777">
        <w:trPr>
          <w:jc w:val="center"/>
        </w:trPr>
        <w:tc>
          <w:tcPr>
            <w:tcW w:w="1701" w:type="dxa"/>
          </w:tcPr>
          <w:p w14:paraId="6C08F654" w14:textId="77777777" w:rsidR="006A471D" w:rsidRDefault="006A471D">
            <w:pPr>
              <w:suppressAutoHyphens/>
              <w:rPr>
                <w:b/>
                <w:spacing w:val="-3"/>
              </w:rPr>
            </w:pPr>
          </w:p>
        </w:tc>
        <w:tc>
          <w:tcPr>
            <w:tcW w:w="5333" w:type="dxa"/>
          </w:tcPr>
          <w:p w14:paraId="43B49788" w14:textId="77777777" w:rsidR="006A471D" w:rsidRDefault="006A471D" w:rsidP="00F45D2B">
            <w:pPr>
              <w:suppressAutoHyphens/>
              <w:jc w:val="center"/>
              <w:rPr>
                <w:b/>
                <w:spacing w:val="-3"/>
              </w:rPr>
            </w:pPr>
          </w:p>
          <w:p w14:paraId="0CB9F127" w14:textId="77777777" w:rsidR="006A471D" w:rsidRDefault="006A471D" w:rsidP="00F45D2B">
            <w:pPr>
              <w:suppressAutoHyphens/>
              <w:jc w:val="center"/>
              <w:rPr>
                <w:b/>
                <w:spacing w:val="-3"/>
              </w:rPr>
            </w:pPr>
            <w:r>
              <w:rPr>
                <w:b/>
                <w:spacing w:val="-3"/>
              </w:rPr>
              <w:t>And Between</w:t>
            </w:r>
          </w:p>
          <w:p w14:paraId="2EDED446" w14:textId="22D6279A" w:rsidR="006A471D" w:rsidRDefault="006A471D" w:rsidP="00F45D2B">
            <w:pPr>
              <w:suppressAutoHyphens/>
              <w:jc w:val="center"/>
              <w:rPr>
                <w:b/>
                <w:spacing w:val="-3"/>
              </w:rPr>
            </w:pPr>
          </w:p>
        </w:tc>
        <w:tc>
          <w:tcPr>
            <w:tcW w:w="1707" w:type="dxa"/>
          </w:tcPr>
          <w:p w14:paraId="358260AA" w14:textId="77777777" w:rsidR="006A471D" w:rsidRDefault="006A471D" w:rsidP="00F45D2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jc w:val="right"/>
            </w:pPr>
          </w:p>
        </w:tc>
      </w:tr>
      <w:tr w:rsidR="00F45D2B" w14:paraId="0E69AFF8" w14:textId="77777777">
        <w:trPr>
          <w:jc w:val="center"/>
        </w:trPr>
        <w:tc>
          <w:tcPr>
            <w:tcW w:w="1701" w:type="dxa"/>
          </w:tcPr>
          <w:p w14:paraId="7B91E7B7" w14:textId="54650D1B" w:rsidR="00F45D2B" w:rsidRDefault="00F45D2B">
            <w:pPr>
              <w:suppressAutoHyphens/>
              <w:rPr>
                <w:b/>
                <w:spacing w:val="-3"/>
              </w:rPr>
            </w:pPr>
          </w:p>
        </w:tc>
        <w:tc>
          <w:tcPr>
            <w:tcW w:w="5333" w:type="dxa"/>
          </w:tcPr>
          <w:p w14:paraId="31638EB5" w14:textId="77777777" w:rsidR="00F45D2B" w:rsidRDefault="00F45D2B" w:rsidP="00F45D2B">
            <w:pPr>
              <w:suppressAutoHyphens/>
              <w:jc w:val="center"/>
              <w:rPr>
                <w:b/>
                <w:spacing w:val="-3"/>
              </w:rPr>
            </w:pPr>
            <w:r>
              <w:rPr>
                <w:b/>
                <w:spacing w:val="-3"/>
              </w:rPr>
              <w:t>PW</w:t>
            </w:r>
          </w:p>
          <w:p w14:paraId="277362C6" w14:textId="6760EA27" w:rsidR="00F45D2B" w:rsidRDefault="00F45D2B" w:rsidP="00F45D2B">
            <w:pPr>
              <w:suppressAutoHyphens/>
              <w:jc w:val="center"/>
              <w:rPr>
                <w:b/>
                <w:spacing w:val="-3"/>
              </w:rPr>
            </w:pPr>
            <w:r>
              <w:rPr>
                <w:b/>
                <w:spacing w:val="-3"/>
              </w:rPr>
              <w:t>SW &amp; TW (Children, by their yet-to-be appointed litigation friend</w:t>
            </w:r>
            <w:r w:rsidR="00F1252A">
              <w:rPr>
                <w:b/>
                <w:spacing w:val="-3"/>
              </w:rPr>
              <w:t xml:space="preserve"> in the </w:t>
            </w:r>
            <w:r w:rsidR="00F1252A" w:rsidRPr="00F1252A">
              <w:rPr>
                <w:b/>
                <w:i/>
                <w:spacing w:val="-3"/>
              </w:rPr>
              <w:t>Human Rights Act 1998</w:t>
            </w:r>
            <w:r w:rsidR="00F1252A">
              <w:rPr>
                <w:b/>
                <w:spacing w:val="-3"/>
              </w:rPr>
              <w:t xml:space="preserve"> proceedings</w:t>
            </w:r>
            <w:r>
              <w:rPr>
                <w:b/>
                <w:spacing w:val="-3"/>
              </w:rPr>
              <w:t>)</w:t>
            </w:r>
          </w:p>
        </w:tc>
        <w:tc>
          <w:tcPr>
            <w:tcW w:w="1707" w:type="dxa"/>
          </w:tcPr>
          <w:p w14:paraId="10A1132F" w14:textId="7A03751D" w:rsidR="00F45D2B" w:rsidRDefault="00F45D2B" w:rsidP="00F45D2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jc w:val="right"/>
            </w:pPr>
            <w:r>
              <w:t>Claimants</w:t>
            </w:r>
          </w:p>
        </w:tc>
      </w:tr>
      <w:tr w:rsidR="006A471D" w14:paraId="77A1A535" w14:textId="77777777">
        <w:trPr>
          <w:jc w:val="center"/>
        </w:trPr>
        <w:tc>
          <w:tcPr>
            <w:tcW w:w="1701" w:type="dxa"/>
          </w:tcPr>
          <w:p w14:paraId="07623F1C" w14:textId="77777777" w:rsidR="006A471D" w:rsidRDefault="006A471D">
            <w:pPr>
              <w:suppressAutoHyphens/>
              <w:rPr>
                <w:b/>
                <w:spacing w:val="-3"/>
              </w:rPr>
            </w:pPr>
          </w:p>
        </w:tc>
        <w:tc>
          <w:tcPr>
            <w:tcW w:w="5333" w:type="dxa"/>
          </w:tcPr>
          <w:p w14:paraId="2306BCAF" w14:textId="77777777" w:rsidR="006A471D" w:rsidRDefault="006A471D" w:rsidP="006A471D">
            <w:pPr>
              <w:suppressAutoHyphens/>
              <w:jc w:val="center"/>
              <w:rPr>
                <w:b/>
                <w:spacing w:val="-3"/>
              </w:rPr>
            </w:pPr>
          </w:p>
          <w:p w14:paraId="1D38B1B9" w14:textId="77777777" w:rsidR="006A471D" w:rsidRDefault="006A471D" w:rsidP="006A471D">
            <w:pPr>
              <w:suppressAutoHyphens/>
              <w:jc w:val="center"/>
              <w:rPr>
                <w:b/>
                <w:spacing w:val="-3"/>
              </w:rPr>
            </w:pPr>
            <w:r>
              <w:rPr>
                <w:b/>
                <w:spacing w:val="-3"/>
              </w:rPr>
              <w:t>-and-</w:t>
            </w:r>
          </w:p>
          <w:p w14:paraId="5F1BC8A5" w14:textId="77777777" w:rsidR="006A471D" w:rsidRDefault="006A471D" w:rsidP="00F45D2B">
            <w:pPr>
              <w:suppressAutoHyphens/>
              <w:jc w:val="center"/>
              <w:rPr>
                <w:b/>
                <w:spacing w:val="-3"/>
              </w:rPr>
            </w:pPr>
          </w:p>
        </w:tc>
        <w:tc>
          <w:tcPr>
            <w:tcW w:w="1707" w:type="dxa"/>
          </w:tcPr>
          <w:p w14:paraId="47ED59FA" w14:textId="77777777" w:rsidR="006A471D" w:rsidRDefault="006A471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F45D2B" w14:paraId="3FE4820F" w14:textId="77777777">
        <w:trPr>
          <w:jc w:val="center"/>
        </w:trPr>
        <w:tc>
          <w:tcPr>
            <w:tcW w:w="1701" w:type="dxa"/>
          </w:tcPr>
          <w:p w14:paraId="163171CC" w14:textId="77777777" w:rsidR="00F45D2B" w:rsidRDefault="00F45D2B">
            <w:pPr>
              <w:suppressAutoHyphens/>
              <w:rPr>
                <w:b/>
                <w:spacing w:val="-3"/>
              </w:rPr>
            </w:pPr>
          </w:p>
        </w:tc>
        <w:tc>
          <w:tcPr>
            <w:tcW w:w="5333" w:type="dxa"/>
          </w:tcPr>
          <w:p w14:paraId="5629EAB7" w14:textId="77777777" w:rsidR="00F45D2B" w:rsidRDefault="00F45D2B" w:rsidP="00F45D2B">
            <w:pPr>
              <w:suppressAutoHyphens/>
              <w:jc w:val="center"/>
              <w:rPr>
                <w:b/>
                <w:spacing w:val="-3"/>
              </w:rPr>
            </w:pPr>
            <w:r>
              <w:rPr>
                <w:b/>
                <w:spacing w:val="-3"/>
              </w:rPr>
              <w:t>LUTON BOROUGH COUNCIL</w:t>
            </w:r>
          </w:p>
          <w:p w14:paraId="01E755BC" w14:textId="77777777" w:rsidR="00F45D2B" w:rsidRDefault="00F45D2B">
            <w:pPr>
              <w:suppressAutoHyphens/>
              <w:jc w:val="center"/>
              <w:rPr>
                <w:b/>
                <w:spacing w:val="-3"/>
              </w:rPr>
            </w:pPr>
          </w:p>
        </w:tc>
        <w:tc>
          <w:tcPr>
            <w:tcW w:w="1707" w:type="dxa"/>
          </w:tcPr>
          <w:p w14:paraId="0308D10C" w14:textId="77777777" w:rsidR="00F45D2B" w:rsidRDefault="00F45D2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22D0D0BC" w14:textId="15734AC9" w:rsidR="00F45D2B" w:rsidRDefault="00F45D2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w:t>
            </w:r>
          </w:p>
        </w:tc>
      </w:tr>
      <w:tr w:rsidR="006A471D" w14:paraId="61A4E973" w14:textId="77777777">
        <w:trPr>
          <w:jc w:val="center"/>
        </w:trPr>
        <w:tc>
          <w:tcPr>
            <w:tcW w:w="1701" w:type="dxa"/>
          </w:tcPr>
          <w:p w14:paraId="39563E5C" w14:textId="77777777" w:rsidR="006A471D" w:rsidRDefault="006A471D">
            <w:pPr>
              <w:suppressAutoHyphens/>
              <w:rPr>
                <w:b/>
                <w:spacing w:val="-3"/>
              </w:rPr>
            </w:pPr>
          </w:p>
        </w:tc>
        <w:tc>
          <w:tcPr>
            <w:tcW w:w="5333" w:type="dxa"/>
          </w:tcPr>
          <w:p w14:paraId="67AAB2C5" w14:textId="77777777" w:rsidR="006A471D" w:rsidRDefault="006A471D" w:rsidP="00F45D2B">
            <w:pPr>
              <w:suppressAutoHyphens/>
              <w:jc w:val="center"/>
              <w:rPr>
                <w:b/>
                <w:spacing w:val="-3"/>
                <w:u w:val="single"/>
              </w:rPr>
            </w:pPr>
          </w:p>
          <w:p w14:paraId="3CA33181" w14:textId="3D224B2C" w:rsidR="006A471D" w:rsidRDefault="006A471D" w:rsidP="00F45D2B">
            <w:pPr>
              <w:suppressAutoHyphens/>
              <w:jc w:val="center"/>
              <w:rPr>
                <w:b/>
                <w:spacing w:val="-3"/>
              </w:rPr>
            </w:pPr>
            <w:r w:rsidRPr="002A5995">
              <w:rPr>
                <w:b/>
                <w:spacing w:val="-3"/>
                <w:u w:val="single"/>
              </w:rPr>
              <w:t>Re SW &amp; TW (Human Rights Claim: Procedure)</w:t>
            </w:r>
            <w:r>
              <w:rPr>
                <w:b/>
                <w:spacing w:val="-3"/>
                <w:u w:val="single"/>
              </w:rPr>
              <w:t>(No.1)</w:t>
            </w:r>
          </w:p>
        </w:tc>
        <w:tc>
          <w:tcPr>
            <w:tcW w:w="1707" w:type="dxa"/>
          </w:tcPr>
          <w:p w14:paraId="5BAEF2C9" w14:textId="77777777" w:rsidR="006A471D" w:rsidRDefault="006A471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bl>
    <w:p w14:paraId="79E2C439" w14:textId="77777777" w:rsidR="002A5995" w:rsidRDefault="002A5995" w:rsidP="006A471D">
      <w:pPr>
        <w:suppressAutoHyphens/>
        <w:jc w:val="center"/>
        <w:rPr>
          <w:b/>
          <w:spacing w:val="-3"/>
        </w:rPr>
      </w:pPr>
    </w:p>
    <w:p w14:paraId="609677E0" w14:textId="06DD81A3" w:rsidR="005E2342" w:rsidRDefault="005E2342">
      <w:pPr>
        <w:suppressAutoHyphens/>
        <w:jc w:val="center"/>
        <w:rPr>
          <w:spacing w:val="-3"/>
        </w:rPr>
      </w:pPr>
      <w:r>
        <w:rPr>
          <w:spacing w:val="-3"/>
        </w:rPr>
        <w:t>- - - - - - - - - - - - - - - - - - - - -</w:t>
      </w:r>
    </w:p>
    <w:p w14:paraId="0781B009" w14:textId="77777777" w:rsidR="005E2342" w:rsidRDefault="005E2342">
      <w:pPr>
        <w:suppressAutoHyphens/>
        <w:jc w:val="center"/>
        <w:rPr>
          <w:spacing w:val="-3"/>
        </w:rPr>
      </w:pPr>
      <w:r>
        <w:rPr>
          <w:spacing w:val="-3"/>
        </w:rPr>
        <w:t>- - - - - - - - - - - - - - - - - - - - -</w:t>
      </w:r>
    </w:p>
    <w:p w14:paraId="154AECB7" w14:textId="77777777" w:rsidR="005E2342" w:rsidRDefault="005E2342">
      <w:pPr>
        <w:suppressAutoHyphens/>
        <w:jc w:val="center"/>
        <w:rPr>
          <w:spacing w:val="-3"/>
        </w:rPr>
      </w:pPr>
    </w:p>
    <w:p w14:paraId="7667D8BB" w14:textId="0AA4ACF1" w:rsidR="005E2342" w:rsidRDefault="00BF7937">
      <w:pPr>
        <w:suppressAutoHyphens/>
        <w:jc w:val="center"/>
        <w:rPr>
          <w:b/>
          <w:spacing w:val="-3"/>
        </w:rPr>
      </w:pPr>
      <w:r>
        <w:rPr>
          <w:b/>
          <w:spacing w:val="-3"/>
        </w:rPr>
        <w:t xml:space="preserve">Roger McCarthy QC and </w:t>
      </w:r>
      <w:r w:rsidR="003A1EA0">
        <w:rPr>
          <w:b/>
          <w:spacing w:val="-3"/>
        </w:rPr>
        <w:t xml:space="preserve">Mai-Ling </w:t>
      </w:r>
      <w:r>
        <w:rPr>
          <w:b/>
          <w:spacing w:val="-3"/>
        </w:rPr>
        <w:t>Savage</w:t>
      </w:r>
      <w:r w:rsidR="005E2342">
        <w:rPr>
          <w:b/>
          <w:spacing w:val="-3"/>
        </w:rPr>
        <w:t xml:space="preserve"> </w:t>
      </w:r>
      <w:r w:rsidR="005E2342">
        <w:rPr>
          <w:bCs/>
          <w:spacing w:val="-3"/>
        </w:rPr>
        <w:t>(instructed by</w:t>
      </w:r>
      <w:r w:rsidR="005E2342">
        <w:rPr>
          <w:b/>
          <w:spacing w:val="-3"/>
        </w:rPr>
        <w:t xml:space="preserve"> </w:t>
      </w:r>
      <w:r>
        <w:rPr>
          <w:b/>
          <w:spacing w:val="-3"/>
        </w:rPr>
        <w:t>Local Authority Solicitor</w:t>
      </w:r>
      <w:r w:rsidR="005E2342">
        <w:rPr>
          <w:bCs/>
          <w:spacing w:val="-3"/>
        </w:rPr>
        <w:t xml:space="preserve">) for </w:t>
      </w:r>
      <w:r>
        <w:rPr>
          <w:bCs/>
          <w:spacing w:val="-3"/>
        </w:rPr>
        <w:t>Luton Borough Council</w:t>
      </w:r>
    </w:p>
    <w:p w14:paraId="08F27D3E" w14:textId="581D5CB1" w:rsidR="005E2342" w:rsidRDefault="00BF7937">
      <w:pPr>
        <w:suppressAutoHyphens/>
        <w:jc w:val="center"/>
        <w:rPr>
          <w:bCs/>
          <w:spacing w:val="-3"/>
        </w:rPr>
      </w:pPr>
      <w:r>
        <w:rPr>
          <w:b/>
          <w:spacing w:val="-3"/>
        </w:rPr>
        <w:t xml:space="preserve">Andrew Bagchi QC and Sylvester </w:t>
      </w:r>
      <w:proofErr w:type="spellStart"/>
      <w:r>
        <w:rPr>
          <w:b/>
          <w:spacing w:val="-3"/>
        </w:rPr>
        <w:t>McIlwain</w:t>
      </w:r>
      <w:proofErr w:type="spellEnd"/>
      <w:r w:rsidR="005E2342">
        <w:rPr>
          <w:bCs/>
          <w:spacing w:val="-3"/>
        </w:rPr>
        <w:t xml:space="preserve"> (instructed by </w:t>
      </w:r>
      <w:r w:rsidR="00605CAB">
        <w:rPr>
          <w:b/>
          <w:spacing w:val="-3"/>
        </w:rPr>
        <w:t>Edward Hayes LLP</w:t>
      </w:r>
      <w:r w:rsidR="005E2342">
        <w:rPr>
          <w:bCs/>
          <w:spacing w:val="-3"/>
        </w:rPr>
        <w:t xml:space="preserve">) for the </w:t>
      </w:r>
      <w:r>
        <w:rPr>
          <w:bCs/>
          <w:spacing w:val="-3"/>
        </w:rPr>
        <w:t>Father</w:t>
      </w:r>
      <w:r w:rsidR="003461C0">
        <w:rPr>
          <w:bCs/>
          <w:spacing w:val="-3"/>
        </w:rPr>
        <w:t xml:space="preserve"> (PW)</w:t>
      </w:r>
    </w:p>
    <w:p w14:paraId="59BB5803" w14:textId="524A7A9B" w:rsidR="0082366A" w:rsidRDefault="0082366A">
      <w:pPr>
        <w:suppressAutoHyphens/>
        <w:jc w:val="center"/>
        <w:rPr>
          <w:bCs/>
          <w:spacing w:val="-3"/>
        </w:rPr>
      </w:pPr>
      <w:r w:rsidRPr="0082366A">
        <w:rPr>
          <w:b/>
          <w:bCs/>
          <w:spacing w:val="-3"/>
        </w:rPr>
        <w:lastRenderedPageBreak/>
        <w:t xml:space="preserve">Barbara Connolly QC and </w:t>
      </w:r>
      <w:r w:rsidR="0011310A">
        <w:rPr>
          <w:b/>
          <w:bCs/>
          <w:spacing w:val="-3"/>
        </w:rPr>
        <w:t xml:space="preserve">Samantha </w:t>
      </w:r>
      <w:proofErr w:type="spellStart"/>
      <w:r w:rsidRPr="0082366A">
        <w:rPr>
          <w:b/>
          <w:bCs/>
          <w:spacing w:val="-3"/>
        </w:rPr>
        <w:t>Reddington</w:t>
      </w:r>
      <w:proofErr w:type="spellEnd"/>
      <w:r>
        <w:rPr>
          <w:bCs/>
          <w:spacing w:val="-3"/>
        </w:rPr>
        <w:t xml:space="preserve"> (instructed by </w:t>
      </w:r>
      <w:r w:rsidR="00187F40" w:rsidRPr="00187F40">
        <w:rPr>
          <w:b/>
          <w:bCs/>
          <w:spacing w:val="-3"/>
        </w:rPr>
        <w:t>Northants Family Law Group</w:t>
      </w:r>
      <w:r>
        <w:rPr>
          <w:bCs/>
          <w:spacing w:val="-3"/>
        </w:rPr>
        <w:t>) for the Maternal Grandmother</w:t>
      </w:r>
      <w:r w:rsidR="003461C0">
        <w:rPr>
          <w:bCs/>
          <w:spacing w:val="-3"/>
        </w:rPr>
        <w:t xml:space="preserve"> (MT)</w:t>
      </w:r>
    </w:p>
    <w:p w14:paraId="5CC7EFD6" w14:textId="1951C27F" w:rsidR="00CA6CB0" w:rsidRDefault="00BF7937" w:rsidP="00541C79">
      <w:pPr>
        <w:suppressAutoHyphens/>
        <w:jc w:val="center"/>
        <w:rPr>
          <w:bCs/>
          <w:spacing w:val="-3"/>
        </w:rPr>
      </w:pPr>
      <w:r w:rsidRPr="0082366A">
        <w:rPr>
          <w:b/>
          <w:bCs/>
          <w:spacing w:val="-3"/>
        </w:rPr>
        <w:t>Alison Grief QC and Michael Edwards</w:t>
      </w:r>
      <w:r>
        <w:rPr>
          <w:bCs/>
          <w:spacing w:val="-3"/>
        </w:rPr>
        <w:t xml:space="preserve"> </w:t>
      </w:r>
      <w:r w:rsidR="00541C79">
        <w:rPr>
          <w:bCs/>
          <w:spacing w:val="-3"/>
        </w:rPr>
        <w:t xml:space="preserve">(27/28 February) </w:t>
      </w:r>
      <w:r w:rsidR="00541C79">
        <w:rPr>
          <w:b/>
          <w:bCs/>
          <w:spacing w:val="-3"/>
        </w:rPr>
        <w:t xml:space="preserve">John </w:t>
      </w:r>
      <w:proofErr w:type="spellStart"/>
      <w:r w:rsidR="00541C79">
        <w:rPr>
          <w:b/>
          <w:bCs/>
          <w:spacing w:val="-3"/>
        </w:rPr>
        <w:t>Tughan</w:t>
      </w:r>
      <w:proofErr w:type="spellEnd"/>
      <w:r w:rsidR="00541C79">
        <w:rPr>
          <w:b/>
          <w:bCs/>
          <w:spacing w:val="-3"/>
        </w:rPr>
        <w:t xml:space="preserve"> QC </w:t>
      </w:r>
      <w:r w:rsidR="00541C79">
        <w:rPr>
          <w:bCs/>
          <w:spacing w:val="-3"/>
        </w:rPr>
        <w:t xml:space="preserve">(2 March) </w:t>
      </w:r>
      <w:r>
        <w:rPr>
          <w:bCs/>
          <w:spacing w:val="-3"/>
        </w:rPr>
        <w:t xml:space="preserve">(instructed by </w:t>
      </w:r>
      <w:r w:rsidR="00B05F4C" w:rsidRPr="00B05F4C">
        <w:rPr>
          <w:b/>
          <w:bCs/>
          <w:spacing w:val="-3"/>
        </w:rPr>
        <w:t>Reeds solicitors</w:t>
      </w:r>
      <w:r>
        <w:rPr>
          <w:bCs/>
          <w:spacing w:val="-3"/>
        </w:rPr>
        <w:t>) for the Children</w:t>
      </w:r>
      <w:r w:rsidR="00CA6CB0">
        <w:rPr>
          <w:bCs/>
          <w:spacing w:val="-3"/>
        </w:rPr>
        <w:t xml:space="preserve"> </w:t>
      </w:r>
      <w:r w:rsidR="003461C0">
        <w:rPr>
          <w:bCs/>
          <w:spacing w:val="-3"/>
        </w:rPr>
        <w:t>(SW and TW)</w:t>
      </w:r>
    </w:p>
    <w:p w14:paraId="5700B1BD" w14:textId="77777777" w:rsidR="005E2342" w:rsidRDefault="005E2342">
      <w:pPr>
        <w:suppressAutoHyphens/>
        <w:jc w:val="center"/>
        <w:rPr>
          <w:b/>
          <w:spacing w:val="-3"/>
        </w:rPr>
      </w:pPr>
    </w:p>
    <w:p w14:paraId="50AF960C" w14:textId="556DC46D" w:rsidR="005E2342" w:rsidRDefault="005E2342">
      <w:pPr>
        <w:suppressAutoHyphens/>
        <w:jc w:val="center"/>
        <w:rPr>
          <w:spacing w:val="-3"/>
        </w:rPr>
      </w:pPr>
      <w:r>
        <w:rPr>
          <w:spacing w:val="-3"/>
        </w:rPr>
        <w:t xml:space="preserve">Hearing dates: </w:t>
      </w:r>
      <w:r w:rsidR="0082366A">
        <w:rPr>
          <w:spacing w:val="-3"/>
        </w:rPr>
        <w:t>27 &amp; 28 February, 2 March</w:t>
      </w:r>
      <w:r w:rsidR="00F1252A">
        <w:rPr>
          <w:spacing w:val="-3"/>
        </w:rPr>
        <w:t xml:space="preserve"> 2017</w:t>
      </w:r>
    </w:p>
    <w:p w14:paraId="7B1C3AE6" w14:textId="77777777" w:rsidR="005E2342" w:rsidRDefault="005E2342">
      <w:pPr>
        <w:suppressAutoHyphens/>
        <w:jc w:val="center"/>
        <w:rPr>
          <w:spacing w:val="-3"/>
        </w:rPr>
      </w:pPr>
      <w:r>
        <w:rPr>
          <w:spacing w:val="-3"/>
        </w:rPr>
        <w:t>- - - - - - - - - - - - - - - - - - - - -</w:t>
      </w:r>
    </w:p>
    <w:p w14:paraId="2825878F" w14:textId="77777777" w:rsidR="006A471D" w:rsidRDefault="00EB471B" w:rsidP="00EB471B">
      <w:pPr>
        <w:pStyle w:val="CoverDesc"/>
        <w:sectPr w:rsidR="006A471D">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09" w:footer="709" w:gutter="0"/>
          <w:cols w:space="720"/>
          <w:formProt w:val="0"/>
        </w:sectPr>
      </w:pPr>
      <w:r>
        <w:t>Judgment</w:t>
      </w:r>
      <w:r w:rsidR="006A471D" w:rsidRPr="006A471D">
        <w:t xml:space="preserve"> </w:t>
      </w:r>
      <w:r w:rsidR="006A471D">
        <w:t>Approved</w:t>
      </w:r>
    </w:p>
    <w:p w14:paraId="352FF9DC" w14:textId="412D2C5E" w:rsidR="00EB471B" w:rsidRDefault="00EB471B" w:rsidP="00EB471B">
      <w:pPr>
        <w:jc w:val="center"/>
      </w:pPr>
      <w:r>
        <w:t>THE HONOURABLE MR. JUSTICE COBB</w:t>
      </w:r>
    </w:p>
    <w:p w14:paraId="73681871" w14:textId="77777777" w:rsidR="00EB471B" w:rsidRDefault="00EB471B" w:rsidP="00EB471B">
      <w:pPr>
        <w:jc w:val="both"/>
      </w:pPr>
    </w:p>
    <w:p w14:paraId="7D0BE983" w14:textId="452DF6FF" w:rsidR="00EB471B" w:rsidRDefault="00EB471B" w:rsidP="00EB471B">
      <w:pPr>
        <w:jc w:val="both"/>
      </w:pPr>
      <w:r>
        <w:t>This judgment was delivered in private.   The judge has given leave for this version of the judgment to be published on condition that (irrespective of what is contained in the judgment) in any published version of the judgment the anonymity of the children and members of their family must be strictly preserved.   All persons, including representatives of the media, must ensure that this condition is strictly complied with.   Failure to do so will be a contempt of court.</w:t>
      </w:r>
    </w:p>
    <w:p w14:paraId="4C0AF4DD" w14:textId="77777777" w:rsidR="005E2342" w:rsidRDefault="005E2342">
      <w:pPr>
        <w:pStyle w:val="CoverDesc"/>
        <w:rPr>
          <w:sz w:val="24"/>
        </w:rPr>
      </w:pPr>
    </w:p>
    <w:p w14:paraId="2363B408" w14:textId="2A0A5C0C" w:rsidR="005E2342" w:rsidRDefault="005E2342"/>
    <w:p w14:paraId="42FE6D13" w14:textId="04533EC0" w:rsidR="005E2342" w:rsidRDefault="005E2342"/>
    <w:p w14:paraId="35AB4765" w14:textId="77777777" w:rsidR="005E2342" w:rsidRDefault="0082366A">
      <w:pPr>
        <w:spacing w:after="240"/>
      </w:pPr>
      <w:r>
        <w:rPr>
          <w:b/>
        </w:rPr>
        <w:t xml:space="preserve">The Honourable Mr. Justice </w:t>
      </w:r>
      <w:proofErr w:type="gramStart"/>
      <w:r>
        <w:rPr>
          <w:b/>
        </w:rPr>
        <w:t>Cobb</w:t>
      </w:r>
      <w:r w:rsidR="005E2342">
        <w:rPr>
          <w:b/>
        </w:rPr>
        <w:t xml:space="preserve"> :</w:t>
      </w:r>
      <w:proofErr w:type="gramEnd"/>
      <w:r w:rsidR="005E2342">
        <w:t xml:space="preserve"> </w:t>
      </w:r>
    </w:p>
    <w:p w14:paraId="2D0C4D66" w14:textId="116D1732" w:rsidR="005E2342" w:rsidRDefault="00180D5E" w:rsidP="00EB471B">
      <w:pPr>
        <w:pStyle w:val="ParaLevel1"/>
      </w:pPr>
      <w:bookmarkStart w:id="0" w:name="_GoBack"/>
      <w:bookmarkEnd w:id="0"/>
      <w:r>
        <w:t xml:space="preserve">These proceedings concern </w:t>
      </w:r>
      <w:r w:rsidR="00DA6063">
        <w:t xml:space="preserve">two siblings: </w:t>
      </w:r>
      <w:r w:rsidR="002E6715">
        <w:t>SW</w:t>
      </w:r>
      <w:r>
        <w:t>,</w:t>
      </w:r>
      <w:r w:rsidR="00B25309">
        <w:t xml:space="preserve"> a boy who is soon to be 14 years old</w:t>
      </w:r>
      <w:r>
        <w:t xml:space="preserve"> and </w:t>
      </w:r>
      <w:r w:rsidR="00DA6063">
        <w:t xml:space="preserve">his sister, </w:t>
      </w:r>
      <w:r w:rsidR="002E6715">
        <w:t>TW</w:t>
      </w:r>
      <w:r w:rsidR="00DA6063">
        <w:t>,</w:t>
      </w:r>
      <w:r w:rsidR="00B25309">
        <w:t xml:space="preserve"> who is 9.  They are </w:t>
      </w:r>
      <w:r w:rsidR="003C5D8E">
        <w:t xml:space="preserve">at the centre </w:t>
      </w:r>
      <w:r w:rsidR="00B25309">
        <w:t xml:space="preserve">of </w:t>
      </w:r>
      <w:r w:rsidR="00107512">
        <w:t xml:space="preserve">four </w:t>
      </w:r>
      <w:r w:rsidR="00B25309">
        <w:t>related applications</w:t>
      </w:r>
      <w:r w:rsidR="001A7336">
        <w:t xml:space="preserve"> before the court</w:t>
      </w:r>
      <w:r w:rsidR="002A5995">
        <w:t>.  S</w:t>
      </w:r>
      <w:r w:rsidR="001A7336">
        <w:t>pecifically</w:t>
      </w:r>
      <w:r w:rsidR="00B25309">
        <w:t>:</w:t>
      </w:r>
    </w:p>
    <w:p w14:paraId="0786EF8B" w14:textId="2A8D583C" w:rsidR="00107512" w:rsidRDefault="00107512" w:rsidP="00EB471B">
      <w:pPr>
        <w:pStyle w:val="ParaLevel2"/>
      </w:pPr>
      <w:r>
        <w:t xml:space="preserve">They are the subjects of cross-applications issued under </w:t>
      </w:r>
      <w:r w:rsidRPr="00107512">
        <w:rPr>
          <w:i/>
        </w:rPr>
        <w:t>Part II C</w:t>
      </w:r>
      <w:r>
        <w:rPr>
          <w:i/>
        </w:rPr>
        <w:t xml:space="preserve">hildren Act </w:t>
      </w:r>
      <w:r w:rsidRPr="00107512">
        <w:rPr>
          <w:i/>
        </w:rPr>
        <w:t>1989</w:t>
      </w:r>
      <w:r>
        <w:rPr>
          <w:i/>
        </w:rPr>
        <w:t xml:space="preserve"> </w:t>
      </w:r>
      <w:r>
        <w:t>(</w:t>
      </w:r>
      <w:r w:rsidRPr="00107512">
        <w:rPr>
          <w:i/>
        </w:rPr>
        <w:t>CA 1989</w:t>
      </w:r>
      <w:r>
        <w:t xml:space="preserve">) </w:t>
      </w:r>
      <w:r w:rsidR="000532EC">
        <w:t xml:space="preserve">separately </w:t>
      </w:r>
      <w:r>
        <w:t>by their father and maternal grandmother for ‘private law’ orders; these applications were issued in August 2015;</w:t>
      </w:r>
    </w:p>
    <w:p w14:paraId="4C01FA8D" w14:textId="5FE8C44C" w:rsidR="0082366A" w:rsidRDefault="0067144E" w:rsidP="00EB471B">
      <w:pPr>
        <w:pStyle w:val="ParaLevel2"/>
      </w:pPr>
      <w:r>
        <w:t xml:space="preserve">They are </w:t>
      </w:r>
      <w:r w:rsidR="00107512">
        <w:t xml:space="preserve">subjects of, and </w:t>
      </w:r>
      <w:r w:rsidR="0009159F">
        <w:t>r</w:t>
      </w:r>
      <w:r w:rsidR="00180D5E">
        <w:t>espondents to</w:t>
      </w:r>
      <w:r w:rsidR="00107512">
        <w:t>,</w:t>
      </w:r>
      <w:r w:rsidR="00180D5E">
        <w:t xml:space="preserve"> </w:t>
      </w:r>
      <w:r>
        <w:t xml:space="preserve">an </w:t>
      </w:r>
      <w:r w:rsidR="0082366A">
        <w:t xml:space="preserve">application </w:t>
      </w:r>
      <w:r w:rsidR="00B25309">
        <w:t xml:space="preserve">issued </w:t>
      </w:r>
      <w:r w:rsidR="001A7336">
        <w:t xml:space="preserve">by Luton Borough Council </w:t>
      </w:r>
      <w:r w:rsidR="00B25309">
        <w:t xml:space="preserve">on </w:t>
      </w:r>
      <w:r w:rsidR="004F1327">
        <w:t xml:space="preserve">29 September </w:t>
      </w:r>
      <w:r w:rsidR="00B25309">
        <w:t xml:space="preserve">2015 </w:t>
      </w:r>
      <w:r w:rsidR="0082366A">
        <w:t xml:space="preserve">under </w:t>
      </w:r>
      <w:r w:rsidR="0082366A" w:rsidRPr="000411BC">
        <w:rPr>
          <w:i/>
        </w:rPr>
        <w:t>Part IV</w:t>
      </w:r>
      <w:r w:rsidR="0082366A">
        <w:t xml:space="preserve"> of the </w:t>
      </w:r>
      <w:r w:rsidR="0082366A" w:rsidRPr="000411BC">
        <w:rPr>
          <w:i/>
        </w:rPr>
        <w:t>C</w:t>
      </w:r>
      <w:r w:rsidR="000532EC">
        <w:rPr>
          <w:i/>
        </w:rPr>
        <w:t>A 1989</w:t>
      </w:r>
      <w:r>
        <w:t>,</w:t>
      </w:r>
      <w:r w:rsidR="000411BC">
        <w:t xml:space="preserve"> </w:t>
      </w:r>
      <w:r w:rsidR="0082366A">
        <w:t>for ‘public law’</w:t>
      </w:r>
      <w:r w:rsidR="00B25309">
        <w:t xml:space="preserve"> </w:t>
      </w:r>
      <w:r w:rsidR="00180D5E">
        <w:t xml:space="preserve">(care or supervision) </w:t>
      </w:r>
      <w:r w:rsidR="00B25309">
        <w:t>order</w:t>
      </w:r>
      <w:r>
        <w:t>s</w:t>
      </w:r>
      <w:r w:rsidR="00B25309">
        <w:t>;</w:t>
      </w:r>
    </w:p>
    <w:p w14:paraId="02F5CB6B" w14:textId="1D09E4E7" w:rsidR="00B25309" w:rsidRDefault="001A7336" w:rsidP="00EB471B">
      <w:pPr>
        <w:pStyle w:val="ParaLevel2"/>
      </w:pPr>
      <w:r>
        <w:t xml:space="preserve">They are </w:t>
      </w:r>
      <w:r w:rsidR="0009159F">
        <w:t>c</w:t>
      </w:r>
      <w:r w:rsidR="000333B6">
        <w:t>o-</w:t>
      </w:r>
      <w:r w:rsidR="0009159F">
        <w:t>c</w:t>
      </w:r>
      <w:r w:rsidR="00180D5E">
        <w:t xml:space="preserve">laimants </w:t>
      </w:r>
      <w:r w:rsidR="000333B6">
        <w:t>(with their father</w:t>
      </w:r>
      <w:r w:rsidR="00AF4EC4">
        <w:t>, PW</w:t>
      </w:r>
      <w:r w:rsidR="000333B6">
        <w:t xml:space="preserve">) </w:t>
      </w:r>
      <w:r w:rsidR="00180D5E">
        <w:t xml:space="preserve">in </w:t>
      </w:r>
      <w:r w:rsidR="00B25309">
        <w:t>application</w:t>
      </w:r>
      <w:r w:rsidR="00DA6063">
        <w:t>s</w:t>
      </w:r>
      <w:r w:rsidR="00B25309">
        <w:t xml:space="preserve"> </w:t>
      </w:r>
      <w:r w:rsidR="00DA6063">
        <w:t xml:space="preserve">brought </w:t>
      </w:r>
      <w:r w:rsidR="00B25309">
        <w:t xml:space="preserve">under </w:t>
      </w:r>
      <w:r w:rsidR="00B25309" w:rsidRPr="000333B6">
        <w:rPr>
          <w:i/>
        </w:rPr>
        <w:t>section 7</w:t>
      </w:r>
      <w:r w:rsidR="00B25309">
        <w:t xml:space="preserve"> of the </w:t>
      </w:r>
      <w:r w:rsidR="00B25309" w:rsidRPr="000333B6">
        <w:rPr>
          <w:i/>
        </w:rPr>
        <w:t>Human Rights Act 1998</w:t>
      </w:r>
      <w:r w:rsidR="00B25309">
        <w:t xml:space="preserve"> </w:t>
      </w:r>
      <w:r w:rsidR="000411BC">
        <w:t>(</w:t>
      </w:r>
      <w:r w:rsidR="000411BC" w:rsidRPr="000333B6">
        <w:rPr>
          <w:i/>
        </w:rPr>
        <w:t>HRA 1998</w:t>
      </w:r>
      <w:r w:rsidR="000411BC">
        <w:t>)</w:t>
      </w:r>
      <w:r w:rsidR="00DA6063">
        <w:t xml:space="preserve"> for declarations and damages</w:t>
      </w:r>
      <w:r w:rsidR="000333B6">
        <w:t xml:space="preserve">; the father’s application was </w:t>
      </w:r>
      <w:r w:rsidR="004F1327">
        <w:t xml:space="preserve">brought formally </w:t>
      </w:r>
      <w:r w:rsidR="000333B6">
        <w:t xml:space="preserve">(albeit on the wrong </w:t>
      </w:r>
      <w:r w:rsidR="002A5995">
        <w:t xml:space="preserve">court </w:t>
      </w:r>
      <w:r w:rsidR="000333B6">
        <w:t xml:space="preserve">form) </w:t>
      </w:r>
      <w:r w:rsidR="004F1327">
        <w:t>on 8 March 2016</w:t>
      </w:r>
      <w:r w:rsidR="00DA6063">
        <w:t xml:space="preserve">.  The </w:t>
      </w:r>
      <w:r w:rsidR="002A5995">
        <w:t xml:space="preserve">children’s </w:t>
      </w:r>
      <w:r w:rsidR="000333B6">
        <w:t xml:space="preserve">application was </w:t>
      </w:r>
      <w:r w:rsidR="0009159F">
        <w:t xml:space="preserve">advanced </w:t>
      </w:r>
      <w:r>
        <w:t>in August 2016</w:t>
      </w:r>
      <w:r w:rsidR="000333B6">
        <w:t xml:space="preserve"> </w:t>
      </w:r>
      <w:r w:rsidR="00AF4EC4">
        <w:t xml:space="preserve">within the body of a </w:t>
      </w:r>
      <w:r w:rsidR="000333B6">
        <w:t>Skeleton Argument</w:t>
      </w:r>
      <w:r w:rsidR="00655737">
        <w:t xml:space="preserve"> prepared for a c</w:t>
      </w:r>
      <w:r w:rsidR="002A5995">
        <w:t>ourt hearing</w:t>
      </w:r>
      <w:r w:rsidR="0009159F">
        <w:t xml:space="preserve"> at that time</w:t>
      </w:r>
      <w:r w:rsidR="000333B6">
        <w:t>.  The Claimants all seek</w:t>
      </w:r>
      <w:r w:rsidR="00B25309">
        <w:t xml:space="preserve"> </w:t>
      </w:r>
      <w:r w:rsidR="0020048B">
        <w:t xml:space="preserve">relief </w:t>
      </w:r>
      <w:r w:rsidR="00AF4EC4">
        <w:t xml:space="preserve">against Luton Borough Council </w:t>
      </w:r>
      <w:r w:rsidR="000333B6">
        <w:t xml:space="preserve">under </w:t>
      </w:r>
      <w:r w:rsidR="000333B6" w:rsidRPr="000333B6">
        <w:rPr>
          <w:i/>
        </w:rPr>
        <w:t>section 8(3) HRA 1998</w:t>
      </w:r>
      <w:r w:rsidR="00B25309">
        <w:t>.</w:t>
      </w:r>
    </w:p>
    <w:p w14:paraId="13313042" w14:textId="2F18C341" w:rsidR="00743034" w:rsidRDefault="00437786" w:rsidP="00EB471B">
      <w:pPr>
        <w:pStyle w:val="ParaLevel1"/>
      </w:pPr>
      <w:r>
        <w:t xml:space="preserve">This judgment is delivered at </w:t>
      </w:r>
      <w:r w:rsidR="001A7336">
        <w:t xml:space="preserve">what was to be </w:t>
      </w:r>
      <w:r>
        <w:t xml:space="preserve">the conclusion of the final hearing of </w:t>
      </w:r>
      <w:r w:rsidR="000532EC">
        <w:t xml:space="preserve">these </w:t>
      </w:r>
      <w:r>
        <w:t xml:space="preserve">applications.  </w:t>
      </w:r>
      <w:r w:rsidR="0083393C">
        <w:t xml:space="preserve">Regrettably, I have not been able to conclude the proceedings by which the children seek relief under the </w:t>
      </w:r>
      <w:r w:rsidR="0083393C" w:rsidRPr="0083393C">
        <w:rPr>
          <w:i/>
        </w:rPr>
        <w:t>HRA 1998</w:t>
      </w:r>
      <w:r w:rsidR="000532EC">
        <w:t xml:space="preserve"> ([1</w:t>
      </w:r>
      <w:proofErr w:type="gramStart"/>
      <w:r w:rsidR="000532EC">
        <w:t>](</w:t>
      </w:r>
      <w:proofErr w:type="gramEnd"/>
      <w:r w:rsidR="000532EC">
        <w:t>iii) above)</w:t>
      </w:r>
      <w:r w:rsidR="00107512">
        <w:t>,</w:t>
      </w:r>
      <w:r w:rsidR="0083393C">
        <w:t xml:space="preserve"> given what is now acknowledged to be a fundamental procedural</w:t>
      </w:r>
      <w:r w:rsidR="0083393C" w:rsidRPr="0083393C">
        <w:t xml:space="preserve"> </w:t>
      </w:r>
      <w:r w:rsidR="001F3778">
        <w:t xml:space="preserve">defect </w:t>
      </w:r>
      <w:r w:rsidR="00743034">
        <w:t>with their claim</w:t>
      </w:r>
      <w:r w:rsidR="0083393C">
        <w:t xml:space="preserve">. </w:t>
      </w:r>
      <w:r w:rsidR="00743034">
        <w:t xml:space="preserve">  That said, </w:t>
      </w:r>
      <w:r w:rsidR="0083393C">
        <w:t>I consider it important to deliver th</w:t>
      </w:r>
      <w:r w:rsidR="00743034">
        <w:t xml:space="preserve">is </w:t>
      </w:r>
      <w:r w:rsidR="0083393C">
        <w:t xml:space="preserve">judgment </w:t>
      </w:r>
      <w:r w:rsidR="00743034">
        <w:t xml:space="preserve">on the matters </w:t>
      </w:r>
      <w:r w:rsidR="006A6C27">
        <w:t xml:space="preserve">on which </w:t>
      </w:r>
      <w:r w:rsidR="00743034">
        <w:t>I</w:t>
      </w:r>
      <w:r w:rsidR="00AF4EC4">
        <w:t xml:space="preserve"> </w:t>
      </w:r>
      <w:r w:rsidR="000532EC">
        <w:t xml:space="preserve">am able to reach a conclusion, and on which I </w:t>
      </w:r>
      <w:r w:rsidR="00AF4EC4">
        <w:t>have</w:t>
      </w:r>
      <w:r w:rsidR="00743034">
        <w:t xml:space="preserve"> </w:t>
      </w:r>
      <w:r w:rsidR="006A6C27">
        <w:t>reach</w:t>
      </w:r>
      <w:r w:rsidR="00AF4EC4">
        <w:t>ed</w:t>
      </w:r>
      <w:r w:rsidR="006A6C27">
        <w:t xml:space="preserve"> a </w:t>
      </w:r>
      <w:r w:rsidR="00AF4EC4">
        <w:t xml:space="preserve">clear </w:t>
      </w:r>
      <w:r w:rsidR="006A6C27">
        <w:t xml:space="preserve">view at </w:t>
      </w:r>
      <w:r w:rsidR="0083393C">
        <w:t>this point</w:t>
      </w:r>
      <w:r w:rsidR="006A6C27">
        <w:t>.</w:t>
      </w:r>
      <w:r w:rsidR="00743034">
        <w:t xml:space="preserve"> </w:t>
      </w:r>
    </w:p>
    <w:p w14:paraId="0E99891C" w14:textId="02E8D247" w:rsidR="0067144E" w:rsidRDefault="000F6435" w:rsidP="00EB471B">
      <w:pPr>
        <w:pStyle w:val="ParaLevel1"/>
      </w:pPr>
      <w:r>
        <w:t xml:space="preserve">In order to set a context </w:t>
      </w:r>
      <w:r w:rsidR="001F3778">
        <w:t xml:space="preserve">for </w:t>
      </w:r>
      <w:r w:rsidR="000532EC">
        <w:t xml:space="preserve">what follows, </w:t>
      </w:r>
      <w:r w:rsidR="0009159F">
        <w:t xml:space="preserve">I consider that it may be </w:t>
      </w:r>
      <w:r>
        <w:t xml:space="preserve">helpful </w:t>
      </w:r>
      <w:r w:rsidR="0009159F">
        <w:t xml:space="preserve">if </w:t>
      </w:r>
      <w:r>
        <w:t xml:space="preserve">I </w:t>
      </w:r>
      <w:r w:rsidR="00CC0FD7">
        <w:t xml:space="preserve">identify </w:t>
      </w:r>
      <w:r>
        <w:t xml:space="preserve">at the outset of this judgment some essential procedural points about claims of this </w:t>
      </w:r>
      <w:r>
        <w:lastRenderedPageBreak/>
        <w:t>kind</w:t>
      </w:r>
      <w:r w:rsidR="005300EA">
        <w:t xml:space="preserve">.  This is a case which in some respects has </w:t>
      </w:r>
      <w:r w:rsidR="00AC5A58">
        <w:t>veered ‘</w:t>
      </w:r>
      <w:r w:rsidR="00A42390">
        <w:t>off the rails</w:t>
      </w:r>
      <w:r w:rsidR="00AC5A58">
        <w:t>’</w:t>
      </w:r>
      <w:r w:rsidR="005300EA">
        <w:t>; in material respects it was never ‘on the rails’ in the first place</w:t>
      </w:r>
      <w:r w:rsidR="00A42390">
        <w:t>.</w:t>
      </w:r>
      <w:r>
        <w:t xml:space="preserve">  </w:t>
      </w:r>
      <w:r w:rsidR="00CC0FD7">
        <w:t>I</w:t>
      </w:r>
      <w:r w:rsidR="00A42390">
        <w:t xml:space="preserve">n doing so, I </w:t>
      </w:r>
      <w:r w:rsidR="00CC0FD7">
        <w:t xml:space="preserve">build </w:t>
      </w:r>
      <w:r>
        <w:t xml:space="preserve">on what I had said in </w:t>
      </w:r>
      <w:r w:rsidRPr="006108FA">
        <w:rPr>
          <w:i/>
        </w:rPr>
        <w:t xml:space="preserve">CZ v Kirklees </w:t>
      </w:r>
      <w:r w:rsidR="00AB0F0A">
        <w:rPr>
          <w:i/>
        </w:rPr>
        <w:t>Council</w:t>
      </w:r>
      <w:r>
        <w:t xml:space="preserve"> </w:t>
      </w:r>
      <w:r w:rsidR="00AB0F0A">
        <w:t>(“</w:t>
      </w:r>
      <w:r w:rsidR="00AB0F0A">
        <w:rPr>
          <w:i/>
        </w:rPr>
        <w:t>CZ v Kirklees</w:t>
      </w:r>
      <w:r w:rsidR="00AB0F0A">
        <w:t xml:space="preserve">”) </w:t>
      </w:r>
      <w:r>
        <w:t xml:space="preserve">[2017] EWFC 11 at </w:t>
      </w:r>
      <w:r w:rsidR="007F78B3">
        <w:t>[9</w:t>
      </w:r>
      <w:r w:rsidR="00556150">
        <w:t>]</w:t>
      </w:r>
      <w:r>
        <w:t>:</w:t>
      </w:r>
    </w:p>
    <w:p w14:paraId="77F6416D" w14:textId="17DC926D" w:rsidR="00AB0F0A" w:rsidRDefault="00AB0F0A" w:rsidP="00EB471B">
      <w:pPr>
        <w:pStyle w:val="ParaLevel2"/>
      </w:pPr>
      <w:r>
        <w:t xml:space="preserve">It is of course appropriate for </w:t>
      </w:r>
      <w:r>
        <w:rPr>
          <w:i/>
          <w:iCs/>
        </w:rPr>
        <w:t>HRA 1998</w:t>
      </w:r>
      <w:r>
        <w:t xml:space="preserve"> claims which arise in, and on the same facts as, </w:t>
      </w:r>
      <w:r>
        <w:rPr>
          <w:i/>
          <w:iCs/>
        </w:rPr>
        <w:t>CA 1989</w:t>
      </w:r>
      <w:r>
        <w:t xml:space="preserve"> proceedings to be considered by the court within the </w:t>
      </w:r>
      <w:r>
        <w:rPr>
          <w:i/>
          <w:iCs/>
        </w:rPr>
        <w:t>CA 1989</w:t>
      </w:r>
      <w:r>
        <w:t xml:space="preserve"> proceedings. </w:t>
      </w:r>
      <w:r>
        <w:rPr>
          <w:i/>
          <w:iCs/>
        </w:rPr>
        <w:t>Section 7(1)(b)</w:t>
      </w:r>
      <w:r>
        <w:t xml:space="preserve"> enables every tier of the Family Court, including the magistrates, to give effect to the parties' Convention rights (see </w:t>
      </w:r>
      <w:r>
        <w:rPr>
          <w:i/>
          <w:iCs/>
        </w:rPr>
        <w:t>Re L</w:t>
      </w:r>
      <w:r w:rsidR="00AC5A58">
        <w:rPr>
          <w:i/>
          <w:iCs/>
        </w:rPr>
        <w:t xml:space="preserve"> (A Child) v</w:t>
      </w:r>
      <w:r>
        <w:rPr>
          <w:i/>
          <w:iCs/>
        </w:rPr>
        <w:t xml:space="preserve"> A Local Authority</w:t>
      </w:r>
      <w:r>
        <w:t xml:space="preserve"> </w:t>
      </w:r>
      <w:r>
        <w:rPr>
          <w:i/>
          <w:iCs/>
        </w:rPr>
        <w:t>and</w:t>
      </w:r>
      <w:r>
        <w:t xml:space="preserve"> </w:t>
      </w:r>
      <w:r>
        <w:rPr>
          <w:i/>
          <w:iCs/>
        </w:rPr>
        <w:t xml:space="preserve">MS </w:t>
      </w:r>
      <w:r w:rsidRPr="00AB0F0A">
        <w:t>[2003] EWHC 665 (Fam)</w:t>
      </w:r>
      <w:r>
        <w:t xml:space="preserve"> at [31]); (</w:t>
      </w:r>
      <w:r w:rsidR="00A42390">
        <w:t xml:space="preserve">I made this point expressly in </w:t>
      </w:r>
      <w:r w:rsidRPr="00AB0F0A">
        <w:rPr>
          <w:i/>
        </w:rPr>
        <w:t>CZ v Kirklees</w:t>
      </w:r>
      <w:r>
        <w:t xml:space="preserve"> at [9](</w:t>
      </w:r>
      <w:proofErr w:type="spellStart"/>
      <w:r>
        <w:t>i</w:t>
      </w:r>
      <w:proofErr w:type="spellEnd"/>
      <w:r>
        <w:t>)</w:t>
      </w:r>
      <w:r w:rsidR="00A42390">
        <w:t>, but repeat it as it sets the context for the sub-paragraphs which follow</w:t>
      </w:r>
      <w:r>
        <w:t>);</w:t>
      </w:r>
    </w:p>
    <w:p w14:paraId="61C5CAE5" w14:textId="63D85486" w:rsidR="0067144E" w:rsidRDefault="00AB0F0A" w:rsidP="00EB471B">
      <w:pPr>
        <w:pStyle w:val="ParaLevel2"/>
      </w:pPr>
      <w:r>
        <w:t xml:space="preserve">However, </w:t>
      </w:r>
      <w:r w:rsidR="0067144E" w:rsidRPr="006108FA">
        <w:rPr>
          <w:i/>
        </w:rPr>
        <w:t>HRA 1998</w:t>
      </w:r>
      <w:r w:rsidR="0067144E">
        <w:t xml:space="preserve"> claims – whether they are made under </w:t>
      </w:r>
      <w:r w:rsidR="0067144E" w:rsidRPr="006108FA">
        <w:rPr>
          <w:i/>
        </w:rPr>
        <w:t>section 7(1)(a)</w:t>
      </w:r>
      <w:r w:rsidR="0067144E">
        <w:t xml:space="preserve"> or </w:t>
      </w:r>
      <w:r w:rsidR="0067144E" w:rsidRPr="00656B83">
        <w:rPr>
          <w:i/>
        </w:rPr>
        <w:t>section 7(1)(b)</w:t>
      </w:r>
      <w:r w:rsidR="0067144E">
        <w:t xml:space="preserve"> </w:t>
      </w:r>
      <w:r w:rsidR="00422488">
        <w:t xml:space="preserve">– </w:t>
      </w:r>
      <w:r w:rsidR="0067144E">
        <w:t>are</w:t>
      </w:r>
      <w:r w:rsidR="00422488">
        <w:t xml:space="preserve"> governed </w:t>
      </w:r>
      <w:r w:rsidR="0067144E">
        <w:t xml:space="preserve">by the </w:t>
      </w:r>
      <w:r w:rsidR="0067144E" w:rsidRPr="00656B83">
        <w:rPr>
          <w:i/>
        </w:rPr>
        <w:t>Civil Procedure Rules 1998</w:t>
      </w:r>
      <w:r w:rsidR="0067144E">
        <w:t xml:space="preserve"> (</w:t>
      </w:r>
      <w:r w:rsidR="0067144E" w:rsidRPr="00656B83">
        <w:rPr>
          <w:i/>
        </w:rPr>
        <w:t>CPR 1998</w:t>
      </w:r>
      <w:r w:rsidR="0067144E">
        <w:t xml:space="preserve">) </w:t>
      </w:r>
      <w:r w:rsidR="00E96E8C">
        <w:t xml:space="preserve">and </w:t>
      </w:r>
      <w:r w:rsidR="0067144E" w:rsidRPr="00E96E8C">
        <w:rPr>
          <w:u w:val="single"/>
        </w:rPr>
        <w:t>not</w:t>
      </w:r>
      <w:r w:rsidR="0067144E">
        <w:t xml:space="preserve"> the </w:t>
      </w:r>
      <w:r w:rsidR="0067144E" w:rsidRPr="00656B83">
        <w:rPr>
          <w:i/>
        </w:rPr>
        <w:t>Family Procedure Rules 2010</w:t>
      </w:r>
      <w:r w:rsidR="00656B83">
        <w:t xml:space="preserve"> (</w:t>
      </w:r>
      <w:r w:rsidR="00656B83" w:rsidRPr="00656B83">
        <w:rPr>
          <w:i/>
        </w:rPr>
        <w:t>FPR 2010</w:t>
      </w:r>
      <w:r w:rsidR="00656B83">
        <w:t>)</w:t>
      </w:r>
      <w:r w:rsidR="00422488">
        <w:t>;</w:t>
      </w:r>
    </w:p>
    <w:p w14:paraId="0B6A9BFF" w14:textId="73F0EC3C" w:rsidR="00422488" w:rsidRDefault="00422488" w:rsidP="00EB471B">
      <w:pPr>
        <w:pStyle w:val="ParaLevel2"/>
      </w:pPr>
      <w:r>
        <w:t xml:space="preserve">Applications for </w:t>
      </w:r>
      <w:r w:rsidR="00AC5A58">
        <w:t xml:space="preserve">substantive </w:t>
      </w:r>
      <w:r>
        <w:t xml:space="preserve">relief </w:t>
      </w:r>
      <w:r w:rsidR="00AC5A58">
        <w:t xml:space="preserve">(declarations and/or damages) </w:t>
      </w:r>
      <w:r>
        <w:t xml:space="preserve">under the </w:t>
      </w:r>
      <w:r w:rsidRPr="00656B83">
        <w:rPr>
          <w:i/>
        </w:rPr>
        <w:t>HRA 1998</w:t>
      </w:r>
      <w:r>
        <w:t xml:space="preserve"> should be issued as </w:t>
      </w:r>
      <w:r w:rsidR="00A42390">
        <w:t xml:space="preserve">civil proceedings </w:t>
      </w:r>
      <w:r w:rsidR="00AC5A58">
        <w:t xml:space="preserve">by way of </w:t>
      </w:r>
      <w:r w:rsidR="00A42390">
        <w:t xml:space="preserve">a </w:t>
      </w:r>
      <w:r w:rsidRPr="00656B83">
        <w:rPr>
          <w:i/>
        </w:rPr>
        <w:t>Part 8 CPR 1998</w:t>
      </w:r>
      <w:r w:rsidR="00A42390">
        <w:t xml:space="preserve"> claim</w:t>
      </w:r>
      <w:r>
        <w:t xml:space="preserve">, </w:t>
      </w:r>
      <w:r w:rsidR="00F51F45">
        <w:t xml:space="preserve">and should </w:t>
      </w:r>
      <w:r>
        <w:t xml:space="preserve">not </w:t>
      </w:r>
      <w:r w:rsidR="00F51F45">
        <w:t xml:space="preserve">be issued </w:t>
      </w:r>
      <w:r>
        <w:t xml:space="preserve">on a </w:t>
      </w:r>
      <w:r w:rsidR="001F3778">
        <w:t xml:space="preserve">Form </w:t>
      </w:r>
      <w:r>
        <w:t xml:space="preserve">C2 (even if within existing </w:t>
      </w:r>
      <w:r w:rsidR="00D24432" w:rsidRPr="00D24432">
        <w:rPr>
          <w:i/>
        </w:rPr>
        <w:t>CA 1989</w:t>
      </w:r>
      <w:r w:rsidR="00D24432">
        <w:t xml:space="preserve"> </w:t>
      </w:r>
      <w:r>
        <w:t>proceedings)</w:t>
      </w:r>
      <w:r w:rsidR="00F4030F">
        <w:t>.  W</w:t>
      </w:r>
      <w:r w:rsidR="00CC0FD7">
        <w:t xml:space="preserve">hile </w:t>
      </w:r>
      <w:r w:rsidR="00CC0FD7" w:rsidRPr="00F4030F">
        <w:rPr>
          <w:i/>
        </w:rPr>
        <w:t>rule 29.5</w:t>
      </w:r>
      <w:r w:rsidR="00F4030F" w:rsidRPr="00F4030F">
        <w:rPr>
          <w:i/>
        </w:rPr>
        <w:t>(2)</w:t>
      </w:r>
      <w:r w:rsidR="00CC0FD7" w:rsidRPr="00F4030F">
        <w:rPr>
          <w:i/>
        </w:rPr>
        <w:t xml:space="preserve"> FPR 2010</w:t>
      </w:r>
      <w:r w:rsidR="00F4030F">
        <w:t xml:space="preserve"> requires the party who seeks to rely on a convention right under the </w:t>
      </w:r>
      <w:r w:rsidR="00F4030F" w:rsidRPr="00F4030F">
        <w:rPr>
          <w:i/>
        </w:rPr>
        <w:t>HRA 1998</w:t>
      </w:r>
      <w:r w:rsidR="00F4030F">
        <w:t xml:space="preserve"> to notify the court </w:t>
      </w:r>
      <w:r w:rsidR="00300E13">
        <w:t xml:space="preserve">of this intention </w:t>
      </w:r>
      <w:r w:rsidR="00F4030F">
        <w:t xml:space="preserve">by way of </w:t>
      </w:r>
      <w:r w:rsidR="00087DF7">
        <w:t>“</w:t>
      </w:r>
      <w:r w:rsidR="00F4030F">
        <w:t>application or otherwise in writing”, it is</w:t>
      </w:r>
      <w:r w:rsidR="000F009B">
        <w:t>,</w:t>
      </w:r>
      <w:r w:rsidR="00F4030F">
        <w:t xml:space="preserve"> in my </w:t>
      </w:r>
      <w:r w:rsidR="000F009B">
        <w:t>judgment,</w:t>
      </w:r>
      <w:r w:rsidR="00F4030F">
        <w:t xml:space="preserve"> important that claims </w:t>
      </w:r>
      <w:r w:rsidR="00B162B6">
        <w:t xml:space="preserve">for </w:t>
      </w:r>
      <w:r w:rsidR="00FC5F3F">
        <w:t xml:space="preserve">substantive relief such as </w:t>
      </w:r>
      <w:r w:rsidR="00B162B6">
        <w:t xml:space="preserve">declarations and/or damages should be </w:t>
      </w:r>
      <w:r w:rsidR="00F4030F">
        <w:t xml:space="preserve">issued </w:t>
      </w:r>
      <w:r w:rsidR="00F4030F" w:rsidRPr="00FC5F3F">
        <w:rPr>
          <w:u w:val="single"/>
        </w:rPr>
        <w:t>formally</w:t>
      </w:r>
      <w:r w:rsidR="00F4030F">
        <w:t>, even if made within existing proceedings;</w:t>
      </w:r>
      <w:r w:rsidR="00BB0190">
        <w:t xml:space="preserve"> </w:t>
      </w:r>
      <w:r w:rsidR="005160E1">
        <w:t xml:space="preserve">if the party is seeking to “rely on the Convention right or rights” </w:t>
      </w:r>
      <w:r w:rsidR="009443FE">
        <w:t>(</w:t>
      </w:r>
      <w:r w:rsidR="009443FE" w:rsidRPr="009443FE">
        <w:rPr>
          <w:i/>
        </w:rPr>
        <w:t>section 7(1)(b)</w:t>
      </w:r>
      <w:r w:rsidR="009443FE">
        <w:t xml:space="preserve">) </w:t>
      </w:r>
      <w:r w:rsidR="005160E1">
        <w:t xml:space="preserve">within the </w:t>
      </w:r>
      <w:r w:rsidR="005160E1" w:rsidRPr="009443FE">
        <w:rPr>
          <w:i/>
        </w:rPr>
        <w:t>CA 1989</w:t>
      </w:r>
      <w:r w:rsidR="005160E1">
        <w:t xml:space="preserve"> proceedings </w:t>
      </w:r>
      <w:r w:rsidR="005F2573">
        <w:t xml:space="preserve">to influence the manner in which the family court exercises its powers, </w:t>
      </w:r>
      <w:r w:rsidR="005160E1">
        <w:t xml:space="preserve">a lesser degree of formality contemplated by </w:t>
      </w:r>
      <w:r w:rsidR="005160E1" w:rsidRPr="00087DF7">
        <w:rPr>
          <w:i/>
        </w:rPr>
        <w:t>rule 29.5</w:t>
      </w:r>
      <w:r w:rsidR="005160E1">
        <w:t xml:space="preserve"> </w:t>
      </w:r>
      <w:r w:rsidR="005F2573">
        <w:t xml:space="preserve">may well be </w:t>
      </w:r>
      <w:r w:rsidR="005160E1">
        <w:t xml:space="preserve">appropriate.  In my judgment, </w:t>
      </w:r>
      <w:r w:rsidR="005F2573">
        <w:t xml:space="preserve">an </w:t>
      </w:r>
      <w:r w:rsidR="00BB0190">
        <w:t xml:space="preserve">application </w:t>
      </w:r>
      <w:r w:rsidR="00B162B6">
        <w:t xml:space="preserve">for substantive and significant relief </w:t>
      </w:r>
      <w:r w:rsidR="005F2573">
        <w:t xml:space="preserve">should not be </w:t>
      </w:r>
      <w:r w:rsidR="00BB0190">
        <w:t xml:space="preserve">‘made’ </w:t>
      </w:r>
      <w:r w:rsidR="00E96E8C">
        <w:t>by a</w:t>
      </w:r>
      <w:r w:rsidR="005F2573">
        <w:t xml:space="preserve"> party’s </w:t>
      </w:r>
      <w:r w:rsidR="00E96E8C">
        <w:t xml:space="preserve">advocate </w:t>
      </w:r>
      <w:r w:rsidR="005F2573">
        <w:t xml:space="preserve">merely introducing </w:t>
      </w:r>
      <w:r w:rsidR="00E96E8C">
        <w:t xml:space="preserve">such a case </w:t>
      </w:r>
      <w:r w:rsidR="00087DF7">
        <w:t xml:space="preserve">(albeit “in writing”) </w:t>
      </w:r>
      <w:r w:rsidR="00BB0190">
        <w:t xml:space="preserve">in a Skeleton Argument </w:t>
      </w:r>
      <w:r w:rsidR="00E96E8C">
        <w:t>for court</w:t>
      </w:r>
      <w:r w:rsidR="005F2573">
        <w:t>,</w:t>
      </w:r>
      <w:r w:rsidR="00E96E8C">
        <w:t xml:space="preserve"> </w:t>
      </w:r>
      <w:r w:rsidR="00BB0190">
        <w:t>as happened here;</w:t>
      </w:r>
      <w:r w:rsidR="009443FE">
        <w:t xml:space="preserve"> </w:t>
      </w:r>
    </w:p>
    <w:p w14:paraId="2B0A53A1" w14:textId="7ED80AE1" w:rsidR="00422488" w:rsidRDefault="00422488" w:rsidP="00EB471B">
      <w:pPr>
        <w:pStyle w:val="ParaLevel2"/>
      </w:pPr>
      <w:r>
        <w:t xml:space="preserve">A child claimant in </w:t>
      </w:r>
      <w:r w:rsidRPr="006108FA">
        <w:rPr>
          <w:i/>
        </w:rPr>
        <w:t>HRA 1998</w:t>
      </w:r>
      <w:r>
        <w:t xml:space="preserve"> proceedings requires a litigation friend appointed under </w:t>
      </w:r>
      <w:r w:rsidRPr="006108FA">
        <w:rPr>
          <w:i/>
        </w:rPr>
        <w:t>Part 21</w:t>
      </w:r>
      <w:r>
        <w:t xml:space="preserve"> of the </w:t>
      </w:r>
      <w:r w:rsidRPr="006108FA">
        <w:rPr>
          <w:i/>
        </w:rPr>
        <w:t>CPR 2010</w:t>
      </w:r>
      <w:r w:rsidR="00E96E8C">
        <w:t xml:space="preserve">; the </w:t>
      </w:r>
      <w:r w:rsidR="00442B64">
        <w:t xml:space="preserve">appointment of a guardian or </w:t>
      </w:r>
      <w:r w:rsidR="00493B95">
        <w:t xml:space="preserve">litigation friend </w:t>
      </w:r>
      <w:r w:rsidR="00A93E50">
        <w:t xml:space="preserve">for this type of claim </w:t>
      </w:r>
      <w:r w:rsidR="00442B64">
        <w:t xml:space="preserve">is </w:t>
      </w:r>
      <w:r w:rsidR="00442B64" w:rsidRPr="00B162B6">
        <w:rPr>
          <w:u w:val="single"/>
        </w:rPr>
        <w:t>not</w:t>
      </w:r>
      <w:r w:rsidR="00442B64">
        <w:t xml:space="preserve"> effected </w:t>
      </w:r>
      <w:r w:rsidR="00493B95">
        <w:t xml:space="preserve">under </w:t>
      </w:r>
      <w:r w:rsidR="00493B95" w:rsidRPr="006108FA">
        <w:rPr>
          <w:i/>
        </w:rPr>
        <w:t>rule 16 FPR 2010</w:t>
      </w:r>
      <w:r w:rsidR="00E96E8C">
        <w:t>.  W</w:t>
      </w:r>
      <w:r w:rsidR="00F434A9">
        <w:t xml:space="preserve">hile </w:t>
      </w:r>
      <w:proofErr w:type="spellStart"/>
      <w:r w:rsidR="00493B95">
        <w:t>Cafcass</w:t>
      </w:r>
      <w:proofErr w:type="spellEnd"/>
      <w:r w:rsidR="00493B95">
        <w:t xml:space="preserve"> </w:t>
      </w:r>
      <w:r w:rsidR="00F434A9">
        <w:t xml:space="preserve">accepts that Children’s Guardians </w:t>
      </w:r>
      <w:r w:rsidR="006A6C27">
        <w:t xml:space="preserve">appointed in </w:t>
      </w:r>
      <w:r w:rsidR="00E96E8C">
        <w:t>‘</w:t>
      </w:r>
      <w:r w:rsidR="006A6C27">
        <w:t>specified proceedings</w:t>
      </w:r>
      <w:r w:rsidR="00E96E8C">
        <w:t>’</w:t>
      </w:r>
      <w:r w:rsidR="006A6C27">
        <w:t xml:space="preserve"> </w:t>
      </w:r>
      <w:r w:rsidR="00F434A9">
        <w:t xml:space="preserve">may give advice about the appropriateness of a </w:t>
      </w:r>
      <w:r w:rsidR="00A93E50">
        <w:t xml:space="preserve">child making a </w:t>
      </w:r>
      <w:r w:rsidR="00F434A9" w:rsidRPr="00F434A9">
        <w:rPr>
          <w:i/>
        </w:rPr>
        <w:t>HRA 1998</w:t>
      </w:r>
      <w:r w:rsidR="00F434A9">
        <w:t xml:space="preserve"> claim, </w:t>
      </w:r>
      <w:proofErr w:type="spellStart"/>
      <w:r w:rsidR="006A6C27">
        <w:t>Cafcass</w:t>
      </w:r>
      <w:proofErr w:type="spellEnd"/>
      <w:r w:rsidR="006A6C27">
        <w:t xml:space="preserve"> </w:t>
      </w:r>
      <w:r w:rsidR="00442B64">
        <w:t>cannot authorise its officers to act as litigation</w:t>
      </w:r>
      <w:r w:rsidR="00B162B6">
        <w:t xml:space="preserve"> friends to children claimants, </w:t>
      </w:r>
      <w:r w:rsidR="00442B64">
        <w:t>having regard to its functions</w:t>
      </w:r>
      <w:r w:rsidR="00087DF7">
        <w:t>,</w:t>
      </w:r>
      <w:r w:rsidR="00442B64">
        <w:t xml:space="preserve"> </w:t>
      </w:r>
      <w:r w:rsidR="00087DF7">
        <w:t xml:space="preserve">which are </w:t>
      </w:r>
      <w:r w:rsidR="00442B64">
        <w:t xml:space="preserve">set out </w:t>
      </w:r>
      <w:r w:rsidR="00087DF7">
        <w:rPr>
          <w:i/>
        </w:rPr>
        <w:t xml:space="preserve">inter alia </w:t>
      </w:r>
      <w:r w:rsidR="00442B64">
        <w:t xml:space="preserve">in </w:t>
      </w:r>
      <w:r w:rsidR="00442B64" w:rsidRPr="00442B64">
        <w:rPr>
          <w:i/>
        </w:rPr>
        <w:t xml:space="preserve">section 12 </w:t>
      </w:r>
      <w:r w:rsidR="00442B64">
        <w:t xml:space="preserve">of the </w:t>
      </w:r>
      <w:r w:rsidR="00442B64" w:rsidRPr="00442B64">
        <w:rPr>
          <w:i/>
        </w:rPr>
        <w:t xml:space="preserve">Criminal Justice and Court </w:t>
      </w:r>
      <w:r w:rsidR="00442B64">
        <w:rPr>
          <w:i/>
        </w:rPr>
        <w:t>S</w:t>
      </w:r>
      <w:r w:rsidR="00442B64" w:rsidRPr="00442B64">
        <w:rPr>
          <w:i/>
        </w:rPr>
        <w:t>ervices Act 2000</w:t>
      </w:r>
      <w:r w:rsidR="00E72980">
        <w:t xml:space="preserve"> (</w:t>
      </w:r>
      <w:r w:rsidR="00E72980" w:rsidRPr="00E72980">
        <w:rPr>
          <w:i/>
        </w:rPr>
        <w:t>CJCSA 2000</w:t>
      </w:r>
      <w:r w:rsidR="00E72980">
        <w:t>)</w:t>
      </w:r>
      <w:r w:rsidR="00B162B6">
        <w:t xml:space="preserve"> moreover, </w:t>
      </w:r>
      <w:proofErr w:type="spellStart"/>
      <w:r w:rsidR="00FC5F3F">
        <w:t>Cafcass</w:t>
      </w:r>
      <w:proofErr w:type="spellEnd"/>
      <w:r w:rsidR="00B162B6">
        <w:t xml:space="preserve"> </w:t>
      </w:r>
      <w:r w:rsidR="00493B95">
        <w:t xml:space="preserve">does not, as a matter of policy, support Children’s Guardians acting as litigation friends in </w:t>
      </w:r>
      <w:r w:rsidR="00493B95" w:rsidRPr="006108FA">
        <w:rPr>
          <w:i/>
        </w:rPr>
        <w:t>HRA 1998</w:t>
      </w:r>
      <w:r w:rsidR="00493B95">
        <w:t xml:space="preserve"> proceedings;</w:t>
      </w:r>
    </w:p>
    <w:p w14:paraId="765BE505" w14:textId="214FBA78" w:rsidR="00701B70" w:rsidRDefault="00701B70" w:rsidP="00EB471B">
      <w:pPr>
        <w:pStyle w:val="ParaLevel2"/>
      </w:pPr>
      <w:r>
        <w:t xml:space="preserve">It is </w:t>
      </w:r>
      <w:r w:rsidR="00FA048B">
        <w:t xml:space="preserve">therefore </w:t>
      </w:r>
      <w:r>
        <w:t xml:space="preserve">not appropriate for a Children’s Guardian </w:t>
      </w:r>
      <w:r w:rsidR="00E94B51">
        <w:t xml:space="preserve">who has been </w:t>
      </w:r>
      <w:r>
        <w:t xml:space="preserve">appointed in specified </w:t>
      </w:r>
      <w:r w:rsidRPr="00701B70">
        <w:rPr>
          <w:i/>
        </w:rPr>
        <w:t>CA 1989</w:t>
      </w:r>
      <w:r>
        <w:t xml:space="preserve"> proceedings to act as an informal litigation friend, or </w:t>
      </w:r>
      <w:r w:rsidR="00B162B6">
        <w:t xml:space="preserve">‘front’ the claim </w:t>
      </w:r>
      <w:r>
        <w:t xml:space="preserve">as if </w:t>
      </w:r>
      <w:r w:rsidR="0058739E">
        <w:t>he/</w:t>
      </w:r>
      <w:r>
        <w:t xml:space="preserve">she is </w:t>
      </w:r>
      <w:r w:rsidR="0058739E">
        <w:t>a litigation friend</w:t>
      </w:r>
      <w:r>
        <w:t xml:space="preserve">, in a related </w:t>
      </w:r>
      <w:r w:rsidRPr="00701B70">
        <w:rPr>
          <w:i/>
        </w:rPr>
        <w:t>HRA 1998</w:t>
      </w:r>
      <w:r>
        <w:t xml:space="preserve"> claim</w:t>
      </w:r>
      <w:r w:rsidR="00FF5520">
        <w:t xml:space="preserve">.  The </w:t>
      </w:r>
      <w:r w:rsidR="00376E6E">
        <w:t xml:space="preserve">status of litigation friend </w:t>
      </w:r>
      <w:r w:rsidR="0058739E">
        <w:t xml:space="preserve">can only </w:t>
      </w:r>
      <w:r w:rsidR="00FF5520">
        <w:t xml:space="preserve">be bestowed </w:t>
      </w:r>
      <w:r w:rsidR="0058739E">
        <w:t xml:space="preserve">following </w:t>
      </w:r>
      <w:r w:rsidR="00E94B51">
        <w:t xml:space="preserve">one of two recognised </w:t>
      </w:r>
      <w:r w:rsidR="0058739E">
        <w:t>formal process</w:t>
      </w:r>
      <w:r w:rsidR="00E94B51">
        <w:t>es</w:t>
      </w:r>
      <w:r w:rsidR="0058739E">
        <w:t xml:space="preserve"> – </w:t>
      </w:r>
      <w:r w:rsidR="00E94B51">
        <w:t xml:space="preserve">either </w:t>
      </w:r>
      <w:r w:rsidR="0058739E">
        <w:t>the filing of</w:t>
      </w:r>
      <w:r w:rsidR="00F004BE">
        <w:t xml:space="preserve"> a certificate of suitability under </w:t>
      </w:r>
      <w:r w:rsidR="00F004BE" w:rsidRPr="0058739E">
        <w:rPr>
          <w:i/>
        </w:rPr>
        <w:t>Part 21.4</w:t>
      </w:r>
      <w:r w:rsidR="00E94B51">
        <w:rPr>
          <w:i/>
        </w:rPr>
        <w:t>(3)/Part 21.5(3)</w:t>
      </w:r>
      <w:r w:rsidR="00F004BE">
        <w:t xml:space="preserve"> or </w:t>
      </w:r>
      <w:r w:rsidR="00376E6E">
        <w:t xml:space="preserve">pursuant to </w:t>
      </w:r>
      <w:r w:rsidR="00F004BE">
        <w:t xml:space="preserve">court </w:t>
      </w:r>
      <w:r w:rsidR="00E94B51">
        <w:t>order</w:t>
      </w:r>
      <w:r w:rsidR="005C784B">
        <w:t xml:space="preserve"> (</w:t>
      </w:r>
      <w:r w:rsidR="005C784B" w:rsidRPr="005C784B">
        <w:rPr>
          <w:i/>
        </w:rPr>
        <w:t>Part 21.6</w:t>
      </w:r>
      <w:r w:rsidR="005C784B">
        <w:t>)</w:t>
      </w:r>
      <w:r w:rsidR="00E94B51">
        <w:t>;</w:t>
      </w:r>
    </w:p>
    <w:p w14:paraId="48359F69" w14:textId="2042BDA8" w:rsidR="00493B95" w:rsidRDefault="00E96E8C" w:rsidP="00EB471B">
      <w:pPr>
        <w:pStyle w:val="ParaLevel2"/>
      </w:pPr>
      <w:r>
        <w:lastRenderedPageBreak/>
        <w:t xml:space="preserve">Given that the </w:t>
      </w:r>
      <w:r w:rsidRPr="00E96E8C">
        <w:rPr>
          <w:i/>
        </w:rPr>
        <w:t>CPR 1998</w:t>
      </w:r>
      <w:r>
        <w:t xml:space="preserve"> applies to these claims, the </w:t>
      </w:r>
      <w:r w:rsidR="00493B95">
        <w:t xml:space="preserve">regime of </w:t>
      </w:r>
      <w:r w:rsidR="00493B95" w:rsidRPr="006108FA">
        <w:rPr>
          <w:i/>
        </w:rPr>
        <w:t>Part 36 CPR 1998</w:t>
      </w:r>
      <w:r w:rsidR="00493B95">
        <w:t xml:space="preserve"> </w:t>
      </w:r>
      <w:r w:rsidR="007E2631">
        <w:t xml:space="preserve">(‘Offers to Settle’) </w:t>
      </w:r>
      <w:r w:rsidR="00493B95">
        <w:t xml:space="preserve">applies to </w:t>
      </w:r>
      <w:r w:rsidR="0086371F">
        <w:t>them</w:t>
      </w:r>
      <w:r w:rsidR="00493B95">
        <w:t>;</w:t>
      </w:r>
    </w:p>
    <w:p w14:paraId="6911FBAF" w14:textId="00F3C99E" w:rsidR="00493B95" w:rsidRDefault="006108FA" w:rsidP="00EB471B">
      <w:pPr>
        <w:pStyle w:val="ParaLevel2"/>
      </w:pPr>
      <w:r>
        <w:t xml:space="preserve">The </w:t>
      </w:r>
      <w:r w:rsidR="00FA048B">
        <w:t xml:space="preserve">full </w:t>
      </w:r>
      <w:r>
        <w:t xml:space="preserve">costs regime in </w:t>
      </w:r>
      <w:r w:rsidR="00493B95" w:rsidRPr="006108FA">
        <w:rPr>
          <w:i/>
        </w:rPr>
        <w:t>Part 44 CPR 1998</w:t>
      </w:r>
      <w:r>
        <w:t xml:space="preserve"> </w:t>
      </w:r>
      <w:r w:rsidR="0086371F">
        <w:t xml:space="preserve">also </w:t>
      </w:r>
      <w:r>
        <w:t xml:space="preserve">applies, including </w:t>
      </w:r>
      <w:r w:rsidR="0086371F">
        <w:t xml:space="preserve">(in contrast to the position in family proceedings) </w:t>
      </w:r>
      <w:r w:rsidR="00493B95">
        <w:t>the general rule that ‘costs follow the event’</w:t>
      </w:r>
      <w:r>
        <w:t xml:space="preserve"> </w:t>
      </w:r>
      <w:r w:rsidR="00493B95">
        <w:t xml:space="preserve">in </w:t>
      </w:r>
      <w:r w:rsidR="00493B95" w:rsidRPr="006108FA">
        <w:rPr>
          <w:i/>
        </w:rPr>
        <w:t>HRA 1998</w:t>
      </w:r>
      <w:r w:rsidR="00493B95">
        <w:t xml:space="preserve"> claims (</w:t>
      </w:r>
      <w:bookmarkStart w:id="1" w:name="para61"/>
      <w:r w:rsidR="00FA78E1">
        <w:rPr>
          <w:i/>
          <w:iCs/>
        </w:rPr>
        <w:t>CPR</w:t>
      </w:r>
      <w:r w:rsidR="00FA78E1">
        <w:t>,</w:t>
      </w:r>
      <w:r w:rsidR="00FA78E1">
        <w:rPr>
          <w:i/>
          <w:iCs/>
        </w:rPr>
        <w:t xml:space="preserve"> Part 44.2(2)(a)</w:t>
      </w:r>
      <w:r w:rsidR="00FA78E1">
        <w:t>: "(a) the general rule is that the unsuccessful party will be ordered to pay the costs of the successful party"</w:t>
      </w:r>
      <w:bookmarkEnd w:id="1"/>
      <w:r w:rsidR="00FA78E1">
        <w:t xml:space="preserve">; </w:t>
      </w:r>
      <w:r w:rsidR="00493B95">
        <w:t xml:space="preserve">see also </w:t>
      </w:r>
      <w:r w:rsidR="00493B95" w:rsidRPr="006108FA">
        <w:rPr>
          <w:i/>
        </w:rPr>
        <w:t>CZ v Kirklees MBC</w:t>
      </w:r>
      <w:r w:rsidR="00493B95">
        <w:t xml:space="preserve"> [2017] EWFC 11 at [61]));</w:t>
      </w:r>
    </w:p>
    <w:p w14:paraId="5F8EDB98" w14:textId="39AB800C" w:rsidR="00F41650" w:rsidRDefault="00F41650" w:rsidP="00EB471B">
      <w:pPr>
        <w:pStyle w:val="ParaLevel2"/>
      </w:pPr>
      <w:r>
        <w:t xml:space="preserve">Insofar as not clear from </w:t>
      </w:r>
      <w:r w:rsidR="007921F1" w:rsidRPr="007921F1">
        <w:rPr>
          <w:i/>
        </w:rPr>
        <w:t>C</w:t>
      </w:r>
      <w:r w:rsidR="007921F1">
        <w:rPr>
          <w:i/>
        </w:rPr>
        <w:t>Z</w:t>
      </w:r>
      <w:r w:rsidRPr="007921F1">
        <w:rPr>
          <w:i/>
        </w:rPr>
        <w:t xml:space="preserve"> v Kirklees</w:t>
      </w:r>
      <w:r>
        <w:t xml:space="preserve">, from </w:t>
      </w:r>
      <w:bookmarkStart w:id="2" w:name="para73"/>
      <w:r w:rsidR="00566E05">
        <w:rPr>
          <w:i/>
          <w:iCs/>
        </w:rPr>
        <w:t xml:space="preserve">P v A Local Authority </w:t>
      </w:r>
      <w:bookmarkEnd w:id="2"/>
      <w:r w:rsidR="00566E05" w:rsidRPr="007921F1">
        <w:t>[2016] EWHC 2779 (Fam)</w:t>
      </w:r>
      <w:r w:rsidR="00ED0F56">
        <w:t xml:space="preserve"> (</w:t>
      </w:r>
      <w:proofErr w:type="spellStart"/>
      <w:r w:rsidR="00ED0F56">
        <w:t>Keehan</w:t>
      </w:r>
      <w:proofErr w:type="spellEnd"/>
      <w:r w:rsidR="00ED0F56">
        <w:t xml:space="preserve"> J)</w:t>
      </w:r>
      <w:r w:rsidR="00566E05">
        <w:t xml:space="preserve">, or from </w:t>
      </w:r>
      <w:r w:rsidR="00566E05" w:rsidRPr="007921F1">
        <w:rPr>
          <w:i/>
        </w:rPr>
        <w:t>H v Northamptonshire County Council &amp; the Legal Aid Agency</w:t>
      </w:r>
      <w:r w:rsidR="00566E05">
        <w:t xml:space="preserve"> [2017] EWHC 282 (Fam)</w:t>
      </w:r>
      <w:r w:rsidR="00ED0F56">
        <w:t xml:space="preserve"> (</w:t>
      </w:r>
      <w:proofErr w:type="spellStart"/>
      <w:r w:rsidR="00ED0F56">
        <w:t>Keehan</w:t>
      </w:r>
      <w:proofErr w:type="spellEnd"/>
      <w:r w:rsidR="00ED0F56">
        <w:t xml:space="preserve"> J)</w:t>
      </w:r>
      <w:r w:rsidR="0086371F">
        <w:t xml:space="preserve"> (“</w:t>
      </w:r>
      <w:r w:rsidR="0086371F" w:rsidRPr="0086371F">
        <w:rPr>
          <w:i/>
        </w:rPr>
        <w:t>H v Northamptonshire</w:t>
      </w:r>
      <w:r w:rsidR="0086371F">
        <w:t>”)</w:t>
      </w:r>
      <w:r w:rsidR="00566E05">
        <w:t xml:space="preserve">, the publicly funded claimant in a </w:t>
      </w:r>
      <w:r w:rsidR="00566E05" w:rsidRPr="00566E05">
        <w:rPr>
          <w:i/>
        </w:rPr>
        <w:t>HRA 1998</w:t>
      </w:r>
      <w:r w:rsidR="00566E05">
        <w:t xml:space="preserve"> claim who is also publicly funded in associated (or </w:t>
      </w:r>
      <w:r w:rsidR="00ED0F56">
        <w:t>‘</w:t>
      </w:r>
      <w:r w:rsidR="00566E05">
        <w:t>connected</w:t>
      </w:r>
      <w:r w:rsidR="00ED0F56">
        <w:t>’</w:t>
      </w:r>
      <w:r w:rsidR="007921F1">
        <w:t xml:space="preserve">: </w:t>
      </w:r>
      <w:r w:rsidR="007921F1" w:rsidRPr="00ED0F56">
        <w:rPr>
          <w:i/>
        </w:rPr>
        <w:t>sec</w:t>
      </w:r>
      <w:r w:rsidR="00ED0F56" w:rsidRPr="00ED0F56">
        <w:rPr>
          <w:i/>
        </w:rPr>
        <w:t xml:space="preserve">tion 25 </w:t>
      </w:r>
      <w:bookmarkStart w:id="3" w:name="para7"/>
      <w:r w:rsidR="00ED0F56">
        <w:rPr>
          <w:i/>
          <w:iCs/>
        </w:rPr>
        <w:t>Legal Aid Sentencing and Punishment of Offenders Act 2012</w:t>
      </w:r>
      <w:r w:rsidR="00ED0F56">
        <w:t xml:space="preserve"> (</w:t>
      </w:r>
      <w:bookmarkEnd w:id="3"/>
      <w:r w:rsidR="00ED0F56" w:rsidRPr="00ED0F56">
        <w:rPr>
          <w:i/>
        </w:rPr>
        <w:t>LASPO 2012</w:t>
      </w:r>
      <w:r w:rsidR="00566E05">
        <w:t>)</w:t>
      </w:r>
      <w:r w:rsidR="001E7202">
        <w:t>)</w:t>
      </w:r>
      <w:r w:rsidR="00566E05">
        <w:t xml:space="preserve"> proceedings, is vulnerable to a claim for recoupment of the costs </w:t>
      </w:r>
      <w:r w:rsidR="007921F1">
        <w:t xml:space="preserve">of </w:t>
      </w:r>
      <w:r w:rsidR="007921F1" w:rsidRPr="00FC5F3F">
        <w:rPr>
          <w:u w:val="single"/>
        </w:rPr>
        <w:t>both</w:t>
      </w:r>
      <w:r w:rsidR="007921F1">
        <w:rPr>
          <w:i/>
        </w:rPr>
        <w:t xml:space="preserve"> </w:t>
      </w:r>
      <w:r w:rsidR="007921F1">
        <w:t xml:space="preserve">sets of proceedings </w:t>
      </w:r>
      <w:r w:rsidR="00376E6E">
        <w:t xml:space="preserve">by way of </w:t>
      </w:r>
      <w:r w:rsidR="00566E05">
        <w:t>statutory</w:t>
      </w:r>
      <w:r w:rsidR="007921F1">
        <w:t xml:space="preserve"> charge</w:t>
      </w:r>
      <w:r w:rsidR="00FA78E1">
        <w:t xml:space="preserve"> from any award of </w:t>
      </w:r>
      <w:r w:rsidR="0086371F" w:rsidRPr="0086371F">
        <w:rPr>
          <w:i/>
        </w:rPr>
        <w:t>HRA 1998</w:t>
      </w:r>
      <w:r w:rsidR="0086371F">
        <w:t xml:space="preserve"> </w:t>
      </w:r>
      <w:r w:rsidR="00FA78E1">
        <w:t>damages</w:t>
      </w:r>
      <w:r w:rsidR="001E7202">
        <w:t>;</w:t>
      </w:r>
    </w:p>
    <w:p w14:paraId="1FB0DA1A" w14:textId="3C21C1A7" w:rsidR="00FA048B" w:rsidRDefault="0086371F" w:rsidP="00EB471B">
      <w:pPr>
        <w:pStyle w:val="ParaLevel2"/>
      </w:pPr>
      <w:r>
        <w:t xml:space="preserve">In </w:t>
      </w:r>
      <w:r w:rsidRPr="0086371F">
        <w:rPr>
          <w:i/>
        </w:rPr>
        <w:t>HRA 1998</w:t>
      </w:r>
      <w:r>
        <w:t xml:space="preserve"> proceedings, t</w:t>
      </w:r>
      <w:r w:rsidR="00FE73DE">
        <w:t xml:space="preserve">he Legal Aid Agency may issue a </w:t>
      </w:r>
      <w:r>
        <w:t xml:space="preserve">publicly funded </w:t>
      </w:r>
      <w:r w:rsidR="00FE73DE">
        <w:t xml:space="preserve">certificate for </w:t>
      </w:r>
      <w:r>
        <w:t xml:space="preserve">a </w:t>
      </w:r>
      <w:r w:rsidR="00FE73DE">
        <w:t>claimant to pursue declarations only</w:t>
      </w:r>
      <w:r w:rsidR="00376E6E">
        <w:t xml:space="preserve">, </w:t>
      </w:r>
      <w:r w:rsidR="00E72980">
        <w:t xml:space="preserve">and </w:t>
      </w:r>
      <w:r w:rsidR="00376E6E">
        <w:t>not damages</w:t>
      </w:r>
      <w:r w:rsidR="00E72980">
        <w:t>,</w:t>
      </w:r>
      <w:r w:rsidR="00FE73DE">
        <w:t xml:space="preserve"> as it did in this case, for the father; if </w:t>
      </w:r>
      <w:r>
        <w:t xml:space="preserve">this is </w:t>
      </w:r>
      <w:r w:rsidR="00FE73DE">
        <w:t xml:space="preserve">so, this may have implications for </w:t>
      </w:r>
      <w:r w:rsidR="00751B56">
        <w:t xml:space="preserve">(a) </w:t>
      </w:r>
      <w:r w:rsidR="00E72980">
        <w:t xml:space="preserve">entitlement to any </w:t>
      </w:r>
      <w:r w:rsidR="00FE73DE">
        <w:t xml:space="preserve">public funded </w:t>
      </w:r>
      <w:r w:rsidR="00751B56">
        <w:t>remuneration for the lawyers for the work done</w:t>
      </w:r>
      <w:r w:rsidR="00FE73DE">
        <w:t xml:space="preserve"> on seeking a damages award</w:t>
      </w:r>
      <w:r w:rsidR="00751B56">
        <w:t xml:space="preserve">, (b) </w:t>
      </w:r>
      <w:r w:rsidR="00FE73DE">
        <w:t xml:space="preserve">the </w:t>
      </w:r>
      <w:r w:rsidR="006E3BE7">
        <w:t>extent to which the successful claimant can recover any costs referable to pursuit of the claim for damages from the Local Authority</w:t>
      </w:r>
      <w:r w:rsidR="00077D68">
        <w:t xml:space="preserve"> if they have not been authorised to expend costs in pursuit of the same</w:t>
      </w:r>
      <w:r w:rsidR="006E3BE7">
        <w:t xml:space="preserve">, and/or (c) the </w:t>
      </w:r>
      <w:r w:rsidR="00FE73DE">
        <w:t xml:space="preserve">ability of the LAA to recoup funds from the damages </w:t>
      </w:r>
      <w:r w:rsidR="006E3BE7">
        <w:t xml:space="preserve">(applying the statutory charge) </w:t>
      </w:r>
      <w:r w:rsidR="00FE73DE">
        <w:t xml:space="preserve">for work done in respect of which there was no public funding </w:t>
      </w:r>
      <w:r w:rsidR="00FA048B">
        <w:t>certificate;</w:t>
      </w:r>
    </w:p>
    <w:p w14:paraId="7B6F9852" w14:textId="0C0D9AE2" w:rsidR="001E7202" w:rsidRDefault="00FA048B" w:rsidP="00EB471B">
      <w:pPr>
        <w:pStyle w:val="ParaLevel2"/>
      </w:pPr>
      <w:r>
        <w:t xml:space="preserve">This case illustrates once again </w:t>
      </w:r>
      <w:r w:rsidR="00ED0123">
        <w:t xml:space="preserve">that the cost of pursuing relief </w:t>
      </w:r>
      <w:r w:rsidR="00FF7C52">
        <w:t xml:space="preserve">under the </w:t>
      </w:r>
      <w:r w:rsidR="00FF7C52" w:rsidRPr="00FF7C52">
        <w:rPr>
          <w:i/>
        </w:rPr>
        <w:t>HRA 1998</w:t>
      </w:r>
      <w:r w:rsidR="00FF7C52">
        <w:t xml:space="preserve"> </w:t>
      </w:r>
      <w:r w:rsidR="002A4D66">
        <w:t>can very swiftly dwarf</w:t>
      </w:r>
      <w:r w:rsidR="001B0ED5">
        <w:t>, or</w:t>
      </w:r>
      <w:r w:rsidR="002A4D66">
        <w:t xml:space="preserve"> indeed obliterate</w:t>
      </w:r>
      <w:r w:rsidR="001B0ED5">
        <w:t>,</w:t>
      </w:r>
      <w:r w:rsidR="002A4D66">
        <w:t xml:space="preserve"> </w:t>
      </w:r>
      <w:r w:rsidR="00ED0123">
        <w:t xml:space="preserve">the </w:t>
      </w:r>
      <w:r w:rsidR="00FF7C52">
        <w:t xml:space="preserve">financial </w:t>
      </w:r>
      <w:r w:rsidR="00ED0123">
        <w:t>benefit</w:t>
      </w:r>
      <w:r w:rsidR="00FF7C52">
        <w:t>s</w:t>
      </w:r>
      <w:r w:rsidR="00ED0123">
        <w:t xml:space="preserve"> </w:t>
      </w:r>
      <w:r w:rsidR="00FF7C52">
        <w:t xml:space="preserve">sought.  Many such cases are surely suitable for </w:t>
      </w:r>
      <w:r w:rsidR="00780893">
        <w:t>non-court dispute resolution</w:t>
      </w:r>
      <w:r w:rsidR="00270501">
        <w:t xml:space="preserve"> (NCDR)</w:t>
      </w:r>
      <w:r w:rsidR="002A4D66">
        <w:t xml:space="preserve">, and I </w:t>
      </w:r>
      <w:r w:rsidR="00077D68">
        <w:t xml:space="preserve">enthusiastically </w:t>
      </w:r>
      <w:r w:rsidR="002A4D66">
        <w:t>recommend th</w:t>
      </w:r>
      <w:r w:rsidR="001B0ED5">
        <w:t>at parties divert away from the court to mediate their claims</w:t>
      </w:r>
      <w:r w:rsidR="00C01C97">
        <w:t xml:space="preserve">; </w:t>
      </w:r>
      <w:r w:rsidR="002A4D66">
        <w:t xml:space="preserve">I am led to understand that many </w:t>
      </w:r>
      <w:r w:rsidR="00C01C97">
        <w:t>Court of Protection disputes</w:t>
      </w:r>
      <w:r w:rsidR="002A4D66">
        <w:t xml:space="preserve"> with similar characteristics are resolved away from the court room</w:t>
      </w:r>
      <w:r w:rsidR="00FF7C52">
        <w:t xml:space="preserve">.  This is </w:t>
      </w:r>
      <w:r w:rsidR="002A4D66">
        <w:t xml:space="preserve">a </w:t>
      </w:r>
      <w:r w:rsidR="00FF7C52">
        <w:t>case</w:t>
      </w:r>
      <w:r w:rsidR="002A4D66">
        <w:t xml:space="preserve"> which could/should have </w:t>
      </w:r>
      <w:r w:rsidR="00270501">
        <w:t xml:space="preserve">been </w:t>
      </w:r>
      <w:r w:rsidR="001B0ED5">
        <w:t>self-</w:t>
      </w:r>
      <w:r w:rsidR="00270501">
        <w:t>referred for NCDR</w:t>
      </w:r>
      <w:r w:rsidR="00FF7C52">
        <w:t xml:space="preserve">. </w:t>
      </w:r>
      <w:r w:rsidR="00ED0123">
        <w:t xml:space="preserve">Parties </w:t>
      </w:r>
      <w:r w:rsidR="00270501">
        <w:t>in cases of this kind w</w:t>
      </w:r>
      <w:r w:rsidR="00ED0123">
        <w:t xml:space="preserve">ould </w:t>
      </w:r>
      <w:r w:rsidR="00270501">
        <w:t xml:space="preserve">do well to </w:t>
      </w:r>
      <w:r w:rsidR="00ED0123">
        <w:t xml:space="preserve">remind themselves of the comments of the Court of Appeal in </w:t>
      </w:r>
      <w:proofErr w:type="spellStart"/>
      <w:r w:rsidR="00ED0123" w:rsidRPr="00780893">
        <w:rPr>
          <w:i/>
        </w:rPr>
        <w:t>Anufrijeva</w:t>
      </w:r>
      <w:proofErr w:type="spellEnd"/>
      <w:r w:rsidR="00ED0123" w:rsidRPr="00780893">
        <w:rPr>
          <w:i/>
        </w:rPr>
        <w:t xml:space="preserve"> v LB Southwark &amp; others</w:t>
      </w:r>
      <w:r w:rsidR="00ED0123">
        <w:t xml:space="preserve"> [2003</w:t>
      </w:r>
      <w:r w:rsidR="00EE28AA">
        <w:t xml:space="preserve">] EWCA </w:t>
      </w:r>
      <w:proofErr w:type="spellStart"/>
      <w:r w:rsidR="00EE28AA">
        <w:t>Civ</w:t>
      </w:r>
      <w:proofErr w:type="spellEnd"/>
      <w:r w:rsidR="00EE28AA">
        <w:t xml:space="preserve"> 1406 [2004] 1 FLR 8 at paras 79-80:</w:t>
      </w:r>
    </w:p>
    <w:p w14:paraId="20B74844" w14:textId="0C4AC7CE" w:rsidR="00EE28AA" w:rsidRDefault="00EE28AA" w:rsidP="00EB471B">
      <w:pPr>
        <w:pStyle w:val="ParaLevel1"/>
        <w:numPr>
          <w:ilvl w:val="0"/>
          <w:numId w:val="0"/>
        </w:numPr>
        <w:ind w:left="1701" w:right="1505"/>
        <w:rPr>
          <w:lang w:val="en"/>
        </w:rPr>
      </w:pPr>
      <w:r>
        <w:t>“</w:t>
      </w:r>
      <w:r w:rsidR="00780893">
        <w:t xml:space="preserve">… </w:t>
      </w:r>
      <w:proofErr w:type="gramStart"/>
      <w:r w:rsidR="00ED0123">
        <w:rPr>
          <w:lang w:val="en"/>
        </w:rPr>
        <w:t>we</w:t>
      </w:r>
      <w:proofErr w:type="gramEnd"/>
      <w:r w:rsidR="00ED0123">
        <w:rPr>
          <w:lang w:val="en"/>
        </w:rPr>
        <w:t xml:space="preserve"> were concerned that, even if the proceedings were conducted as economically as possible, the cost of the proceedings would be totally out of proportion to the damages likely to be awarded. This has proved to be the position</w:t>
      </w:r>
      <w:r>
        <w:rPr>
          <w:lang w:val="en"/>
        </w:rPr>
        <w:t xml:space="preserve">… </w:t>
      </w:r>
      <w:r w:rsidR="00ED0123">
        <w:rPr>
          <w:lang w:val="en"/>
        </w:rPr>
        <w:t>The costs at first instance of each party were totally disproportionate to the amount involved. When the total costs of both sides are looked at including the appeal, the figures are truly horrendous, and the situation is made even more worrying by the fact that all the parties are funded out of public funds</w:t>
      </w:r>
      <w:r>
        <w:rPr>
          <w:lang w:val="en"/>
        </w:rPr>
        <w:t>.</w:t>
      </w:r>
    </w:p>
    <w:p w14:paraId="18EC94A4" w14:textId="20A28225" w:rsidR="00ED0123" w:rsidRDefault="00ED0123" w:rsidP="00EB471B">
      <w:pPr>
        <w:pStyle w:val="ParaLevel1"/>
        <w:numPr>
          <w:ilvl w:val="0"/>
          <w:numId w:val="0"/>
        </w:numPr>
        <w:ind w:left="1701" w:right="1505"/>
        <w:rPr>
          <w:lang w:val="en"/>
        </w:rPr>
      </w:pPr>
      <w:r>
        <w:rPr>
          <w:rStyle w:val="Strong"/>
          <w:lang w:val="en"/>
        </w:rPr>
        <w:lastRenderedPageBreak/>
        <w:t>[80]</w:t>
      </w:r>
      <w:r>
        <w:rPr>
          <w:lang w:val="en"/>
        </w:rPr>
        <w:t>   The reality is that a claim for damages under the HRA in respect of maladministration, whether brought as a free-standing claim or ancillary to a claim for other substantive relief, if pursued in court by adversarial proceedings, is likely to cost substantially more to try than the amount of any damages that are likely to be awarded. Furthermore, as we have made plain,</w:t>
      </w:r>
      <w:r w:rsidR="00EE28AA">
        <w:rPr>
          <w:lang w:val="en"/>
        </w:rPr>
        <w:t xml:space="preserve"> </w:t>
      </w:r>
      <w:r>
        <w:rPr>
          <w:lang w:val="en"/>
        </w:rPr>
        <w:t>there will often be no certainty that an entitlement to damages will be established at all.</w:t>
      </w:r>
      <w:r w:rsidR="00780893">
        <w:rPr>
          <w:lang w:val="en"/>
        </w:rPr>
        <w:t>”</w:t>
      </w:r>
    </w:p>
    <w:p w14:paraId="301BB28A" w14:textId="032C4F74" w:rsidR="00556150" w:rsidRDefault="00556150" w:rsidP="00EB471B">
      <w:pPr>
        <w:pStyle w:val="ParaLevel1"/>
      </w:pPr>
      <w:r>
        <w:t>I</w:t>
      </w:r>
      <w:r w:rsidR="0086371F">
        <w:t>n relation to these claims, I</w:t>
      </w:r>
      <w:r>
        <w:t xml:space="preserve"> have </w:t>
      </w:r>
      <w:r w:rsidR="0086371F">
        <w:t xml:space="preserve">further </w:t>
      </w:r>
      <w:r>
        <w:t xml:space="preserve">seen the guidance offered by </w:t>
      </w:r>
      <w:proofErr w:type="spellStart"/>
      <w:r>
        <w:t>Keehan</w:t>
      </w:r>
      <w:proofErr w:type="spellEnd"/>
      <w:r>
        <w:t xml:space="preserve"> J in </w:t>
      </w:r>
      <w:r>
        <w:rPr>
          <w:i/>
        </w:rPr>
        <w:t xml:space="preserve">H v Northamptonshire </w:t>
      </w:r>
      <w:r w:rsidR="004B172F">
        <w:t xml:space="preserve">at [117] </w:t>
      </w:r>
      <w:r w:rsidR="00541A63">
        <w:t>and respectfully agree with it.</w:t>
      </w:r>
    </w:p>
    <w:p w14:paraId="49249A7F" w14:textId="5C8CB7E6" w:rsidR="006A6C27" w:rsidRDefault="006A6C27" w:rsidP="00EB471B">
      <w:pPr>
        <w:pStyle w:val="ParaLevel1"/>
      </w:pPr>
      <w:r>
        <w:t>By this judgment:</w:t>
      </w:r>
    </w:p>
    <w:p w14:paraId="1D77DB4F" w14:textId="74DBB817" w:rsidR="006A6C27" w:rsidRDefault="006A6C27" w:rsidP="00EB471B">
      <w:pPr>
        <w:pStyle w:val="ParaLevel2"/>
      </w:pPr>
      <w:r>
        <w:t xml:space="preserve">I give my brief reasons for </w:t>
      </w:r>
      <w:r w:rsidR="006E3BE7">
        <w:t xml:space="preserve">endorsing the final agreed orders reached in the </w:t>
      </w:r>
      <w:r w:rsidRPr="006A6C27">
        <w:rPr>
          <w:i/>
        </w:rPr>
        <w:t>CA 1989</w:t>
      </w:r>
      <w:r>
        <w:t xml:space="preserve"> proceedings;</w:t>
      </w:r>
    </w:p>
    <w:p w14:paraId="23B21CF0" w14:textId="56C6631A" w:rsidR="00106CB4" w:rsidRDefault="00106CB4" w:rsidP="00EB471B">
      <w:pPr>
        <w:pStyle w:val="ParaLevel2"/>
      </w:pPr>
      <w:r>
        <w:t xml:space="preserve">I consider and give my reasons for approving the terms of settlement of the father’s claim under the </w:t>
      </w:r>
      <w:r w:rsidRPr="00430E63">
        <w:rPr>
          <w:i/>
        </w:rPr>
        <w:t>HRA 1998</w:t>
      </w:r>
      <w:r w:rsidR="00430E63">
        <w:t xml:space="preserve"> and make the relevant award of costs</w:t>
      </w:r>
      <w:r>
        <w:t>;</w:t>
      </w:r>
    </w:p>
    <w:p w14:paraId="0500C9F5" w14:textId="048EF229" w:rsidR="00FF5520" w:rsidRDefault="00106CB4" w:rsidP="00FF5520">
      <w:pPr>
        <w:pStyle w:val="ParaLevel2"/>
      </w:pPr>
      <w:r>
        <w:t xml:space="preserve">I </w:t>
      </w:r>
      <w:r w:rsidR="006E3BE7">
        <w:t xml:space="preserve">give directions for the </w:t>
      </w:r>
      <w:r w:rsidR="00B13BDB">
        <w:t xml:space="preserve">final hearing of the children’s applications for relief under the </w:t>
      </w:r>
      <w:r w:rsidR="00B13BDB" w:rsidRPr="00B13BDB">
        <w:rPr>
          <w:i/>
        </w:rPr>
        <w:t>HRA 1989</w:t>
      </w:r>
      <w:r w:rsidR="00FF5520">
        <w:t>, with the Local Authority’s intended claims for wasted costs.</w:t>
      </w:r>
    </w:p>
    <w:p w14:paraId="24C23158" w14:textId="03CE6558" w:rsidR="00437786" w:rsidRPr="00B13BDB" w:rsidRDefault="00BA0CBB" w:rsidP="00EB471B">
      <w:pPr>
        <w:pStyle w:val="ParaLevel2"/>
        <w:numPr>
          <w:ilvl w:val="0"/>
          <w:numId w:val="0"/>
        </w:numPr>
      </w:pPr>
      <w:r w:rsidRPr="00B13BDB">
        <w:rPr>
          <w:i/>
        </w:rPr>
        <w:t>Essential b</w:t>
      </w:r>
      <w:r w:rsidR="00437786" w:rsidRPr="00B13BDB">
        <w:rPr>
          <w:i/>
        </w:rPr>
        <w:t>ackground</w:t>
      </w:r>
    </w:p>
    <w:p w14:paraId="68F34CB5" w14:textId="77777777" w:rsidR="00234D5B" w:rsidRDefault="00BA0CBB" w:rsidP="00EB471B">
      <w:pPr>
        <w:pStyle w:val="ParaLevel1"/>
      </w:pPr>
      <w:r>
        <w:t xml:space="preserve">For the purposes of this judgment, it is necessary only to give the briefest of outline histories. </w:t>
      </w:r>
    </w:p>
    <w:p w14:paraId="2A897355" w14:textId="756D982C" w:rsidR="00B25309" w:rsidRDefault="00B13BDB" w:rsidP="00EB471B">
      <w:pPr>
        <w:pStyle w:val="ParaLevel1"/>
      </w:pPr>
      <w:r>
        <w:t>SW</w:t>
      </w:r>
      <w:r w:rsidR="00BA0CBB">
        <w:t xml:space="preserve"> and </w:t>
      </w:r>
      <w:r>
        <w:t>TW</w:t>
      </w:r>
      <w:r w:rsidR="00BA0CBB">
        <w:t xml:space="preserve"> are the two children of </w:t>
      </w:r>
      <w:r>
        <w:t>PW</w:t>
      </w:r>
      <w:r w:rsidR="00BA0CBB">
        <w:t xml:space="preserve"> (father) and </w:t>
      </w:r>
      <w:r>
        <w:t>R</w:t>
      </w:r>
      <w:r w:rsidR="00D45E88">
        <w:t>T</w:t>
      </w:r>
      <w:r w:rsidR="00BA0CBB">
        <w:t xml:space="preserve"> (the mother)</w:t>
      </w:r>
      <w:r w:rsidR="00D45E88">
        <w:t>; the parents were never married</w:t>
      </w:r>
      <w:r w:rsidR="00BA0CBB">
        <w:t xml:space="preserve">.  </w:t>
      </w:r>
      <w:r w:rsidR="00234D5B">
        <w:t>Following parental separation</w:t>
      </w:r>
      <w:r w:rsidR="00BE38C0">
        <w:t xml:space="preserve"> in 2012</w:t>
      </w:r>
      <w:r w:rsidR="00147233">
        <w:t xml:space="preserve">, there </w:t>
      </w:r>
      <w:r>
        <w:t xml:space="preserve">followed </w:t>
      </w:r>
      <w:r w:rsidR="007C5D2E">
        <w:t xml:space="preserve">highly contested </w:t>
      </w:r>
      <w:r w:rsidR="00D46379">
        <w:t>private law proceedings</w:t>
      </w:r>
      <w:r w:rsidR="00BE38C0">
        <w:t xml:space="preserve"> </w:t>
      </w:r>
      <w:r w:rsidR="004F46F8">
        <w:t xml:space="preserve">concerning </w:t>
      </w:r>
      <w:r>
        <w:t xml:space="preserve">arrangements for the </w:t>
      </w:r>
      <w:r w:rsidR="00BE38C0">
        <w:t>children</w:t>
      </w:r>
      <w:r w:rsidR="00D46379">
        <w:t xml:space="preserve">.  </w:t>
      </w:r>
    </w:p>
    <w:p w14:paraId="0949C6FC" w14:textId="2E80820B" w:rsidR="00C601AF" w:rsidRDefault="004F46F8" w:rsidP="00EB471B">
      <w:pPr>
        <w:pStyle w:val="ParaLevel1"/>
      </w:pPr>
      <w:r>
        <w:t xml:space="preserve">Following those proceedings, in </w:t>
      </w:r>
      <w:r w:rsidR="00C601AF">
        <w:t>September 2013</w:t>
      </w:r>
      <w:r>
        <w:t>,</w:t>
      </w:r>
      <w:r w:rsidR="00C601AF">
        <w:t xml:space="preserve"> the mother made a range of serious allegations about the father’s conduct towards </w:t>
      </w:r>
      <w:r w:rsidR="00853CCC">
        <w:t>TW</w:t>
      </w:r>
      <w:r w:rsidR="00C601AF">
        <w:t xml:space="preserve">. These were </w:t>
      </w:r>
      <w:r>
        <w:t xml:space="preserve">referred to </w:t>
      </w:r>
      <w:r w:rsidR="007C5D2E">
        <w:t xml:space="preserve">a </w:t>
      </w:r>
      <w:r w:rsidR="00C601AF">
        <w:t>social worker</w:t>
      </w:r>
      <w:r w:rsidR="007C5D2E">
        <w:t xml:space="preserve"> from Luton Borough Council,</w:t>
      </w:r>
      <w:r w:rsidR="00C601AF">
        <w:t xml:space="preserve"> </w:t>
      </w:r>
      <w:r>
        <w:t xml:space="preserve">and investigated by her, </w:t>
      </w:r>
      <w:r w:rsidR="00C601AF">
        <w:t xml:space="preserve">though in the </w:t>
      </w:r>
      <w:r w:rsidR="00077D68">
        <w:t xml:space="preserve">opinion </w:t>
      </w:r>
      <w:r w:rsidR="00C601AF">
        <w:t xml:space="preserve">of the father wholly inadequately. </w:t>
      </w:r>
      <w:r w:rsidR="005E2C15">
        <w:t xml:space="preserve"> Contact was suspended between the father and the children.  </w:t>
      </w:r>
      <w:r>
        <w:t>T</w:t>
      </w:r>
      <w:r w:rsidR="007C5D2E">
        <w:t xml:space="preserve">his </w:t>
      </w:r>
      <w:r>
        <w:t>suspension</w:t>
      </w:r>
      <w:r w:rsidR="00741655">
        <w:t>, and hiatus in the relationship of the father and the children,</w:t>
      </w:r>
      <w:r>
        <w:t xml:space="preserve"> continued for 2 </w:t>
      </w:r>
      <w:r w:rsidR="005E2C15">
        <w:t>year</w:t>
      </w:r>
      <w:r>
        <w:t>s</w:t>
      </w:r>
      <w:r w:rsidR="005E2C15">
        <w:t xml:space="preserve"> (</w:t>
      </w:r>
      <w:r w:rsidR="007C5D2E">
        <w:t xml:space="preserve">through </w:t>
      </w:r>
      <w:r w:rsidR="005E2C15">
        <w:t>to September 2015)</w:t>
      </w:r>
      <w:r>
        <w:t xml:space="preserve">, in circumstances which </w:t>
      </w:r>
      <w:r w:rsidR="00741655">
        <w:t xml:space="preserve">have feature centrally in the </w:t>
      </w:r>
      <w:r w:rsidR="00741655" w:rsidRPr="00741655">
        <w:rPr>
          <w:i/>
        </w:rPr>
        <w:t>HRA 1998</w:t>
      </w:r>
      <w:r w:rsidR="00741655">
        <w:t xml:space="preserve"> claims</w:t>
      </w:r>
      <w:r w:rsidR="005E2C15">
        <w:t xml:space="preserve">. </w:t>
      </w:r>
    </w:p>
    <w:p w14:paraId="5ACC379D" w14:textId="00EFCFCE" w:rsidR="00773F0E" w:rsidRDefault="00C601AF" w:rsidP="00EB471B">
      <w:pPr>
        <w:pStyle w:val="ParaLevel1"/>
      </w:pPr>
      <w:r>
        <w:t xml:space="preserve">In </w:t>
      </w:r>
      <w:r w:rsidR="009D501D">
        <w:t xml:space="preserve">September 2014, the mother </w:t>
      </w:r>
      <w:r w:rsidR="00BF77B9">
        <w:t xml:space="preserve">reported that the children had </w:t>
      </w:r>
      <w:r w:rsidR="009D501D">
        <w:t>made allegations</w:t>
      </w:r>
      <w:r w:rsidR="007C3D10">
        <w:t xml:space="preserve"> a</w:t>
      </w:r>
      <w:r w:rsidR="007C5D2E">
        <w:t>bout the father’s conduct towards the</w:t>
      </w:r>
      <w:r w:rsidR="007710FB">
        <w:t>m</w:t>
      </w:r>
      <w:r w:rsidR="007C5D2E">
        <w:t xml:space="preserve"> (he had not seen them for a year by now)</w:t>
      </w:r>
      <w:r w:rsidR="00741655">
        <w:t xml:space="preserve">; </w:t>
      </w:r>
      <w:r w:rsidR="007710FB">
        <w:t xml:space="preserve">the mother contended that </w:t>
      </w:r>
      <w:r w:rsidR="00741655">
        <w:t xml:space="preserve">both </w:t>
      </w:r>
      <w:r w:rsidR="009D501D">
        <w:t xml:space="preserve">children had been sexually abused by the father.  These allegations were investigated by the social services department </w:t>
      </w:r>
      <w:r w:rsidR="00773F0E">
        <w:t xml:space="preserve">using their </w:t>
      </w:r>
      <w:r w:rsidR="00243108">
        <w:t xml:space="preserve">investigative </w:t>
      </w:r>
      <w:r w:rsidR="00773F0E">
        <w:t xml:space="preserve">powers </w:t>
      </w:r>
      <w:r w:rsidR="009D501D">
        <w:t xml:space="preserve">under </w:t>
      </w:r>
      <w:r w:rsidR="009D501D" w:rsidRPr="009D501D">
        <w:rPr>
          <w:i/>
        </w:rPr>
        <w:t>section 47</w:t>
      </w:r>
      <w:r w:rsidR="00773F0E">
        <w:rPr>
          <w:i/>
        </w:rPr>
        <w:t xml:space="preserve"> CA 1989</w:t>
      </w:r>
      <w:r w:rsidR="009D501D">
        <w:t xml:space="preserve">; </w:t>
      </w:r>
      <w:r w:rsidR="0064122E">
        <w:t>the children were interviewed in accordance with the Achieving Best Evidence Guidance. T</w:t>
      </w:r>
      <w:r w:rsidR="009D501D">
        <w:t xml:space="preserve">he </w:t>
      </w:r>
      <w:r w:rsidR="007C3D10">
        <w:t>father was arrested and bail</w:t>
      </w:r>
      <w:r w:rsidR="0064122E">
        <w:t>ed</w:t>
      </w:r>
      <w:r w:rsidR="007C3D10">
        <w:t xml:space="preserve"> while the police </w:t>
      </w:r>
      <w:r w:rsidR="005E2C15">
        <w:t xml:space="preserve">conducted </w:t>
      </w:r>
      <w:r w:rsidR="00773F0E">
        <w:t xml:space="preserve">a </w:t>
      </w:r>
      <w:r w:rsidR="009D501D">
        <w:t>parallel investigation.</w:t>
      </w:r>
      <w:r w:rsidR="00BA76F3">
        <w:t xml:space="preserve">  The social worker reported the inherent improbability of the allegations, and acknowledged the risk that the children had been coached </w:t>
      </w:r>
      <w:r w:rsidR="005E2C15">
        <w:t xml:space="preserve">to </w:t>
      </w:r>
      <w:r w:rsidR="00BA76F3">
        <w:t xml:space="preserve">make false allegations.  </w:t>
      </w:r>
    </w:p>
    <w:p w14:paraId="6525B0CC" w14:textId="25D6BF44" w:rsidR="009D501D" w:rsidRPr="00CE775E" w:rsidRDefault="00773F0E" w:rsidP="00EB471B">
      <w:pPr>
        <w:pStyle w:val="ParaLevel1"/>
      </w:pPr>
      <w:r w:rsidRPr="00CE775E">
        <w:lastRenderedPageBreak/>
        <w:t xml:space="preserve">In </w:t>
      </w:r>
      <w:r w:rsidR="00BA76F3" w:rsidRPr="00CE775E">
        <w:t xml:space="preserve">November 2014, the children’s schools </w:t>
      </w:r>
      <w:r w:rsidRPr="00CE775E">
        <w:t xml:space="preserve">reported </w:t>
      </w:r>
      <w:r w:rsidR="00BA76F3" w:rsidRPr="00CE775E">
        <w:t xml:space="preserve">heightened concerns about </w:t>
      </w:r>
      <w:r w:rsidR="004F50BB" w:rsidRPr="00CE775E">
        <w:t xml:space="preserve">neglect of the children by their mother, </w:t>
      </w:r>
      <w:r w:rsidR="0032285D">
        <w:t xml:space="preserve">further extreme allegations being made by the children, </w:t>
      </w:r>
      <w:r w:rsidR="004F50BB" w:rsidRPr="00CE775E">
        <w:t>and of the mother’s mental health</w:t>
      </w:r>
      <w:r w:rsidR="00BA76F3" w:rsidRPr="00CE775E">
        <w:t>. Later that month</w:t>
      </w:r>
      <w:r w:rsidR="00B94BCC" w:rsidRPr="00CE775E">
        <w:t xml:space="preserve">, </w:t>
      </w:r>
      <w:r w:rsidR="00853CCC" w:rsidRPr="00CE775E">
        <w:t>SW</w:t>
      </w:r>
      <w:r w:rsidR="00B94BCC" w:rsidRPr="00CE775E">
        <w:t xml:space="preserve"> and </w:t>
      </w:r>
      <w:r w:rsidR="00853CCC" w:rsidRPr="00CE775E">
        <w:t>TW</w:t>
      </w:r>
      <w:r w:rsidR="00B94BCC" w:rsidRPr="00CE775E">
        <w:t xml:space="preserve"> underwent </w:t>
      </w:r>
      <w:r w:rsidR="008C4B86" w:rsidRPr="00CE775E">
        <w:t xml:space="preserve">full </w:t>
      </w:r>
      <w:r w:rsidR="00B94BCC" w:rsidRPr="00CE775E">
        <w:t>medical examinations</w:t>
      </w:r>
      <w:r w:rsidR="0032285D">
        <w:t xml:space="preserve"> in the investigation of sexual abuse</w:t>
      </w:r>
      <w:r w:rsidR="001F640D" w:rsidRPr="00CE775E">
        <w:t xml:space="preserve">.  The </w:t>
      </w:r>
      <w:r w:rsidR="008C4B86" w:rsidRPr="00CE775E">
        <w:t>mother had pressed for these examinations</w:t>
      </w:r>
      <w:r w:rsidR="001F640D" w:rsidRPr="00CE775E">
        <w:t xml:space="preserve">; the Local Authority and the police had </w:t>
      </w:r>
      <w:r w:rsidR="00A422D9" w:rsidRPr="00CE775E">
        <w:t xml:space="preserve">ultimately </w:t>
      </w:r>
      <w:r w:rsidR="001F640D" w:rsidRPr="00CE775E">
        <w:t>supported them taking place, and a social worker was in attendance with the mother</w:t>
      </w:r>
      <w:r w:rsidR="00B94BCC" w:rsidRPr="00CE775E">
        <w:t xml:space="preserve">. It is now accepted by the local authority that these examinations were not necessary, </w:t>
      </w:r>
      <w:r w:rsidR="00D307E2" w:rsidRPr="00CE775E">
        <w:t xml:space="preserve">they were </w:t>
      </w:r>
      <w:r w:rsidR="005E2C15" w:rsidRPr="00CE775E">
        <w:t>disproportionate</w:t>
      </w:r>
      <w:r w:rsidR="00D307E2" w:rsidRPr="00CE775E">
        <w:t xml:space="preserve">ly intrusive; the authority accepts </w:t>
      </w:r>
      <w:r w:rsidR="00B94BCC" w:rsidRPr="00CE775E">
        <w:t>that it failed to protect the children from th</w:t>
      </w:r>
      <w:r w:rsidR="0089001D" w:rsidRPr="00CE775E">
        <w:t>is</w:t>
      </w:r>
      <w:r w:rsidR="005E2C15" w:rsidRPr="00CE775E">
        <w:t xml:space="preserve"> invasion of the children’s privacy</w:t>
      </w:r>
      <w:r w:rsidR="00B94BCC" w:rsidRPr="00CE775E">
        <w:t xml:space="preserve">. </w:t>
      </w:r>
      <w:r w:rsidR="00CF771E" w:rsidRPr="00CE775E">
        <w:t xml:space="preserve">In December 2014 at a child protection conference, recommendations were made that there should be "formal investigations into the allegations” </w:t>
      </w:r>
      <w:r w:rsidR="005E2C15" w:rsidRPr="00CE775E">
        <w:t xml:space="preserve">which </w:t>
      </w:r>
      <w:r w:rsidRPr="00CE775E">
        <w:t>had been made by the mother; th</w:t>
      </w:r>
      <w:r w:rsidR="00D307E2" w:rsidRPr="00CE775E">
        <w:t xml:space="preserve">ese investigations were </w:t>
      </w:r>
      <w:r w:rsidR="00CF771E" w:rsidRPr="00CE775E">
        <w:t xml:space="preserve">to be carried out by the police and children’s services. </w:t>
      </w:r>
      <w:r w:rsidR="005E2C15" w:rsidRPr="00CE775E">
        <w:t xml:space="preserve">At no stage did the </w:t>
      </w:r>
      <w:r w:rsidR="00CF771E" w:rsidRPr="00CE775E">
        <w:t xml:space="preserve">decision-making </w:t>
      </w:r>
      <w:r w:rsidR="00D307E2" w:rsidRPr="00CE775E">
        <w:t>at this conference</w:t>
      </w:r>
      <w:r w:rsidR="0089001D" w:rsidRPr="00CE775E">
        <w:t>,</w:t>
      </w:r>
      <w:r w:rsidR="00D307E2" w:rsidRPr="00CE775E">
        <w:t xml:space="preserve"> or generally</w:t>
      </w:r>
      <w:r w:rsidR="0089001D" w:rsidRPr="00CE775E">
        <w:t>,</w:t>
      </w:r>
      <w:r w:rsidR="00D307E2" w:rsidRPr="00CE775E">
        <w:t xml:space="preserve"> </w:t>
      </w:r>
      <w:r w:rsidR="00CF771E" w:rsidRPr="00CE775E">
        <w:t>include the father</w:t>
      </w:r>
      <w:r w:rsidR="0089001D" w:rsidRPr="00CE775E">
        <w:t>.  At no time was he</w:t>
      </w:r>
      <w:r w:rsidR="00D307E2" w:rsidRPr="00CE775E">
        <w:t xml:space="preserve"> </w:t>
      </w:r>
      <w:r w:rsidR="007B16EF" w:rsidRPr="00CE775E">
        <w:t>consulted</w:t>
      </w:r>
      <w:r w:rsidR="0089001D" w:rsidRPr="00CE775E">
        <w:t xml:space="preserve"> about the investigation into the complaints,</w:t>
      </w:r>
      <w:r w:rsidR="007B16EF" w:rsidRPr="00CE775E">
        <w:t xml:space="preserve"> and</w:t>
      </w:r>
      <w:r w:rsidR="00CF771E" w:rsidRPr="00CE775E">
        <w:t xml:space="preserve"> was given no opportunity to contribute to the investigation</w:t>
      </w:r>
      <w:r w:rsidR="00D307E2" w:rsidRPr="00CE775E">
        <w:t xml:space="preserve"> or the decisions</w:t>
      </w:r>
      <w:r w:rsidR="00CF771E" w:rsidRPr="00CE775E">
        <w:t>.</w:t>
      </w:r>
    </w:p>
    <w:p w14:paraId="19BC26F9" w14:textId="1C9A3EA5" w:rsidR="00CF771E" w:rsidRDefault="00A06683" w:rsidP="00EB471B">
      <w:pPr>
        <w:pStyle w:val="ParaLevel1"/>
      </w:pPr>
      <w:r w:rsidRPr="00CE775E">
        <w:t xml:space="preserve">Although a “formal investigation” had been commissioned </w:t>
      </w:r>
      <w:r w:rsidR="0089001D" w:rsidRPr="00CE775E">
        <w:t xml:space="preserve">by the conference </w:t>
      </w:r>
      <w:r w:rsidRPr="00CE775E">
        <w:t>in December 2014</w:t>
      </w:r>
      <w:r w:rsidR="002F2D0A">
        <w:t xml:space="preserve"> (see [10] above)</w:t>
      </w:r>
      <w:r w:rsidRPr="00CE775E">
        <w:t>, there is no evidence that there was any formal planning of such an investigation, nor is there evidence of any coherent strategy for protecting the children; indeed</w:t>
      </w:r>
      <w:r w:rsidR="0089001D" w:rsidRPr="00CE775E">
        <w:t>,</w:t>
      </w:r>
      <w:r w:rsidRPr="00CE775E">
        <w:t xml:space="preserve"> no real investigation took place</w:t>
      </w:r>
      <w:r w:rsidR="0089001D" w:rsidRPr="00CE775E">
        <w:t xml:space="preserve"> at all</w:t>
      </w:r>
      <w:r w:rsidRPr="00CE775E">
        <w:t xml:space="preserve">. That said, in </w:t>
      </w:r>
      <w:r w:rsidR="00FB65CA" w:rsidRPr="00CE775E">
        <w:t xml:space="preserve">April </w:t>
      </w:r>
      <w:r w:rsidR="00CF771E" w:rsidRPr="00CE775E">
        <w:t xml:space="preserve">2015, </w:t>
      </w:r>
      <w:r w:rsidR="00853CCC" w:rsidRPr="00CE775E">
        <w:t>TW</w:t>
      </w:r>
      <w:r w:rsidR="002B74E4" w:rsidRPr="00CE775E">
        <w:t xml:space="preserve"> underwent a further medical examination </w:t>
      </w:r>
      <w:r w:rsidR="002F2D0A" w:rsidRPr="00CE775E">
        <w:t>at the insistence of the mother</w:t>
      </w:r>
      <w:r w:rsidR="002F2D0A">
        <w:t>,</w:t>
      </w:r>
      <w:r w:rsidR="002F2D0A" w:rsidRPr="00CE775E">
        <w:t xml:space="preserve"> </w:t>
      </w:r>
      <w:r w:rsidR="00FB65CA" w:rsidRPr="00CE775E">
        <w:t xml:space="preserve">this time </w:t>
      </w:r>
      <w:r w:rsidR="002B74E4" w:rsidRPr="00CE775E">
        <w:t xml:space="preserve">under general anaesthetic. The Local Authority now accepts that it should have taken steps to prevent the mother from presenting </w:t>
      </w:r>
      <w:r w:rsidR="00853CCC" w:rsidRPr="00CE775E">
        <w:t>TW</w:t>
      </w:r>
      <w:r w:rsidR="002B74E4" w:rsidRPr="00CE775E">
        <w:t xml:space="preserve"> for further medical examination</w:t>
      </w:r>
      <w:r w:rsidR="00FB65CA" w:rsidRPr="00CE775E">
        <w:t>, particularly as the November 2014 examination had revealed no diagnostic signs of abuse</w:t>
      </w:r>
      <w:r w:rsidR="002B74E4" w:rsidRPr="00CE775E">
        <w:t>.  It is now acknowledged that the</w:t>
      </w:r>
      <w:r w:rsidRPr="00CE775E">
        <w:t xml:space="preserve"> children’s </w:t>
      </w:r>
      <w:r w:rsidR="002B74E4" w:rsidRPr="00CE775E">
        <w:t>mother was</w:t>
      </w:r>
      <w:r w:rsidRPr="00CE775E">
        <w:t>, by her actions,</w:t>
      </w:r>
      <w:r w:rsidR="002B74E4" w:rsidRPr="00CE775E">
        <w:t xml:space="preserve"> causing the children </w:t>
      </w:r>
      <w:r w:rsidRPr="00CE775E">
        <w:t xml:space="preserve">significant </w:t>
      </w:r>
      <w:r w:rsidR="007B16EF" w:rsidRPr="00CE775E">
        <w:t>harm</w:t>
      </w:r>
      <w:r w:rsidR="002B74E4" w:rsidRPr="00CE775E">
        <w:t>. The Local Authority</w:t>
      </w:r>
      <w:r w:rsidR="002B74E4">
        <w:t xml:space="preserve"> accepts that each </w:t>
      </w:r>
      <w:r w:rsidR="00D307E2">
        <w:t xml:space="preserve">medical </w:t>
      </w:r>
      <w:r w:rsidR="002B74E4">
        <w:t>examination of the children was a serious invasion of the rights of each to respect for their privacy</w:t>
      </w:r>
      <w:r>
        <w:t xml:space="preserve"> and unjustified</w:t>
      </w:r>
      <w:r w:rsidR="002B74E4">
        <w:t>.</w:t>
      </w:r>
    </w:p>
    <w:p w14:paraId="263994A5" w14:textId="5A10D216" w:rsidR="002B74E4" w:rsidRDefault="00A06683" w:rsidP="00EB471B">
      <w:pPr>
        <w:pStyle w:val="ParaLevel1"/>
      </w:pPr>
      <w:r>
        <w:t>A</w:t>
      </w:r>
      <w:r w:rsidR="00AC2BE3">
        <w:t xml:space="preserve">t the </w:t>
      </w:r>
      <w:r w:rsidR="002F2D0A">
        <w:t xml:space="preserve">next child protection </w:t>
      </w:r>
      <w:r w:rsidR="00AC2BE3">
        <w:t xml:space="preserve">review, </w:t>
      </w:r>
      <w:r>
        <w:t xml:space="preserve">in February 2015, </w:t>
      </w:r>
      <w:r w:rsidR="00AC2BE3">
        <w:t>the child protection plan was discharged and replaced with a Child in the Need plan without any exploration of why the earlier</w:t>
      </w:r>
      <w:r w:rsidR="0036784E">
        <w:t xml:space="preserve"> plan had not been implemented.</w:t>
      </w:r>
    </w:p>
    <w:p w14:paraId="7CF001B8" w14:textId="1F457AFD" w:rsidR="009D51A1" w:rsidRDefault="009D51A1" w:rsidP="00EB471B">
      <w:pPr>
        <w:pStyle w:val="ParaLevel1"/>
      </w:pPr>
      <w:r>
        <w:t xml:space="preserve">In July 2015, </w:t>
      </w:r>
      <w:r w:rsidR="00786C3F">
        <w:t>R</w:t>
      </w:r>
      <w:r w:rsidR="0089001D">
        <w:t>T</w:t>
      </w:r>
      <w:r>
        <w:t xml:space="preserve">, the children’s mother </w:t>
      </w:r>
      <w:r w:rsidR="002F2D0A">
        <w:t xml:space="preserve">suddenly and unexpectedly </w:t>
      </w:r>
      <w:r>
        <w:t xml:space="preserve">died.  The children moved </w:t>
      </w:r>
      <w:r w:rsidR="00786C3F">
        <w:t xml:space="preserve">initially </w:t>
      </w:r>
      <w:r>
        <w:t>to live with M</w:t>
      </w:r>
      <w:r w:rsidR="00786C3F">
        <w:t>T</w:t>
      </w:r>
      <w:r>
        <w:t xml:space="preserve">, their maternal grandmother, where they remained for a few months.  </w:t>
      </w:r>
      <w:r w:rsidR="00A06683">
        <w:t xml:space="preserve">No one in the Local Authority’s </w:t>
      </w:r>
      <w:r w:rsidR="005D29CC">
        <w:t xml:space="preserve">social work </w:t>
      </w:r>
      <w:r w:rsidR="00A06683">
        <w:t xml:space="preserve">department </w:t>
      </w:r>
      <w:r w:rsidR="005D29CC">
        <w:t xml:space="preserve">took steps to </w:t>
      </w:r>
      <w:r w:rsidR="00A06683">
        <w:t>notif</w:t>
      </w:r>
      <w:r w:rsidR="005D29CC">
        <w:t>y</w:t>
      </w:r>
      <w:r w:rsidR="00A06683">
        <w:t xml:space="preserve"> the father</w:t>
      </w:r>
      <w:r w:rsidR="0089001D">
        <w:t xml:space="preserve"> of this </w:t>
      </w:r>
      <w:r w:rsidR="00AE271D">
        <w:t>important event in the children’s lives</w:t>
      </w:r>
      <w:r w:rsidR="00A06683">
        <w:t>, though inevitably – albeit after a delay – he discovered</w:t>
      </w:r>
      <w:r w:rsidR="008371B6">
        <w:t xml:space="preserve"> from another third party</w:t>
      </w:r>
      <w:r w:rsidR="00A06683">
        <w:t xml:space="preserve">.  </w:t>
      </w:r>
      <w:r>
        <w:t xml:space="preserve">In </w:t>
      </w:r>
      <w:r w:rsidR="001F5C50">
        <w:t>August 2015, M</w:t>
      </w:r>
      <w:r w:rsidR="00786C3F">
        <w:t>T</w:t>
      </w:r>
      <w:r w:rsidR="001F5C50">
        <w:t xml:space="preserve"> issued proceedings under the </w:t>
      </w:r>
      <w:r w:rsidR="001F5C50" w:rsidRPr="001F5C50">
        <w:rPr>
          <w:i/>
        </w:rPr>
        <w:t>CA 1989</w:t>
      </w:r>
      <w:r w:rsidR="00AE271D">
        <w:t xml:space="preserve"> for a child arrangements order</w:t>
      </w:r>
      <w:r w:rsidR="00786C3F">
        <w:t>;</w:t>
      </w:r>
      <w:r w:rsidR="001F5C50">
        <w:t xml:space="preserve"> </w:t>
      </w:r>
      <w:r w:rsidR="00786C3F">
        <w:t xml:space="preserve">the father made a </w:t>
      </w:r>
      <w:r w:rsidR="007B16EF">
        <w:t>cross-application</w:t>
      </w:r>
      <w:r w:rsidR="00786C3F">
        <w:t>.  Within those private law proceedings, a</w:t>
      </w:r>
      <w:r w:rsidR="007B16EF">
        <w:t xml:space="preserve"> </w:t>
      </w:r>
      <w:r w:rsidR="007B16EF" w:rsidRPr="007B16EF">
        <w:rPr>
          <w:i/>
        </w:rPr>
        <w:t>section 37</w:t>
      </w:r>
      <w:r w:rsidR="007B16EF">
        <w:t xml:space="preserve"> report was ordered.  </w:t>
      </w:r>
      <w:r w:rsidR="004C4E3D">
        <w:t xml:space="preserve">Social work and other expert opinion garnered in the case was to the effect that the </w:t>
      </w:r>
      <w:r w:rsidR="00762949">
        <w:t xml:space="preserve">children were being exposed to further harm in the care of the </w:t>
      </w:r>
      <w:r w:rsidR="004C4E3D">
        <w:t xml:space="preserve">maternal grandmother </w:t>
      </w:r>
      <w:r w:rsidR="00762949">
        <w:t xml:space="preserve">who </w:t>
      </w:r>
      <w:r w:rsidR="00F35DF9">
        <w:t xml:space="preserve">was expressing </w:t>
      </w:r>
      <w:r w:rsidR="004C4E3D">
        <w:t xml:space="preserve">implacably </w:t>
      </w:r>
      <w:r w:rsidR="00762949">
        <w:t xml:space="preserve">hostile views about the father and was opposed </w:t>
      </w:r>
      <w:r w:rsidR="004C4E3D">
        <w:t>to the father</w:t>
      </w:r>
      <w:r w:rsidR="00762949">
        <w:t xml:space="preserve"> playing a </w:t>
      </w:r>
      <w:r w:rsidR="004C4E3D">
        <w:t>role in the children’s lives</w:t>
      </w:r>
      <w:r w:rsidR="009574EC">
        <w:t>, a stance which she was unable or unwilling to shield from the children</w:t>
      </w:r>
      <w:r w:rsidR="004C4E3D">
        <w:t xml:space="preserve">.  </w:t>
      </w:r>
      <w:r w:rsidR="007B16EF">
        <w:t>I</w:t>
      </w:r>
      <w:r>
        <w:t xml:space="preserve">n </w:t>
      </w:r>
      <w:r w:rsidR="001F5C50">
        <w:t>late-</w:t>
      </w:r>
      <w:r>
        <w:t>September 2015, the Local Authority finally issued public law proceedings</w:t>
      </w:r>
      <w:r w:rsidR="00E72ED0">
        <w:t xml:space="preserve">; these proceedings </w:t>
      </w:r>
      <w:r>
        <w:t xml:space="preserve">have been </w:t>
      </w:r>
      <w:r w:rsidR="009574EC">
        <w:t xml:space="preserve">concluded </w:t>
      </w:r>
      <w:r>
        <w:t>at this hearing.  In early 2016, the children were placed with a paternal uncle, before ultimately moving to live with the father himself.</w:t>
      </w:r>
    </w:p>
    <w:p w14:paraId="302933F7" w14:textId="68EAA392" w:rsidR="00E72ED0" w:rsidRDefault="00E72ED0" w:rsidP="00EB471B">
      <w:pPr>
        <w:pStyle w:val="ParaLevel1"/>
      </w:pPr>
      <w:r>
        <w:t xml:space="preserve">Within the litigation, expert assessments have been ordered, and detailed and lengthy reports filed; an independent social worker has worked the case in view of the father’s </w:t>
      </w:r>
      <w:r w:rsidR="00762949">
        <w:lastRenderedPageBreak/>
        <w:t xml:space="preserve">understandable </w:t>
      </w:r>
      <w:r w:rsidR="00C63F89">
        <w:t xml:space="preserve">dissatisfaction with the </w:t>
      </w:r>
      <w:r w:rsidR="00762949">
        <w:t xml:space="preserve">work conducted by the </w:t>
      </w:r>
      <w:r w:rsidR="00C63F89">
        <w:t>Local Authority’s social work department.</w:t>
      </w:r>
    </w:p>
    <w:p w14:paraId="76F95B41" w14:textId="71E9722F" w:rsidR="0036784E" w:rsidRDefault="00E72ED0" w:rsidP="00EB471B">
      <w:pPr>
        <w:pStyle w:val="ParaLevel1"/>
      </w:pPr>
      <w:r>
        <w:t>As is apparent</w:t>
      </w:r>
      <w:r w:rsidR="00777F1A">
        <w:t xml:space="preserve"> from the history outlined</w:t>
      </w:r>
      <w:r>
        <w:t xml:space="preserve">, the </w:t>
      </w:r>
      <w:r w:rsidR="00193703">
        <w:t xml:space="preserve">case has regrettably taken far longer than the 26 weeks </w:t>
      </w:r>
      <w:r w:rsidR="00777F1A">
        <w:t xml:space="preserve">expected </w:t>
      </w:r>
      <w:r w:rsidR="00193703">
        <w:t>by statute (</w:t>
      </w:r>
      <w:r w:rsidR="00193703" w:rsidRPr="00193703">
        <w:rPr>
          <w:i/>
        </w:rPr>
        <w:t>section 32(1)(a) CA 1989</w:t>
      </w:r>
      <w:r w:rsidR="00193703">
        <w:t>)</w:t>
      </w:r>
      <w:r w:rsidR="00C63F89">
        <w:t xml:space="preserve"> to reach its conclusion</w:t>
      </w:r>
      <w:r w:rsidR="00193703">
        <w:t xml:space="preserve">; this was in part </w:t>
      </w:r>
      <w:r w:rsidR="00AA665A">
        <w:t xml:space="preserve">purposeful </w:t>
      </w:r>
      <w:r w:rsidR="00C63F89">
        <w:t xml:space="preserve">to allow for </w:t>
      </w:r>
      <w:r w:rsidR="00F35DF9">
        <w:t xml:space="preserve">detailed and extended </w:t>
      </w:r>
      <w:r w:rsidR="00193703">
        <w:t xml:space="preserve">assessment </w:t>
      </w:r>
      <w:r w:rsidR="00C63F89">
        <w:t xml:space="preserve">of the family </w:t>
      </w:r>
      <w:r w:rsidR="000171E4">
        <w:t xml:space="preserve">as </w:t>
      </w:r>
      <w:r w:rsidR="00193703">
        <w:t xml:space="preserve">recommended by </w:t>
      </w:r>
      <w:r w:rsidR="00C63F89">
        <w:t xml:space="preserve">the </w:t>
      </w:r>
      <w:r w:rsidR="00193703">
        <w:t>jointly instructed expert</w:t>
      </w:r>
      <w:r w:rsidR="00C63F89">
        <w:t xml:space="preserve">.  The </w:t>
      </w:r>
      <w:r w:rsidR="00794DA0">
        <w:t xml:space="preserve">delay has </w:t>
      </w:r>
      <w:r w:rsidR="00C63F89">
        <w:t xml:space="preserve">also </w:t>
      </w:r>
      <w:r w:rsidR="00794DA0">
        <w:t xml:space="preserve">at least in part been </w:t>
      </w:r>
      <w:r w:rsidR="000171E4">
        <w:t xml:space="preserve">contributed to </w:t>
      </w:r>
      <w:r w:rsidR="00435627">
        <w:t xml:space="preserve">by the </w:t>
      </w:r>
      <w:r w:rsidR="00027091">
        <w:t xml:space="preserve">wholly unavoidable </w:t>
      </w:r>
      <w:r w:rsidR="00946110">
        <w:t xml:space="preserve">break in </w:t>
      </w:r>
      <w:r w:rsidR="00C63F89">
        <w:t>judicial continuity</w:t>
      </w:r>
      <w:r w:rsidR="00794DA0">
        <w:t>.</w:t>
      </w:r>
    </w:p>
    <w:p w14:paraId="5C98DCAD" w14:textId="62D23472" w:rsidR="00AF474E" w:rsidRDefault="00D5497B" w:rsidP="00EB471B">
      <w:pPr>
        <w:pStyle w:val="ParaLevel1"/>
      </w:pPr>
      <w:r>
        <w:t xml:space="preserve">I strongly suspect that the automatic coupling of the </w:t>
      </w:r>
      <w:r w:rsidRPr="00462180">
        <w:rPr>
          <w:i/>
        </w:rPr>
        <w:t>CA 1989</w:t>
      </w:r>
      <w:r>
        <w:t xml:space="preserve"> and </w:t>
      </w:r>
      <w:r w:rsidRPr="00462180">
        <w:rPr>
          <w:i/>
        </w:rPr>
        <w:t>HRA 1998</w:t>
      </w:r>
      <w:r>
        <w:t xml:space="preserve"> claims has been a</w:t>
      </w:r>
      <w:r w:rsidR="00234D1F">
        <w:t xml:space="preserve">n additional and significant </w:t>
      </w:r>
      <w:r>
        <w:t xml:space="preserve">factor in </w:t>
      </w:r>
      <w:r w:rsidR="00777F1A">
        <w:t xml:space="preserve">the delay in </w:t>
      </w:r>
      <w:r w:rsidR="00D566E2">
        <w:t xml:space="preserve">resolving </w:t>
      </w:r>
      <w:r>
        <w:t xml:space="preserve">the </w:t>
      </w:r>
      <w:r w:rsidRPr="00D5497B">
        <w:rPr>
          <w:i/>
        </w:rPr>
        <w:t>CA 1989</w:t>
      </w:r>
      <w:r>
        <w:t xml:space="preserve"> aspect of the case</w:t>
      </w:r>
      <w:r w:rsidR="00AA665A">
        <w:t xml:space="preserve">; </w:t>
      </w:r>
      <w:r w:rsidR="00CF0291">
        <w:t xml:space="preserve">while it is important that due respect is paid to the guidance in </w:t>
      </w:r>
      <w:r w:rsidR="00CF0291" w:rsidRPr="00CF0291">
        <w:rPr>
          <w:i/>
        </w:rPr>
        <w:t>Re L</w:t>
      </w:r>
      <w:r w:rsidR="00CF0291">
        <w:t xml:space="preserve">, </w:t>
      </w:r>
      <w:r w:rsidR="00AF474E">
        <w:t xml:space="preserve">the relief sought in the </w:t>
      </w:r>
      <w:r w:rsidR="00AF474E" w:rsidRPr="00AF474E">
        <w:rPr>
          <w:i/>
        </w:rPr>
        <w:t>HRA 1998</w:t>
      </w:r>
      <w:r w:rsidR="00AF474E">
        <w:t xml:space="preserve"> application did not bear to any material extent on the relief being claimed by any party in the </w:t>
      </w:r>
      <w:r w:rsidR="00AF474E" w:rsidRPr="00AF474E">
        <w:rPr>
          <w:i/>
        </w:rPr>
        <w:t>CA 1989</w:t>
      </w:r>
      <w:r w:rsidR="00AF474E">
        <w:t xml:space="preserve"> proceedings. </w:t>
      </w:r>
      <w:r w:rsidR="00027091">
        <w:t>I note that previous case management orders had referred to the issue of uncoupling</w:t>
      </w:r>
      <w:r w:rsidR="003C5CCE">
        <w:t xml:space="preserve"> the applications</w:t>
      </w:r>
      <w:r w:rsidR="00027091">
        <w:t xml:space="preserve">, but nothing was done about it.  In my judgment, </w:t>
      </w:r>
      <w:r w:rsidR="003C5CCE">
        <w:t xml:space="preserve">had more careful </w:t>
      </w:r>
      <w:r w:rsidR="00027091">
        <w:t xml:space="preserve">consideration </w:t>
      </w:r>
      <w:r w:rsidR="00462180">
        <w:t xml:space="preserve">been given to </w:t>
      </w:r>
      <w:r w:rsidR="003C5CCE">
        <w:t xml:space="preserve">this, the prospect of a </w:t>
      </w:r>
      <w:r w:rsidR="00593F09">
        <w:t xml:space="preserve">10-day listing would never have been </w:t>
      </w:r>
      <w:r w:rsidR="003C5CCE">
        <w:t>contemplated</w:t>
      </w:r>
      <w:r w:rsidR="00234D1F">
        <w:t>, and the attendant wait for an available slot of this length in the Court diary avoided</w:t>
      </w:r>
      <w:r w:rsidR="00593F09">
        <w:t xml:space="preserve">.  </w:t>
      </w:r>
    </w:p>
    <w:p w14:paraId="550FD8E1" w14:textId="2ED90962" w:rsidR="00615101" w:rsidRDefault="00615101" w:rsidP="00EB471B">
      <w:pPr>
        <w:pStyle w:val="ParaLevel1"/>
        <w:numPr>
          <w:ilvl w:val="0"/>
          <w:numId w:val="0"/>
        </w:numPr>
      </w:pPr>
      <w:r w:rsidRPr="00615101">
        <w:rPr>
          <w:i/>
        </w:rPr>
        <w:t>Children Act applications</w:t>
      </w:r>
      <w:r>
        <w:t>:</w:t>
      </w:r>
    </w:p>
    <w:p w14:paraId="11D7A53A" w14:textId="15CB6881" w:rsidR="00615101" w:rsidRDefault="00615101" w:rsidP="00EB471B">
      <w:pPr>
        <w:pStyle w:val="ParaLevel1"/>
      </w:pPr>
      <w:r>
        <w:t>The children have been living with their father now f</w:t>
      </w:r>
      <w:r w:rsidR="00B10104">
        <w:t xml:space="preserve">or the </w:t>
      </w:r>
      <w:r w:rsidR="000C01C1">
        <w:t xml:space="preserve">last </w:t>
      </w:r>
      <w:r w:rsidR="00B10104">
        <w:t>year.  T</w:t>
      </w:r>
      <w:r>
        <w:t>he</w:t>
      </w:r>
      <w:r w:rsidR="000C01C1">
        <w:t>y have settled well with him</w:t>
      </w:r>
      <w:r>
        <w:t>, and the</w:t>
      </w:r>
      <w:r w:rsidR="000C01C1">
        <w:t>y</w:t>
      </w:r>
      <w:r>
        <w:t xml:space="preserve"> </w:t>
      </w:r>
      <w:r w:rsidR="000C01C1">
        <w:t xml:space="preserve">are said to be </w:t>
      </w:r>
      <w:r>
        <w:t>thriving</w:t>
      </w:r>
      <w:r w:rsidR="000171E4">
        <w:t>; both are making good academic progress</w:t>
      </w:r>
      <w:r>
        <w:t xml:space="preserve">.  The Local Authority has made it clear </w:t>
      </w:r>
      <w:r w:rsidR="00F66C69">
        <w:t xml:space="preserve">at this hearing </w:t>
      </w:r>
      <w:r>
        <w:t xml:space="preserve">that it does not seek a </w:t>
      </w:r>
      <w:r w:rsidRPr="00B10104">
        <w:rPr>
          <w:i/>
        </w:rPr>
        <w:t>Part IV</w:t>
      </w:r>
      <w:r w:rsidR="000171E4">
        <w:rPr>
          <w:i/>
        </w:rPr>
        <w:t xml:space="preserve"> CA 1989</w:t>
      </w:r>
      <w:r>
        <w:t xml:space="preserve"> order in relation to the children.  </w:t>
      </w:r>
      <w:r w:rsidR="000171E4">
        <w:t xml:space="preserve">As it happens, the </w:t>
      </w:r>
      <w:r w:rsidR="00F66C69">
        <w:t>children and father actually now live in the geographic area of another authority</w:t>
      </w:r>
      <w:r>
        <w:t xml:space="preserve">; that other authority has also made it clear that it </w:t>
      </w:r>
      <w:r w:rsidR="00F66C69">
        <w:t xml:space="preserve">will support the father if required, but does not seek a statutory order or </w:t>
      </w:r>
      <w:r>
        <w:t>designation</w:t>
      </w:r>
      <w:r w:rsidR="000C01C1">
        <w:t xml:space="preserve"> of the same</w:t>
      </w:r>
      <w:r>
        <w:t xml:space="preserve">.  </w:t>
      </w:r>
      <w:r w:rsidR="000171E4">
        <w:t>It is agreed that a</w:t>
      </w:r>
      <w:r w:rsidR="000C01C1">
        <w:t xml:space="preserve"> private law </w:t>
      </w:r>
      <w:r w:rsidR="000171E4">
        <w:t>order should be made that the children live with their father, and given the disruption which they have experienced in their short lives, I am satisfied that it is better to make that order than to make no order (</w:t>
      </w:r>
      <w:r w:rsidR="000171E4" w:rsidRPr="000171E4">
        <w:rPr>
          <w:i/>
        </w:rPr>
        <w:t>section 1(5) CA 1989</w:t>
      </w:r>
      <w:r w:rsidR="000171E4">
        <w:t>).</w:t>
      </w:r>
    </w:p>
    <w:p w14:paraId="3465BBB4" w14:textId="49283B98" w:rsidR="000171E4" w:rsidRDefault="00615101" w:rsidP="00EB471B">
      <w:pPr>
        <w:pStyle w:val="ParaLevel1"/>
      </w:pPr>
      <w:r>
        <w:t xml:space="preserve">The father and maternal grandmother, both ably represented before me, have </w:t>
      </w:r>
      <w:r w:rsidR="00F66C69">
        <w:t xml:space="preserve">over the last few weeks, </w:t>
      </w:r>
      <w:r>
        <w:t>engaged in constructive di</w:t>
      </w:r>
      <w:r w:rsidR="00F66C69">
        <w:t>alogue about the children’s futures</w:t>
      </w:r>
      <w:r>
        <w:t xml:space="preserve"> which has resulted in an agreement for </w:t>
      </w:r>
      <w:r w:rsidR="000171E4">
        <w:t xml:space="preserve">her </w:t>
      </w:r>
      <w:r>
        <w:t>contact</w:t>
      </w:r>
      <w:r w:rsidR="000171E4">
        <w:t xml:space="preserve"> with the children</w:t>
      </w:r>
      <w:r w:rsidR="009013D6">
        <w:t xml:space="preserve">; the Guardian has expressed her support for the arrangement and I am </w:t>
      </w:r>
      <w:r>
        <w:t>happy to endorse</w:t>
      </w:r>
      <w:r w:rsidR="009013D6">
        <w:t xml:space="preserve"> it</w:t>
      </w:r>
      <w:r>
        <w:t>.</w:t>
      </w:r>
      <w:r w:rsidR="000C01C1">
        <w:t xml:space="preserve">  T</w:t>
      </w:r>
      <w:r w:rsidR="002D084C">
        <w:t>he details will be spelled out in the order</w:t>
      </w:r>
      <w:r w:rsidR="000C01C1">
        <w:t>, but the essential framework is</w:t>
      </w:r>
      <w:r w:rsidR="002D084C">
        <w:t>:</w:t>
      </w:r>
    </w:p>
    <w:p w14:paraId="60F51419" w14:textId="6CE1DA5D" w:rsidR="002D084C" w:rsidRDefault="002D084C" w:rsidP="00EB471B">
      <w:pPr>
        <w:pStyle w:val="ParaLevel2"/>
        <w:rPr>
          <w:lang w:eastAsia="en-GB"/>
        </w:rPr>
      </w:pPr>
      <w:r>
        <w:rPr>
          <w:lang w:eastAsia="en-GB"/>
        </w:rPr>
        <w:t xml:space="preserve">Contact between the children and their grandmother </w:t>
      </w:r>
      <w:r w:rsidR="00D94D0D">
        <w:rPr>
          <w:lang w:eastAsia="en-GB"/>
        </w:rPr>
        <w:t xml:space="preserve">shall </w:t>
      </w:r>
      <w:r w:rsidRPr="002D084C">
        <w:rPr>
          <w:lang w:eastAsia="en-GB"/>
        </w:rPr>
        <w:t xml:space="preserve">be supervised by the father or another member of the family as arranged by the father.  Such contact shall be for a period of no less than 4 hours on each occasion and unless presented otherwise by the father, shall take place in </w:t>
      </w:r>
      <w:r>
        <w:rPr>
          <w:lang w:eastAsia="en-GB"/>
        </w:rPr>
        <w:t xml:space="preserve">his home town, or in that of the maternal grandmother; </w:t>
      </w:r>
    </w:p>
    <w:p w14:paraId="261A9445" w14:textId="5C787CEC" w:rsidR="002D084C" w:rsidRDefault="002D084C" w:rsidP="00EB471B">
      <w:pPr>
        <w:pStyle w:val="ParaLevel2"/>
        <w:rPr>
          <w:lang w:eastAsia="en-GB"/>
        </w:rPr>
      </w:pPr>
      <w:r w:rsidRPr="002D084C">
        <w:rPr>
          <w:lang w:eastAsia="en-GB"/>
        </w:rPr>
        <w:t>The need for ongoing supervision by the father or another member of his family shall be kept under review and determined by t</w:t>
      </w:r>
      <w:r>
        <w:rPr>
          <w:lang w:eastAsia="en-GB"/>
        </w:rPr>
        <w:t>he father</w:t>
      </w:r>
      <w:r w:rsidR="00D94D0D">
        <w:rPr>
          <w:lang w:eastAsia="en-GB"/>
        </w:rPr>
        <w:t>;</w:t>
      </w:r>
    </w:p>
    <w:p w14:paraId="5D7ACBFF" w14:textId="77777777" w:rsidR="002D084C" w:rsidRDefault="002D084C" w:rsidP="00EB471B">
      <w:pPr>
        <w:pStyle w:val="ParaLevel2"/>
        <w:rPr>
          <w:lang w:eastAsia="en-GB"/>
        </w:rPr>
      </w:pPr>
      <w:r w:rsidRPr="002D084C">
        <w:rPr>
          <w:lang w:eastAsia="en-GB"/>
        </w:rPr>
        <w:t>Such additional direct contact both in terms of frequency and/or duration as shall be determined by the father</w:t>
      </w:r>
      <w:r>
        <w:rPr>
          <w:lang w:eastAsia="en-GB"/>
        </w:rPr>
        <w:t>;</w:t>
      </w:r>
    </w:p>
    <w:p w14:paraId="0D90D8B5" w14:textId="50AB9B43" w:rsidR="002D084C" w:rsidRDefault="002D084C" w:rsidP="00EB471B">
      <w:pPr>
        <w:pStyle w:val="ParaLevel2"/>
        <w:rPr>
          <w:lang w:eastAsia="en-GB"/>
        </w:rPr>
      </w:pPr>
      <w:r>
        <w:rPr>
          <w:lang w:eastAsia="en-GB"/>
        </w:rPr>
        <w:lastRenderedPageBreak/>
        <w:t>Indirect contact (</w:t>
      </w:r>
      <w:r>
        <w:t>cards and/or presents to the children on or around their birthdays, Easter and Christmas)</w:t>
      </w:r>
      <w:r w:rsidRPr="002D084C">
        <w:rPr>
          <w:lang w:eastAsia="en-GB"/>
        </w:rPr>
        <w:t>.</w:t>
      </w:r>
    </w:p>
    <w:p w14:paraId="627040AA" w14:textId="7C5220A2" w:rsidR="000C01C1" w:rsidRDefault="000C01C1" w:rsidP="00EB471B">
      <w:pPr>
        <w:pStyle w:val="ParaLevel1"/>
      </w:pPr>
      <w:r>
        <w:t xml:space="preserve">Therefore, against a very bleak and oppositional picture painted when the applications were first issued, particularly against the tragic background of the death of the children’s mother, the </w:t>
      </w:r>
      <w:r w:rsidR="005160E1" w:rsidRPr="005160E1">
        <w:rPr>
          <w:i/>
        </w:rPr>
        <w:t>CA 1989</w:t>
      </w:r>
      <w:r w:rsidR="005160E1">
        <w:t xml:space="preserve"> </w:t>
      </w:r>
      <w:r>
        <w:t>proceedings have now been resolved with considerable consensus, and the minimum of judicial intervention.</w:t>
      </w:r>
    </w:p>
    <w:p w14:paraId="6DA4E637" w14:textId="7DC84D39" w:rsidR="00BA0CBB" w:rsidRPr="00BA0CBB" w:rsidRDefault="00BB1B62" w:rsidP="00EB471B">
      <w:pPr>
        <w:pStyle w:val="ParaLevel1"/>
        <w:numPr>
          <w:ilvl w:val="0"/>
          <w:numId w:val="0"/>
        </w:numPr>
        <w:rPr>
          <w:i/>
        </w:rPr>
      </w:pPr>
      <w:r>
        <w:rPr>
          <w:i/>
        </w:rPr>
        <w:t>Human Rights Act claim</w:t>
      </w:r>
      <w:r w:rsidR="00F80DFA">
        <w:rPr>
          <w:i/>
        </w:rPr>
        <w:t>s: Procedural Regime</w:t>
      </w:r>
    </w:p>
    <w:p w14:paraId="491796BA" w14:textId="39E05D26" w:rsidR="00D57347" w:rsidRDefault="00D57347" w:rsidP="00EB471B">
      <w:pPr>
        <w:pStyle w:val="ParaLevel1"/>
      </w:pPr>
      <w:r w:rsidRPr="00313F51">
        <w:rPr>
          <w:i/>
        </w:rPr>
        <w:t>Section 7</w:t>
      </w:r>
      <w:r>
        <w:t xml:space="preserve"> of the </w:t>
      </w:r>
      <w:r w:rsidRPr="00313F51">
        <w:rPr>
          <w:i/>
        </w:rPr>
        <w:t>HRA 1998</w:t>
      </w:r>
      <w:r>
        <w:t xml:space="preserve"> provides as follows:</w:t>
      </w:r>
    </w:p>
    <w:p w14:paraId="324F508C" w14:textId="4840D558" w:rsidR="00D57347" w:rsidRPr="00D57347" w:rsidRDefault="00D57347" w:rsidP="00EB471B">
      <w:pPr>
        <w:pStyle w:val="ParaLevel1"/>
        <w:numPr>
          <w:ilvl w:val="0"/>
          <w:numId w:val="0"/>
        </w:numPr>
        <w:ind w:left="1701" w:right="1505"/>
        <w:rPr>
          <w:lang w:eastAsia="en-GB"/>
        </w:rPr>
      </w:pPr>
      <w:r>
        <w:t xml:space="preserve">(1) A person who claims that a public authority has acted (or </w:t>
      </w:r>
      <w:r w:rsidRPr="00D57347">
        <w:t xml:space="preserve">proposes to act) in a way which is made unlawful by </w:t>
      </w:r>
      <w:r w:rsidRPr="005160E1">
        <w:rPr>
          <w:i/>
        </w:rPr>
        <w:t>section 6(1)</w:t>
      </w:r>
      <w:r w:rsidRPr="00D57347">
        <w:t xml:space="preserve"> may—</w:t>
      </w:r>
    </w:p>
    <w:p w14:paraId="27D1E320" w14:textId="77777777" w:rsidR="00D57347" w:rsidRPr="00D57347" w:rsidRDefault="00D57347" w:rsidP="00EB471B">
      <w:pPr>
        <w:pStyle w:val="ParaLevel1"/>
        <w:numPr>
          <w:ilvl w:val="0"/>
          <w:numId w:val="0"/>
        </w:numPr>
        <w:ind w:left="2268" w:right="1505"/>
      </w:pPr>
      <w:r w:rsidRPr="00D57347">
        <w:t xml:space="preserve">(a) </w:t>
      </w:r>
      <w:proofErr w:type="gramStart"/>
      <w:r w:rsidRPr="00D57347">
        <w:t>bring</w:t>
      </w:r>
      <w:proofErr w:type="gramEnd"/>
      <w:r w:rsidRPr="00D57347">
        <w:t xml:space="preserve"> proceedings against the authority under this Act in the appropriate court or tribunal, or</w:t>
      </w:r>
    </w:p>
    <w:p w14:paraId="3A031B6A" w14:textId="77777777" w:rsidR="00D57347" w:rsidRPr="00DD3E67" w:rsidRDefault="00D57347" w:rsidP="00EB471B">
      <w:pPr>
        <w:pStyle w:val="ParaLevel1"/>
        <w:numPr>
          <w:ilvl w:val="0"/>
          <w:numId w:val="0"/>
        </w:numPr>
        <w:ind w:left="2268" w:right="1505"/>
        <w:rPr>
          <w:szCs w:val="24"/>
        </w:rPr>
      </w:pPr>
      <w:r>
        <w:t xml:space="preserve">(b) </w:t>
      </w:r>
      <w:proofErr w:type="gramStart"/>
      <w:r>
        <w:t>rely</w:t>
      </w:r>
      <w:proofErr w:type="gramEnd"/>
      <w:r>
        <w:t xml:space="preserve"> on the Convention right or rights </w:t>
      </w:r>
      <w:r w:rsidRPr="00DD3E67">
        <w:rPr>
          <w:szCs w:val="24"/>
        </w:rPr>
        <w:t>concerned in any legal proceedings,</w:t>
      </w:r>
    </w:p>
    <w:p w14:paraId="7EEE750E" w14:textId="3B62E50D" w:rsidR="000619D0" w:rsidRDefault="00D57347" w:rsidP="00EB471B">
      <w:pPr>
        <w:pStyle w:val="ParaLevel1"/>
        <w:numPr>
          <w:ilvl w:val="0"/>
          <w:numId w:val="0"/>
        </w:numPr>
        <w:ind w:left="1701" w:right="1505"/>
        <w:rPr>
          <w:szCs w:val="24"/>
        </w:rPr>
      </w:pPr>
      <w:proofErr w:type="gramStart"/>
      <w:r w:rsidRPr="00DD3E67">
        <w:rPr>
          <w:szCs w:val="24"/>
        </w:rPr>
        <w:t>but</w:t>
      </w:r>
      <w:proofErr w:type="gramEnd"/>
      <w:r w:rsidRPr="00DD3E67">
        <w:rPr>
          <w:szCs w:val="24"/>
        </w:rPr>
        <w:t xml:space="preserve"> only if he is (or would be) a victim of the unlawful act.</w:t>
      </w:r>
    </w:p>
    <w:p w14:paraId="5BF9FF82" w14:textId="3D928944" w:rsidR="00930220" w:rsidRPr="00DD3E67" w:rsidRDefault="00930220" w:rsidP="00EB471B">
      <w:pPr>
        <w:pStyle w:val="ParaLevel1"/>
        <w:numPr>
          <w:ilvl w:val="0"/>
          <w:numId w:val="0"/>
        </w:numPr>
        <w:ind w:left="1701" w:right="1505"/>
        <w:rPr>
          <w:szCs w:val="24"/>
        </w:rPr>
      </w:pPr>
      <w:r>
        <w:rPr>
          <w:szCs w:val="24"/>
        </w:rPr>
        <w:t>….</w:t>
      </w:r>
    </w:p>
    <w:p w14:paraId="4185D087" w14:textId="77777777" w:rsidR="000619D0" w:rsidRPr="00DD3E67" w:rsidRDefault="000619D0" w:rsidP="00EB471B">
      <w:pPr>
        <w:pStyle w:val="ParaLevel1"/>
        <w:numPr>
          <w:ilvl w:val="0"/>
          <w:numId w:val="0"/>
        </w:numPr>
        <w:ind w:left="1701" w:right="1505"/>
        <w:rPr>
          <w:szCs w:val="24"/>
        </w:rPr>
      </w:pPr>
      <w:r w:rsidRPr="00DD3E67">
        <w:rPr>
          <w:szCs w:val="24"/>
        </w:rPr>
        <w:t xml:space="preserve">(5) Proceedings under </w:t>
      </w:r>
      <w:r w:rsidRPr="009443FE">
        <w:rPr>
          <w:i/>
          <w:szCs w:val="24"/>
        </w:rPr>
        <w:t>subsection (1</w:t>
      </w:r>
      <w:proofErr w:type="gramStart"/>
      <w:r w:rsidRPr="009443FE">
        <w:rPr>
          <w:i/>
          <w:szCs w:val="24"/>
        </w:rPr>
        <w:t>)(</w:t>
      </w:r>
      <w:proofErr w:type="gramEnd"/>
      <w:r w:rsidRPr="009443FE">
        <w:rPr>
          <w:i/>
          <w:szCs w:val="24"/>
        </w:rPr>
        <w:t>a)</w:t>
      </w:r>
      <w:r w:rsidRPr="00DD3E67">
        <w:rPr>
          <w:szCs w:val="24"/>
        </w:rPr>
        <w:t xml:space="preserve"> must be brought before the end of— </w:t>
      </w:r>
    </w:p>
    <w:p w14:paraId="7F6EF8E3" w14:textId="77777777" w:rsidR="000619D0" w:rsidRPr="00DD3E67" w:rsidRDefault="000619D0" w:rsidP="00EB471B">
      <w:pPr>
        <w:pStyle w:val="ParaLevel1"/>
        <w:numPr>
          <w:ilvl w:val="0"/>
          <w:numId w:val="0"/>
        </w:numPr>
        <w:ind w:left="2268" w:right="1505"/>
        <w:rPr>
          <w:szCs w:val="24"/>
        </w:rPr>
      </w:pPr>
      <w:r w:rsidRPr="00DD3E67">
        <w:rPr>
          <w:szCs w:val="24"/>
        </w:rPr>
        <w:t xml:space="preserve">(a) </w:t>
      </w:r>
      <w:proofErr w:type="gramStart"/>
      <w:r w:rsidRPr="00DD3E67">
        <w:rPr>
          <w:szCs w:val="24"/>
        </w:rPr>
        <w:t>the</w:t>
      </w:r>
      <w:proofErr w:type="gramEnd"/>
      <w:r w:rsidRPr="00DD3E67">
        <w:rPr>
          <w:szCs w:val="24"/>
        </w:rPr>
        <w:t xml:space="preserve"> period of one year beginning with the date on which the act complained of took place; or</w:t>
      </w:r>
    </w:p>
    <w:p w14:paraId="4B524B97" w14:textId="77777777" w:rsidR="000619D0" w:rsidRPr="00DD3E67" w:rsidRDefault="000619D0" w:rsidP="00EB471B">
      <w:pPr>
        <w:pStyle w:val="ParaLevel1"/>
        <w:numPr>
          <w:ilvl w:val="0"/>
          <w:numId w:val="0"/>
        </w:numPr>
        <w:ind w:left="2268" w:right="1505"/>
        <w:rPr>
          <w:szCs w:val="24"/>
        </w:rPr>
      </w:pPr>
      <w:r w:rsidRPr="00DD3E67">
        <w:rPr>
          <w:szCs w:val="24"/>
        </w:rPr>
        <w:t xml:space="preserve">(b) </w:t>
      </w:r>
      <w:proofErr w:type="gramStart"/>
      <w:r w:rsidRPr="00DD3E67">
        <w:rPr>
          <w:szCs w:val="24"/>
        </w:rPr>
        <w:t>such</w:t>
      </w:r>
      <w:proofErr w:type="gramEnd"/>
      <w:r w:rsidRPr="00DD3E67">
        <w:rPr>
          <w:szCs w:val="24"/>
        </w:rPr>
        <w:t xml:space="preserve"> longer period as the court or tribunal considers equitable having regard to all the circumstances,</w:t>
      </w:r>
    </w:p>
    <w:p w14:paraId="70107F8A" w14:textId="2AF9C6F4" w:rsidR="000619D0" w:rsidRPr="00DD3E67" w:rsidRDefault="000619D0" w:rsidP="00EB471B">
      <w:pPr>
        <w:pStyle w:val="ParaLevel1"/>
        <w:numPr>
          <w:ilvl w:val="0"/>
          <w:numId w:val="0"/>
        </w:numPr>
        <w:ind w:left="1701" w:right="1505"/>
        <w:rPr>
          <w:szCs w:val="24"/>
        </w:rPr>
      </w:pPr>
      <w:proofErr w:type="gramStart"/>
      <w:r w:rsidRPr="00DD3E67">
        <w:rPr>
          <w:szCs w:val="24"/>
        </w:rPr>
        <w:t>but</w:t>
      </w:r>
      <w:proofErr w:type="gramEnd"/>
      <w:r w:rsidRPr="00DD3E67">
        <w:rPr>
          <w:szCs w:val="24"/>
        </w:rPr>
        <w:t xml:space="preserve"> that is subject to any rule imposing a stricter time limit in relation to the procedure in question.</w:t>
      </w:r>
    </w:p>
    <w:p w14:paraId="3FED0AF2" w14:textId="637DAF85" w:rsidR="00313F51" w:rsidRPr="00DD3E67" w:rsidRDefault="000619D0" w:rsidP="00EB471B">
      <w:pPr>
        <w:ind w:left="1701" w:right="1505"/>
      </w:pPr>
      <w:r w:rsidRPr="00DD3E67">
        <w:t>(6) In subsection (1</w:t>
      </w:r>
      <w:proofErr w:type="gramStart"/>
      <w:r w:rsidRPr="00DD3E67">
        <w:t>)(</w:t>
      </w:r>
      <w:proofErr w:type="gramEnd"/>
      <w:r w:rsidRPr="00DD3E67">
        <w:t xml:space="preserve">b) </w:t>
      </w:r>
      <w:r w:rsidRPr="00DD3E67">
        <w:rPr>
          <w:rStyle w:val="Emphasis"/>
        </w:rPr>
        <w:t>“</w:t>
      </w:r>
      <w:r w:rsidRPr="009443FE">
        <w:rPr>
          <w:rStyle w:val="Emphasis"/>
          <w:i w:val="0"/>
        </w:rPr>
        <w:t>legal proceedings</w:t>
      </w:r>
      <w:r w:rsidRPr="00DD3E67">
        <w:rPr>
          <w:rStyle w:val="Emphasis"/>
        </w:rPr>
        <w:t>”</w:t>
      </w:r>
      <w:r w:rsidR="009443FE">
        <w:rPr>
          <w:rStyle w:val="Emphasis"/>
        </w:rPr>
        <w:t xml:space="preserve"> </w:t>
      </w:r>
      <w:r w:rsidRPr="00DD3E67">
        <w:t>includes</w:t>
      </w:r>
      <w:r w:rsidR="009443FE">
        <w:t xml:space="preserve"> </w:t>
      </w:r>
      <w:r w:rsidRPr="00DD3E67">
        <w:t>—</w:t>
      </w:r>
    </w:p>
    <w:p w14:paraId="6522D3C6" w14:textId="77777777" w:rsidR="00313F51" w:rsidRPr="00DD3E67" w:rsidRDefault="000619D0" w:rsidP="00EB471B">
      <w:pPr>
        <w:ind w:left="2268" w:right="1505"/>
      </w:pPr>
      <w:r w:rsidRPr="00DD3E67">
        <w:t xml:space="preserve">(a) </w:t>
      </w:r>
      <w:proofErr w:type="gramStart"/>
      <w:r w:rsidRPr="00DD3E67">
        <w:t>proceedings</w:t>
      </w:r>
      <w:proofErr w:type="gramEnd"/>
      <w:r w:rsidRPr="00DD3E67">
        <w:t xml:space="preserve"> brought by or at the instigation of a public authority; and</w:t>
      </w:r>
      <w:r w:rsidR="00313F51" w:rsidRPr="00DD3E67">
        <w:t xml:space="preserve"> </w:t>
      </w:r>
    </w:p>
    <w:p w14:paraId="6F624402" w14:textId="62D6E97B" w:rsidR="00D57347" w:rsidRPr="00DD3E67" w:rsidRDefault="000619D0" w:rsidP="00EB471B">
      <w:pPr>
        <w:ind w:left="2268" w:right="1505"/>
      </w:pPr>
      <w:r w:rsidRPr="00DD3E67">
        <w:t xml:space="preserve">(b) </w:t>
      </w:r>
      <w:proofErr w:type="gramStart"/>
      <w:r w:rsidRPr="00DD3E67">
        <w:t>an</w:t>
      </w:r>
      <w:proofErr w:type="gramEnd"/>
      <w:r w:rsidRPr="00DD3E67">
        <w:t xml:space="preserve"> appeal against the decision of a court or tribunal.</w:t>
      </w:r>
    </w:p>
    <w:p w14:paraId="41EA31FB" w14:textId="7FC777AF" w:rsidR="00BA0CBB" w:rsidRDefault="003D5B58" w:rsidP="00EB471B">
      <w:pPr>
        <w:pStyle w:val="ParaLevel1"/>
      </w:pPr>
      <w:r w:rsidRPr="003D5B58">
        <w:rPr>
          <w:i/>
        </w:rPr>
        <w:t>Section 7(9)</w:t>
      </w:r>
      <w:r>
        <w:t xml:space="preserve"> of the </w:t>
      </w:r>
      <w:r w:rsidRPr="003D5B58">
        <w:rPr>
          <w:i/>
        </w:rPr>
        <w:t>HRA 1998</w:t>
      </w:r>
      <w:r>
        <w:t xml:space="preserve"> makes provision for the Lord Chancellor </w:t>
      </w:r>
      <w:r w:rsidR="009443FE">
        <w:t>(</w:t>
      </w:r>
      <w:r>
        <w:t>Secretary of State for Justice</w:t>
      </w:r>
      <w:r w:rsidR="009443FE">
        <w:t>)</w:t>
      </w:r>
      <w:r>
        <w:t xml:space="preserve"> to make </w:t>
      </w:r>
      <w:r w:rsidR="001E1084">
        <w:t xml:space="preserve">procedural </w:t>
      </w:r>
      <w:r>
        <w:t xml:space="preserve">rules </w:t>
      </w:r>
      <w:r w:rsidR="001E1084">
        <w:t>to support the primary legislation</w:t>
      </w:r>
      <w:r>
        <w:t xml:space="preserve"> (see also </w:t>
      </w:r>
      <w:r w:rsidRPr="003D5B58">
        <w:rPr>
          <w:i/>
        </w:rPr>
        <w:t>section 20 HRA 1998</w:t>
      </w:r>
      <w:r w:rsidR="001E1084">
        <w:t xml:space="preserve"> which provide for these to be made by statutory instrument</w:t>
      </w:r>
      <w:r>
        <w:t xml:space="preserve">).  </w:t>
      </w:r>
      <w:r w:rsidR="001E1084">
        <w:t xml:space="preserve">At the outset of the final hearing, there was division at the Bar as to </w:t>
      </w:r>
      <w:r w:rsidR="000411BC">
        <w:t xml:space="preserve">whether the </w:t>
      </w:r>
      <w:r w:rsidR="00BB1B62">
        <w:t xml:space="preserve">claim under the </w:t>
      </w:r>
      <w:r w:rsidR="000411BC" w:rsidRPr="000411BC">
        <w:rPr>
          <w:i/>
        </w:rPr>
        <w:t>HRA 1998</w:t>
      </w:r>
      <w:r w:rsidR="000411BC">
        <w:t xml:space="preserve"> </w:t>
      </w:r>
      <w:r w:rsidR="00BB1B62">
        <w:t xml:space="preserve">is governed by the </w:t>
      </w:r>
      <w:r w:rsidR="00BB1B62" w:rsidRPr="000411BC">
        <w:rPr>
          <w:i/>
        </w:rPr>
        <w:t>Family Procedure Rules 2010</w:t>
      </w:r>
      <w:r w:rsidR="00BB1B62">
        <w:t xml:space="preserve"> </w:t>
      </w:r>
      <w:r w:rsidR="000411BC">
        <w:t>(</w:t>
      </w:r>
      <w:r w:rsidR="000411BC" w:rsidRPr="000411BC">
        <w:rPr>
          <w:i/>
        </w:rPr>
        <w:t>FPR 2010</w:t>
      </w:r>
      <w:r w:rsidR="000411BC">
        <w:t xml:space="preserve">) </w:t>
      </w:r>
      <w:r w:rsidR="00BB1B62">
        <w:t xml:space="preserve">or the </w:t>
      </w:r>
      <w:r w:rsidR="00BB1B62" w:rsidRPr="000411BC">
        <w:rPr>
          <w:i/>
        </w:rPr>
        <w:t>Civil Procedure Rules 1998</w:t>
      </w:r>
      <w:r w:rsidR="000411BC">
        <w:t xml:space="preserve"> (</w:t>
      </w:r>
      <w:r w:rsidR="000411BC" w:rsidRPr="000411BC">
        <w:rPr>
          <w:i/>
        </w:rPr>
        <w:t>CPR 1998</w:t>
      </w:r>
      <w:r w:rsidR="000411BC">
        <w:t>)</w:t>
      </w:r>
      <w:r w:rsidR="00BB1B62">
        <w:t>.  This is relevant to</w:t>
      </w:r>
      <w:r w:rsidR="008162A4">
        <w:t xml:space="preserve"> the following issues</w:t>
      </w:r>
      <w:r w:rsidR="00BB1B62">
        <w:t>:</w:t>
      </w:r>
    </w:p>
    <w:p w14:paraId="2BE22892" w14:textId="421222AC" w:rsidR="00BB1B62" w:rsidRDefault="00BB1B62" w:rsidP="00EB471B">
      <w:pPr>
        <w:pStyle w:val="ParaLevel2"/>
      </w:pPr>
      <w:r>
        <w:lastRenderedPageBreak/>
        <w:t xml:space="preserve">The </w:t>
      </w:r>
      <w:r w:rsidR="008162A4">
        <w:t xml:space="preserve">role and/or or </w:t>
      </w:r>
      <w:r>
        <w:t xml:space="preserve">status of the Children’s Guardian (appointed under </w:t>
      </w:r>
      <w:r w:rsidRPr="008162A4">
        <w:rPr>
          <w:i/>
        </w:rPr>
        <w:t xml:space="preserve">rule </w:t>
      </w:r>
      <w:r w:rsidR="001E1084">
        <w:rPr>
          <w:i/>
        </w:rPr>
        <w:t>16</w:t>
      </w:r>
      <w:r>
        <w:t xml:space="preserve"> </w:t>
      </w:r>
      <w:r w:rsidR="008162A4">
        <w:t xml:space="preserve">of the </w:t>
      </w:r>
      <w:r w:rsidR="008162A4" w:rsidRPr="008162A4">
        <w:rPr>
          <w:i/>
        </w:rPr>
        <w:t>FPR 2010</w:t>
      </w:r>
      <w:r w:rsidR="008162A4">
        <w:t xml:space="preserve"> </w:t>
      </w:r>
      <w:r>
        <w:t xml:space="preserve">in </w:t>
      </w:r>
      <w:r w:rsidR="004B4E75">
        <w:t xml:space="preserve">the public law </w:t>
      </w:r>
      <w:r w:rsidR="001E1084">
        <w:t xml:space="preserve">“specified” </w:t>
      </w:r>
      <w:r w:rsidR="004B4E75">
        <w:t xml:space="preserve">proceedings), and her ability to act for the children as litigation friend for the children in the </w:t>
      </w:r>
      <w:r w:rsidR="004B4E75" w:rsidRPr="008162A4">
        <w:rPr>
          <w:i/>
        </w:rPr>
        <w:t>HRA 1998</w:t>
      </w:r>
      <w:r w:rsidR="004B4E75">
        <w:t xml:space="preserve"> claim; </w:t>
      </w:r>
      <w:r w:rsidR="008F21C4">
        <w:t xml:space="preserve">or </w:t>
      </w:r>
      <w:r w:rsidR="003D55A0">
        <w:t xml:space="preserve">whether </w:t>
      </w:r>
      <w:r w:rsidR="003D55A0" w:rsidRPr="003D55A0">
        <w:rPr>
          <w:i/>
        </w:rPr>
        <w:t>Part 21</w:t>
      </w:r>
      <w:r w:rsidR="003D55A0">
        <w:t xml:space="preserve"> of the </w:t>
      </w:r>
      <w:r w:rsidR="003D55A0" w:rsidRPr="003D55A0">
        <w:rPr>
          <w:i/>
        </w:rPr>
        <w:t>CPR 1998</w:t>
      </w:r>
      <w:r w:rsidR="003D55A0">
        <w:t xml:space="preserve"> is engaged;</w:t>
      </w:r>
    </w:p>
    <w:p w14:paraId="543E484A" w14:textId="2D836A66" w:rsidR="00BB1B62" w:rsidRDefault="00BB1B62" w:rsidP="00EB471B">
      <w:pPr>
        <w:pStyle w:val="ParaLevel2"/>
      </w:pPr>
      <w:r>
        <w:t xml:space="preserve">The status of </w:t>
      </w:r>
      <w:r w:rsidR="00227ECD">
        <w:t xml:space="preserve">the </w:t>
      </w:r>
      <w:r w:rsidRPr="008162A4">
        <w:rPr>
          <w:i/>
        </w:rPr>
        <w:t>Part 36</w:t>
      </w:r>
      <w:r>
        <w:t xml:space="preserve"> offer (</w:t>
      </w:r>
      <w:r w:rsidRPr="008162A4">
        <w:rPr>
          <w:i/>
        </w:rPr>
        <w:t>Part 36 CPR 1998</w:t>
      </w:r>
      <w:r>
        <w:t xml:space="preserve">) made in this case </w:t>
      </w:r>
      <w:r w:rsidR="008162A4">
        <w:t xml:space="preserve">in the </w:t>
      </w:r>
      <w:r w:rsidR="008162A4" w:rsidRPr="008162A4">
        <w:rPr>
          <w:i/>
        </w:rPr>
        <w:t>HRA 1998</w:t>
      </w:r>
      <w:r w:rsidR="008162A4">
        <w:t xml:space="preserve"> claim </w:t>
      </w:r>
      <w:r>
        <w:t>in November 2016, and the costs implications of th</w:t>
      </w:r>
      <w:r w:rsidR="00227ECD">
        <w:t>e same</w:t>
      </w:r>
      <w:r>
        <w:t>.</w:t>
      </w:r>
    </w:p>
    <w:p w14:paraId="0431A196" w14:textId="6FDBA6E2" w:rsidR="00BB1B62" w:rsidRDefault="00BB1B62" w:rsidP="00EB471B">
      <w:pPr>
        <w:pStyle w:val="ParaLevel1"/>
      </w:pPr>
      <w:r>
        <w:t xml:space="preserve">I suggested in </w:t>
      </w:r>
      <w:r w:rsidRPr="008162A4">
        <w:rPr>
          <w:i/>
        </w:rPr>
        <w:t>CZ v Kirklees</w:t>
      </w:r>
      <w:r>
        <w:t xml:space="preserve"> </w:t>
      </w:r>
      <w:r w:rsidR="003D5B58">
        <w:t xml:space="preserve">(although I had not heard argument on the point) </w:t>
      </w:r>
      <w:r>
        <w:t xml:space="preserve">that a </w:t>
      </w:r>
      <w:r w:rsidR="008162A4">
        <w:t xml:space="preserve">claim under the </w:t>
      </w:r>
      <w:r w:rsidR="008162A4" w:rsidRPr="008162A4">
        <w:rPr>
          <w:i/>
        </w:rPr>
        <w:t>HRA 1998</w:t>
      </w:r>
      <w:r w:rsidR="008162A4">
        <w:t xml:space="preserve"> </w:t>
      </w:r>
      <w:r>
        <w:t xml:space="preserve">is governed by the </w:t>
      </w:r>
      <w:r w:rsidRPr="008162A4">
        <w:rPr>
          <w:i/>
        </w:rPr>
        <w:t>CPR 1998</w:t>
      </w:r>
      <w:r>
        <w:t xml:space="preserve"> (see [6</w:t>
      </w:r>
      <w:r w:rsidR="00A64D90">
        <w:t>1</w:t>
      </w:r>
      <w:r>
        <w:t xml:space="preserve">]).  In </w:t>
      </w:r>
      <w:r w:rsidRPr="008162A4">
        <w:rPr>
          <w:i/>
        </w:rPr>
        <w:t>H v Northamptonshire CC</w:t>
      </w:r>
      <w:r>
        <w:t xml:space="preserve"> </w:t>
      </w:r>
      <w:r w:rsidR="009F34A8">
        <w:t>(</w:t>
      </w:r>
      <w:r w:rsidR="00006866">
        <w:t xml:space="preserve">a judgment </w:t>
      </w:r>
      <w:r w:rsidR="009F34A8">
        <w:t xml:space="preserve">which was coincidentally handed down </w:t>
      </w:r>
      <w:r w:rsidR="00006866">
        <w:t xml:space="preserve">on the day after </w:t>
      </w:r>
      <w:r w:rsidR="00006866" w:rsidRPr="00006866">
        <w:rPr>
          <w:i/>
        </w:rPr>
        <w:t>CZ</w:t>
      </w:r>
      <w:r w:rsidR="008F21C4">
        <w:rPr>
          <w:i/>
        </w:rPr>
        <w:t xml:space="preserve"> v Kirklees</w:t>
      </w:r>
      <w:r w:rsidR="00006866">
        <w:t xml:space="preserve">) </w:t>
      </w:r>
      <w:proofErr w:type="spellStart"/>
      <w:r>
        <w:t>Keehan</w:t>
      </w:r>
      <w:proofErr w:type="spellEnd"/>
      <w:r>
        <w:t xml:space="preserve"> J </w:t>
      </w:r>
      <w:r w:rsidR="002801A9">
        <w:t>appears to have taken the same view</w:t>
      </w:r>
      <w:r>
        <w:t xml:space="preserve">.  However, in this case, Mr. Bagchi QC and Mr. </w:t>
      </w:r>
      <w:proofErr w:type="spellStart"/>
      <w:r>
        <w:t>McIlwain</w:t>
      </w:r>
      <w:proofErr w:type="spellEnd"/>
      <w:r>
        <w:t xml:space="preserve"> for the father, </w:t>
      </w:r>
      <w:r w:rsidR="00970CFB">
        <w:t xml:space="preserve">making common cause </w:t>
      </w:r>
      <w:r>
        <w:t>with Ms</w:t>
      </w:r>
      <w:r w:rsidR="00E07EBF">
        <w:t>.</w:t>
      </w:r>
      <w:r>
        <w:t xml:space="preserve"> Grief QC and Mr. Edwards for the children</w:t>
      </w:r>
      <w:r w:rsidR="00970CFB">
        <w:t xml:space="preserve">, </w:t>
      </w:r>
      <w:r w:rsidR="008F21C4">
        <w:t xml:space="preserve">initially </w:t>
      </w:r>
      <w:r w:rsidR="00970CFB">
        <w:t xml:space="preserve">argued that </w:t>
      </w:r>
      <w:r w:rsidR="008162A4">
        <w:t xml:space="preserve">a </w:t>
      </w:r>
      <w:r w:rsidR="00970CFB" w:rsidRPr="008162A4">
        <w:rPr>
          <w:i/>
        </w:rPr>
        <w:t>HRA 1998</w:t>
      </w:r>
      <w:r w:rsidR="00970CFB">
        <w:t xml:space="preserve"> claim </w:t>
      </w:r>
      <w:r w:rsidR="008162A4">
        <w:t xml:space="preserve">brought within care proceedings </w:t>
      </w:r>
      <w:r w:rsidR="00970CFB">
        <w:t xml:space="preserve">was governed by the </w:t>
      </w:r>
      <w:r w:rsidR="00970CFB" w:rsidRPr="008162A4">
        <w:rPr>
          <w:i/>
        </w:rPr>
        <w:t>FPR 2010</w:t>
      </w:r>
      <w:r w:rsidR="00970CFB">
        <w:t xml:space="preserve">.  Their argument was </w:t>
      </w:r>
      <w:r w:rsidR="00D94D0D">
        <w:t xml:space="preserve">presented </w:t>
      </w:r>
      <w:r w:rsidR="00970CFB">
        <w:t>on the following basis:</w:t>
      </w:r>
    </w:p>
    <w:p w14:paraId="3EC29213" w14:textId="69D8F46F" w:rsidR="00227ECD" w:rsidRDefault="00227ECD" w:rsidP="00EB471B">
      <w:pPr>
        <w:pStyle w:val="ParaLevel2"/>
      </w:pPr>
      <w:r>
        <w:t>T</w:t>
      </w:r>
      <w:r w:rsidR="00F76509">
        <w:t xml:space="preserve">hat the claim was being considered under </w:t>
      </w:r>
      <w:r w:rsidR="00F76509" w:rsidRPr="00F76509">
        <w:rPr>
          <w:i/>
        </w:rPr>
        <w:t>section 7(1)(b) HRA 1998</w:t>
      </w:r>
      <w:r w:rsidR="00EA7860">
        <w:t xml:space="preserve"> in the context of ‘family’ (</w:t>
      </w:r>
      <w:r w:rsidR="00EA7860" w:rsidRPr="00EA7860">
        <w:rPr>
          <w:i/>
        </w:rPr>
        <w:t>CA 1989</w:t>
      </w:r>
      <w:r w:rsidR="00EA7860">
        <w:t xml:space="preserve">) proceedings; </w:t>
      </w:r>
    </w:p>
    <w:p w14:paraId="166C0AE5" w14:textId="791CC1D7" w:rsidR="00970CFB" w:rsidRDefault="00970CFB" w:rsidP="00EB471B">
      <w:pPr>
        <w:pStyle w:val="ParaLevel2"/>
      </w:pPr>
      <w:r>
        <w:t xml:space="preserve">That Munby J </w:t>
      </w:r>
      <w:r w:rsidR="00A375B2">
        <w:t xml:space="preserve">(as he then was) </w:t>
      </w:r>
      <w:r>
        <w:t xml:space="preserve">in </w:t>
      </w:r>
      <w:r w:rsidRPr="008162A4">
        <w:rPr>
          <w:i/>
        </w:rPr>
        <w:t>Re L</w:t>
      </w:r>
      <w:r>
        <w:t xml:space="preserve"> had emphasised the importance of </w:t>
      </w:r>
      <w:r w:rsidRPr="008162A4">
        <w:rPr>
          <w:i/>
        </w:rPr>
        <w:t>HRA 1998</w:t>
      </w:r>
      <w:r>
        <w:t xml:space="preserve"> claims being heard with the </w:t>
      </w:r>
      <w:r w:rsidRPr="008162A4">
        <w:rPr>
          <w:i/>
        </w:rPr>
        <w:t>CA 1989</w:t>
      </w:r>
      <w:r>
        <w:t xml:space="preserve"> claims</w:t>
      </w:r>
      <w:r w:rsidR="00F76509">
        <w:t xml:space="preserve">, which are undoubtedly governed by the </w:t>
      </w:r>
      <w:r w:rsidR="00F76509" w:rsidRPr="00F76509">
        <w:rPr>
          <w:i/>
        </w:rPr>
        <w:t>FPR 2010</w:t>
      </w:r>
      <w:r w:rsidR="00227ECD">
        <w:t>;</w:t>
      </w:r>
    </w:p>
    <w:p w14:paraId="5CA11662" w14:textId="4DD02803" w:rsidR="00227ECD" w:rsidRDefault="00227ECD" w:rsidP="00EB471B">
      <w:pPr>
        <w:pStyle w:val="ParaLevel2"/>
      </w:pPr>
      <w:r>
        <w:t xml:space="preserve">That no free-standing </w:t>
      </w:r>
      <w:r w:rsidRPr="008162A4">
        <w:rPr>
          <w:i/>
        </w:rPr>
        <w:t>HRA 1998</w:t>
      </w:r>
      <w:r>
        <w:t xml:space="preserve"> application had been issued by the children.</w:t>
      </w:r>
    </w:p>
    <w:p w14:paraId="3F0DB959" w14:textId="3EC5578D" w:rsidR="00FD6C2E" w:rsidRDefault="00970CFB" w:rsidP="00EB471B">
      <w:pPr>
        <w:pStyle w:val="ParaLevel1"/>
      </w:pPr>
      <w:r>
        <w:t xml:space="preserve">Mr. McCarthy QC </w:t>
      </w:r>
      <w:r w:rsidR="002F6EEF">
        <w:t xml:space="preserve">(who has been recently instructed in the case) </w:t>
      </w:r>
      <w:r>
        <w:t>and Ms</w:t>
      </w:r>
      <w:r w:rsidR="00E07EBF">
        <w:t>.</w:t>
      </w:r>
      <w:r>
        <w:t xml:space="preserve"> Savage for the Local Authority contended that the</w:t>
      </w:r>
      <w:r w:rsidRPr="00FD6C2E">
        <w:rPr>
          <w:i/>
        </w:rPr>
        <w:t xml:space="preserve"> CPR 199</w:t>
      </w:r>
      <w:r w:rsidRPr="00F76509">
        <w:rPr>
          <w:i/>
        </w:rPr>
        <w:t>8</w:t>
      </w:r>
      <w:r>
        <w:t xml:space="preserve"> apply. </w:t>
      </w:r>
      <w:r w:rsidR="00FD6C2E">
        <w:t xml:space="preserve"> They </w:t>
      </w:r>
      <w:r w:rsidR="00541A63">
        <w:t>argue</w:t>
      </w:r>
      <w:r w:rsidR="00170CC1">
        <w:t>d</w:t>
      </w:r>
      <w:r w:rsidR="00541A63">
        <w:t xml:space="preserve"> </w:t>
      </w:r>
      <w:r w:rsidR="00FD6C2E">
        <w:t>that</w:t>
      </w:r>
      <w:r w:rsidR="00FD6C2E" w:rsidRPr="00FD6C2E">
        <w:rPr>
          <w:i/>
        </w:rPr>
        <w:t xml:space="preserve"> HRA 1998</w:t>
      </w:r>
      <w:r w:rsidR="00FD6C2E">
        <w:t xml:space="preserve"> proceedings </w:t>
      </w:r>
      <w:r w:rsidR="00FD6C2E" w:rsidRPr="00B721F0">
        <w:t xml:space="preserve">are proceedings included within the genus of “civil rights and obligations” (see </w:t>
      </w:r>
      <w:r w:rsidR="00FD6C2E">
        <w:t xml:space="preserve">the </w:t>
      </w:r>
      <w:r w:rsidR="00FD6C2E" w:rsidRPr="00B721F0">
        <w:t xml:space="preserve">opening words of </w:t>
      </w:r>
      <w:r w:rsidR="00FD6C2E" w:rsidRPr="00FD6C2E">
        <w:rPr>
          <w:i/>
        </w:rPr>
        <w:t>Article 6(1) ECHR</w:t>
      </w:r>
      <w:r w:rsidR="00FD6C2E" w:rsidRPr="00B721F0">
        <w:t xml:space="preserve">). The whole of the framework of the </w:t>
      </w:r>
      <w:r w:rsidR="00FD6C2E" w:rsidRPr="00FD6C2E">
        <w:rPr>
          <w:i/>
        </w:rPr>
        <w:t>HRA 1998</w:t>
      </w:r>
      <w:r w:rsidR="00FD6C2E">
        <w:t xml:space="preserve"> </w:t>
      </w:r>
      <w:r w:rsidR="00FD6C2E" w:rsidRPr="00B721F0">
        <w:t>supports this view</w:t>
      </w:r>
      <w:r w:rsidR="00D94D0D">
        <w:t>, they argued</w:t>
      </w:r>
      <w:r w:rsidR="00170CC1">
        <w:t xml:space="preserve">; </w:t>
      </w:r>
      <w:r w:rsidR="00FD6C2E">
        <w:t>it follows</w:t>
      </w:r>
      <w:r w:rsidR="00170CC1">
        <w:t xml:space="preserve">, they </w:t>
      </w:r>
      <w:r w:rsidR="00D94D0D">
        <w:t xml:space="preserve">further </w:t>
      </w:r>
      <w:r w:rsidR="00170CC1">
        <w:t>contend</w:t>
      </w:r>
      <w:r w:rsidR="00D94D0D">
        <w:t>ed</w:t>
      </w:r>
      <w:r w:rsidR="00170CC1">
        <w:t>,</w:t>
      </w:r>
      <w:r w:rsidR="00FD6C2E">
        <w:t xml:space="preserve"> that the </w:t>
      </w:r>
      <w:r w:rsidR="00FD6C2E" w:rsidRPr="00B721F0">
        <w:t xml:space="preserve">only option is </w:t>
      </w:r>
      <w:r w:rsidR="00FD6C2E">
        <w:t xml:space="preserve">that they are </w:t>
      </w:r>
      <w:r w:rsidR="00FD6C2E" w:rsidRPr="00B721F0">
        <w:t>civil proceedings. This construction gives the court the broadest range of options as to what order it should make in the event that it finds a breach of Convention rights</w:t>
      </w:r>
      <w:r w:rsidR="00FD6C2E">
        <w:t>.</w:t>
      </w:r>
    </w:p>
    <w:p w14:paraId="6FBC7467" w14:textId="3D699DC8" w:rsidR="00541A63" w:rsidRDefault="00FD6C2E" w:rsidP="00EB471B">
      <w:pPr>
        <w:pStyle w:val="ParaLevel1"/>
      </w:pPr>
      <w:r>
        <w:t xml:space="preserve">By the conclusion of the </w:t>
      </w:r>
      <w:r w:rsidR="00541A63">
        <w:t xml:space="preserve">exchanges in </w:t>
      </w:r>
      <w:r>
        <w:t xml:space="preserve">oral argument, Mr. Bagchi QC and Mr. </w:t>
      </w:r>
      <w:proofErr w:type="spellStart"/>
      <w:r>
        <w:t>Tughan</w:t>
      </w:r>
      <w:proofErr w:type="spellEnd"/>
      <w:r>
        <w:t xml:space="preserve"> QC who had stepped in to represent the children in circumstances I allude to below</w:t>
      </w:r>
      <w:r w:rsidR="00541A63">
        <w:t xml:space="preserve"> (see [</w:t>
      </w:r>
      <w:r w:rsidR="002D01BB">
        <w:t>3</w:t>
      </w:r>
      <w:r w:rsidR="00A60827">
        <w:t>7</w:t>
      </w:r>
      <w:r w:rsidR="00541A63">
        <w:t>])</w:t>
      </w:r>
      <w:r>
        <w:t xml:space="preserve">, conceded that the </w:t>
      </w:r>
      <w:r w:rsidR="005431DF">
        <w:t xml:space="preserve">relevant procedure rules for determination of a </w:t>
      </w:r>
      <w:r w:rsidRPr="00541A63">
        <w:rPr>
          <w:i/>
        </w:rPr>
        <w:t>HRA 1998</w:t>
      </w:r>
      <w:r>
        <w:t xml:space="preserve"> </w:t>
      </w:r>
      <w:r w:rsidR="005431DF">
        <w:t xml:space="preserve">application even in these circumstances were </w:t>
      </w:r>
      <w:r>
        <w:t xml:space="preserve">probably the </w:t>
      </w:r>
      <w:r w:rsidRPr="00FD6C2E">
        <w:rPr>
          <w:i/>
        </w:rPr>
        <w:t>CPR 1998</w:t>
      </w:r>
      <w:r w:rsidR="00541A63">
        <w:t>.</w:t>
      </w:r>
      <w:r>
        <w:t xml:space="preserve"> </w:t>
      </w:r>
    </w:p>
    <w:p w14:paraId="41333EB2" w14:textId="7746F1CC" w:rsidR="00970CFB" w:rsidRDefault="00541A63" w:rsidP="00EB471B">
      <w:pPr>
        <w:pStyle w:val="ParaLevel1"/>
      </w:pPr>
      <w:r>
        <w:t xml:space="preserve">Having </w:t>
      </w:r>
      <w:r w:rsidR="0018791C">
        <w:t xml:space="preserve">now </w:t>
      </w:r>
      <w:r>
        <w:t xml:space="preserve">heard argument on this point, </w:t>
      </w:r>
      <w:r w:rsidR="00970CFB">
        <w:t xml:space="preserve">I </w:t>
      </w:r>
      <w:r w:rsidR="00EB02FB">
        <w:t xml:space="preserve">feel able to </w:t>
      </w:r>
      <w:r w:rsidR="00D94D0D">
        <w:t xml:space="preserve">affirm </w:t>
      </w:r>
      <w:r w:rsidR="003A789D">
        <w:t xml:space="preserve">the conclusion which I </w:t>
      </w:r>
      <w:r>
        <w:t xml:space="preserve">had </w:t>
      </w:r>
      <w:r w:rsidR="003A789D">
        <w:t xml:space="preserve">reached </w:t>
      </w:r>
      <w:r w:rsidR="007B3CEA">
        <w:t xml:space="preserve">and expressed </w:t>
      </w:r>
      <w:r w:rsidR="003A789D">
        <w:t xml:space="preserve">in </w:t>
      </w:r>
      <w:r w:rsidR="003A789D" w:rsidRPr="003A789D">
        <w:rPr>
          <w:i/>
        </w:rPr>
        <w:t>CZ</w:t>
      </w:r>
      <w:r w:rsidR="007B3CEA">
        <w:rPr>
          <w:i/>
        </w:rPr>
        <w:t xml:space="preserve"> v Kirklees</w:t>
      </w:r>
      <w:r w:rsidR="001A0DE7">
        <w:t>,</w:t>
      </w:r>
      <w:r w:rsidR="003A789D">
        <w:t xml:space="preserve"> that the </w:t>
      </w:r>
      <w:r w:rsidR="003A789D" w:rsidRPr="00EB02FB">
        <w:rPr>
          <w:i/>
        </w:rPr>
        <w:t>HRA 1998</w:t>
      </w:r>
      <w:r w:rsidR="003A789D">
        <w:t xml:space="preserve"> claim is governed by the </w:t>
      </w:r>
      <w:r w:rsidR="003A789D" w:rsidRPr="00EB02FB">
        <w:rPr>
          <w:i/>
        </w:rPr>
        <w:t>CPR 2010</w:t>
      </w:r>
      <w:r w:rsidR="003A789D">
        <w:t xml:space="preserve">.  </w:t>
      </w:r>
      <w:r>
        <w:t>My reasoning</w:t>
      </w:r>
      <w:r w:rsidR="007B3CEA">
        <w:t xml:space="preserve"> is as follows</w:t>
      </w:r>
      <w:r w:rsidR="003A789D">
        <w:t>:</w:t>
      </w:r>
    </w:p>
    <w:p w14:paraId="4AA9DFE8" w14:textId="1750B120" w:rsidR="000650DD" w:rsidRDefault="000650DD" w:rsidP="00EB471B">
      <w:pPr>
        <w:pStyle w:val="ParaLevel2"/>
      </w:pPr>
      <w:r>
        <w:t xml:space="preserve">Unless the context otherwise appears, the </w:t>
      </w:r>
      <w:r w:rsidRPr="000650DD">
        <w:rPr>
          <w:i/>
        </w:rPr>
        <w:t>FPR 2010</w:t>
      </w:r>
      <w:r>
        <w:t xml:space="preserve"> apply only to “family proceedings” (</w:t>
      </w:r>
      <w:r w:rsidRPr="008C5D14">
        <w:rPr>
          <w:i/>
        </w:rPr>
        <w:t>rule 2.1 FPR 2010</w:t>
      </w:r>
      <w:r>
        <w:t>);</w:t>
      </w:r>
    </w:p>
    <w:p w14:paraId="71FF97FA" w14:textId="3727BB52" w:rsidR="000650DD" w:rsidRDefault="000650DD" w:rsidP="00EB471B">
      <w:pPr>
        <w:pStyle w:val="ParaLevel2"/>
      </w:pPr>
      <w:r>
        <w:t xml:space="preserve">The </w:t>
      </w:r>
      <w:r w:rsidRPr="00901EBB">
        <w:rPr>
          <w:i/>
        </w:rPr>
        <w:t>CPR 1998</w:t>
      </w:r>
      <w:r>
        <w:t xml:space="preserve"> apply to all proceedings in the High Court, County Court and Civil Division of the Court of Appeal but </w:t>
      </w:r>
      <w:r w:rsidRPr="000650DD">
        <w:rPr>
          <w:u w:val="single"/>
        </w:rPr>
        <w:t>not</w:t>
      </w:r>
      <w:r>
        <w:t xml:space="preserve"> (per </w:t>
      </w:r>
      <w:r w:rsidR="00E87592">
        <w:rPr>
          <w:i/>
        </w:rPr>
        <w:t>part</w:t>
      </w:r>
      <w:r w:rsidRPr="00901EBB">
        <w:rPr>
          <w:i/>
        </w:rPr>
        <w:t xml:space="preserve"> 2.1(2)</w:t>
      </w:r>
      <w:r>
        <w:t xml:space="preserve"> </w:t>
      </w:r>
      <w:r w:rsidRPr="00901EBB">
        <w:rPr>
          <w:i/>
        </w:rPr>
        <w:t>CPR 1998</w:t>
      </w:r>
      <w:r>
        <w:t xml:space="preserve">) </w:t>
      </w:r>
      <w:r w:rsidRPr="00901EBB">
        <w:rPr>
          <w:i/>
        </w:rPr>
        <w:t>inter alia</w:t>
      </w:r>
      <w:r>
        <w:t xml:space="preserve"> to ‘family proceedings’;</w:t>
      </w:r>
    </w:p>
    <w:p w14:paraId="00DFC680" w14:textId="64F91C7D" w:rsidR="008C5D14" w:rsidRDefault="000650DD" w:rsidP="00EB471B">
      <w:pPr>
        <w:pStyle w:val="ParaLevel2"/>
      </w:pPr>
      <w:r>
        <w:lastRenderedPageBreak/>
        <w:t>Therefore, w</w:t>
      </w:r>
      <w:r w:rsidR="008C5D14">
        <w:t xml:space="preserve">hile there are </w:t>
      </w:r>
      <w:r w:rsidR="00A64D90">
        <w:t xml:space="preserve">many </w:t>
      </w:r>
      <w:r w:rsidR="008C5D14">
        <w:t xml:space="preserve">similarities </w:t>
      </w:r>
      <w:r w:rsidR="00A64D90">
        <w:t xml:space="preserve">(and </w:t>
      </w:r>
      <w:r w:rsidR="007B3CEA">
        <w:t xml:space="preserve">indeed </w:t>
      </w:r>
      <w:r w:rsidR="008C7B46">
        <w:t xml:space="preserve">there is </w:t>
      </w:r>
      <w:r>
        <w:t xml:space="preserve">a degree of </w:t>
      </w:r>
      <w:r w:rsidR="00A64D90">
        <w:t xml:space="preserve">overlap) </w:t>
      </w:r>
      <w:r w:rsidR="008C5D14">
        <w:t xml:space="preserve">between the </w:t>
      </w:r>
      <w:r w:rsidR="008C5D14" w:rsidRPr="008C5D14">
        <w:rPr>
          <w:i/>
        </w:rPr>
        <w:t>CPR 1998</w:t>
      </w:r>
      <w:r w:rsidR="008C5D14">
        <w:t xml:space="preserve"> and the </w:t>
      </w:r>
      <w:r w:rsidR="008C5D14" w:rsidRPr="008C5D14">
        <w:rPr>
          <w:i/>
        </w:rPr>
        <w:t>FPR 2010</w:t>
      </w:r>
      <w:r w:rsidR="008C5D14">
        <w:t xml:space="preserve"> (</w:t>
      </w:r>
      <w:r w:rsidR="004569D4">
        <w:t xml:space="preserve">including </w:t>
      </w:r>
      <w:r w:rsidR="00A64D90">
        <w:t xml:space="preserve">most obviously </w:t>
      </w:r>
      <w:r w:rsidR="004569D4">
        <w:t xml:space="preserve">the </w:t>
      </w:r>
      <w:r w:rsidR="00A64D90">
        <w:t xml:space="preserve">key features of </w:t>
      </w:r>
      <w:r w:rsidR="004569D4">
        <w:t>the</w:t>
      </w:r>
      <w:r w:rsidR="008C5D14">
        <w:t xml:space="preserve"> ‘overriding objective’</w:t>
      </w:r>
      <w:r w:rsidR="007B3CEA">
        <w:t xml:space="preserve"> in their respective </w:t>
      </w:r>
      <w:r w:rsidR="007B3CEA" w:rsidRPr="007B3CEA">
        <w:rPr>
          <w:i/>
        </w:rPr>
        <w:t>rule 1</w:t>
      </w:r>
      <w:r w:rsidR="008C5D14">
        <w:t xml:space="preserve">) they </w:t>
      </w:r>
      <w:r w:rsidR="00A64D90">
        <w:t xml:space="preserve">actually </w:t>
      </w:r>
      <w:r w:rsidR="008C5D14">
        <w:t>operate a mutually exclusive regime;</w:t>
      </w:r>
    </w:p>
    <w:p w14:paraId="045FDC2C" w14:textId="25185B38" w:rsidR="004569D4" w:rsidRPr="002D2364" w:rsidRDefault="004569D4" w:rsidP="00EB471B">
      <w:pPr>
        <w:pStyle w:val="ParaLevel2"/>
        <w:rPr>
          <w:szCs w:val="24"/>
        </w:rPr>
      </w:pPr>
      <w:r>
        <w:t xml:space="preserve">The </w:t>
      </w:r>
      <w:r w:rsidRPr="002D2364">
        <w:rPr>
          <w:i/>
          <w:szCs w:val="24"/>
        </w:rPr>
        <w:t>FPR 2010</w:t>
      </w:r>
      <w:r w:rsidRPr="002D2364">
        <w:rPr>
          <w:szCs w:val="24"/>
        </w:rPr>
        <w:t xml:space="preserve"> govern “the practice and procedure to be followed in family proceedings” (</w:t>
      </w:r>
      <w:r w:rsidRPr="00CD2080">
        <w:rPr>
          <w:i/>
          <w:szCs w:val="24"/>
        </w:rPr>
        <w:t>section 75(1) Courts Act 2003</w:t>
      </w:r>
      <w:r w:rsidRPr="002D2364">
        <w:rPr>
          <w:szCs w:val="24"/>
        </w:rPr>
        <w:t xml:space="preserve">); </w:t>
      </w:r>
      <w:r w:rsidRPr="002D2364">
        <w:rPr>
          <w:rStyle w:val="Emphasis"/>
          <w:szCs w:val="24"/>
        </w:rPr>
        <w:t>“Family proceedings”</w:t>
      </w:r>
      <w:r w:rsidR="002D2364" w:rsidRPr="002D2364">
        <w:rPr>
          <w:szCs w:val="24"/>
        </w:rPr>
        <w:t xml:space="preserve"> means (a)</w:t>
      </w:r>
      <w:r w:rsidRPr="002D2364">
        <w:rPr>
          <w:szCs w:val="24"/>
        </w:rPr>
        <w:t xml:space="preserve"> proceedings in the family court, and</w:t>
      </w:r>
      <w:r w:rsidR="002D2364" w:rsidRPr="002D2364">
        <w:rPr>
          <w:szCs w:val="24"/>
        </w:rPr>
        <w:t xml:space="preserve"> (b) </w:t>
      </w:r>
      <w:r w:rsidRPr="002D2364">
        <w:rPr>
          <w:szCs w:val="24"/>
        </w:rPr>
        <w:t xml:space="preserve">proceedings in the Family Division of the High Court which are business assigned by or under </w:t>
      </w:r>
      <w:r w:rsidRPr="00666979">
        <w:rPr>
          <w:i/>
          <w:szCs w:val="24"/>
        </w:rPr>
        <w:t>section 61</w:t>
      </w:r>
      <w:r w:rsidRPr="002D2364">
        <w:rPr>
          <w:szCs w:val="24"/>
        </w:rPr>
        <w:t xml:space="preserve"> of (and </w:t>
      </w:r>
      <w:r w:rsidRPr="00666979">
        <w:rPr>
          <w:i/>
          <w:szCs w:val="24"/>
        </w:rPr>
        <w:t>Schedule 1</w:t>
      </w:r>
      <w:r w:rsidRPr="002D2364">
        <w:rPr>
          <w:szCs w:val="24"/>
        </w:rPr>
        <w:t xml:space="preserve"> to) the </w:t>
      </w:r>
      <w:r w:rsidRPr="00666979">
        <w:rPr>
          <w:i/>
          <w:szCs w:val="24"/>
        </w:rPr>
        <w:t>Senior Courts Act 1981</w:t>
      </w:r>
      <w:r w:rsidRPr="002D2364">
        <w:rPr>
          <w:szCs w:val="24"/>
        </w:rPr>
        <w:t>, to that Division</w:t>
      </w:r>
      <w:r w:rsidR="002D2364">
        <w:rPr>
          <w:szCs w:val="24"/>
        </w:rPr>
        <w:t xml:space="preserve"> of the High Court and no other</w:t>
      </w:r>
      <w:r w:rsidR="007B3CEA">
        <w:rPr>
          <w:szCs w:val="24"/>
        </w:rPr>
        <w:t xml:space="preserve"> (see </w:t>
      </w:r>
      <w:r w:rsidR="007B3CEA">
        <w:rPr>
          <w:i/>
          <w:szCs w:val="24"/>
        </w:rPr>
        <w:t>section 75</w:t>
      </w:r>
      <w:r w:rsidR="007B3CEA">
        <w:rPr>
          <w:szCs w:val="24"/>
        </w:rPr>
        <w:t xml:space="preserve"> ibid.)</w:t>
      </w:r>
      <w:r w:rsidR="002D2364">
        <w:rPr>
          <w:szCs w:val="24"/>
        </w:rPr>
        <w:t>;</w:t>
      </w:r>
      <w:r w:rsidR="001A0DE7">
        <w:rPr>
          <w:szCs w:val="24"/>
        </w:rPr>
        <w:t xml:space="preserve"> this does not refer to </w:t>
      </w:r>
      <w:r w:rsidR="001A0DE7" w:rsidRPr="001A0DE7">
        <w:rPr>
          <w:i/>
          <w:szCs w:val="24"/>
        </w:rPr>
        <w:t>HRA 1998</w:t>
      </w:r>
      <w:r w:rsidR="001A0DE7">
        <w:rPr>
          <w:szCs w:val="24"/>
        </w:rPr>
        <w:t xml:space="preserve"> claims;</w:t>
      </w:r>
    </w:p>
    <w:p w14:paraId="49C13CD9" w14:textId="6565A51F" w:rsidR="009F7D2C" w:rsidRDefault="009F7D2C" w:rsidP="00EB471B">
      <w:pPr>
        <w:pStyle w:val="ParaLevel2"/>
      </w:pPr>
      <w:r>
        <w:t xml:space="preserve">“Family Proceedings” are defined in </w:t>
      </w:r>
      <w:r w:rsidR="004708D0" w:rsidRPr="004708D0">
        <w:rPr>
          <w:i/>
        </w:rPr>
        <w:t>section 32</w:t>
      </w:r>
      <w:r w:rsidR="004708D0">
        <w:t xml:space="preserve"> of </w:t>
      </w:r>
      <w:r>
        <w:t xml:space="preserve">the </w:t>
      </w:r>
      <w:r w:rsidRPr="004708D0">
        <w:rPr>
          <w:i/>
        </w:rPr>
        <w:t>Matrimonial and Family Proceedings Act 1984</w:t>
      </w:r>
      <w:r>
        <w:t xml:space="preserve"> </w:t>
      </w:r>
      <w:r w:rsidR="00EB02FB">
        <w:t>as “family business”</w:t>
      </w:r>
      <w:r w:rsidR="004708D0">
        <w:t>,</w:t>
      </w:r>
      <w:r w:rsidR="00537F15">
        <w:t xml:space="preserve"> which itself </w:t>
      </w:r>
      <w:r w:rsidR="00901EBB">
        <w:t xml:space="preserve">is defined </w:t>
      </w:r>
      <w:r w:rsidR="004708D0">
        <w:t xml:space="preserve">(ibid.) </w:t>
      </w:r>
      <w:r w:rsidR="00901EBB">
        <w:t xml:space="preserve">as </w:t>
      </w:r>
      <w:r w:rsidR="00537F15">
        <w:t xml:space="preserve">“business of any description which in the High Court is for the time being assigned to the Family Division” under </w:t>
      </w:r>
      <w:r w:rsidR="00537F15" w:rsidRPr="004708D0">
        <w:rPr>
          <w:i/>
        </w:rPr>
        <w:t>section 61</w:t>
      </w:r>
      <w:r w:rsidR="00537F15">
        <w:t xml:space="preserve"> and </w:t>
      </w:r>
      <w:r w:rsidR="00537F15" w:rsidRPr="004708D0">
        <w:rPr>
          <w:i/>
        </w:rPr>
        <w:t>Schedule 1</w:t>
      </w:r>
      <w:r w:rsidR="004708D0">
        <w:rPr>
          <w:i/>
        </w:rPr>
        <w:t>, para.3</w:t>
      </w:r>
      <w:r w:rsidR="00537F15">
        <w:t xml:space="preserve"> of the </w:t>
      </w:r>
      <w:r w:rsidR="00537F15" w:rsidRPr="004708D0">
        <w:rPr>
          <w:i/>
        </w:rPr>
        <w:t>Senior Courts Act 1981</w:t>
      </w:r>
      <w:r w:rsidR="00537F15">
        <w:t>;</w:t>
      </w:r>
      <w:r w:rsidR="004708D0">
        <w:t xml:space="preserve"> </w:t>
      </w:r>
      <w:r w:rsidR="004708D0" w:rsidRPr="004708D0">
        <w:rPr>
          <w:i/>
        </w:rPr>
        <w:t>Schedule 1, para.3</w:t>
      </w:r>
      <w:r w:rsidR="004708D0">
        <w:t xml:space="preserve"> provides a long list of family proceedings assigned to the Family Division, but these do not include </w:t>
      </w:r>
      <w:r w:rsidR="004708D0" w:rsidRPr="004708D0">
        <w:rPr>
          <w:i/>
        </w:rPr>
        <w:t>HRA 1998</w:t>
      </w:r>
      <w:r w:rsidR="004708D0">
        <w:t xml:space="preserve"> claims; </w:t>
      </w:r>
    </w:p>
    <w:p w14:paraId="70703ACE" w14:textId="55905212" w:rsidR="004708D0" w:rsidRDefault="004708D0" w:rsidP="00EB471B">
      <w:pPr>
        <w:pStyle w:val="ParaLevel2"/>
      </w:pPr>
      <w:r>
        <w:t>“Family proceedings”</w:t>
      </w:r>
      <w:r w:rsidR="008B3397">
        <w:t xml:space="preserve"> for the purposes of the </w:t>
      </w:r>
      <w:r w:rsidR="008B3397" w:rsidRPr="008B3397">
        <w:rPr>
          <w:i/>
        </w:rPr>
        <w:t>CA 1989</w:t>
      </w:r>
      <w:r w:rsidR="008B3397">
        <w:t xml:space="preserve">, are those conducted under the inherent jurisdiction of the High Court, or as set out in the </w:t>
      </w:r>
      <w:r w:rsidR="00CD2080">
        <w:t xml:space="preserve">long </w:t>
      </w:r>
      <w:r w:rsidR="008B3397">
        <w:t xml:space="preserve">list of enactments in </w:t>
      </w:r>
      <w:r w:rsidR="008B3397" w:rsidRPr="008B3397">
        <w:rPr>
          <w:i/>
        </w:rPr>
        <w:t>section 8(4) CA 1989</w:t>
      </w:r>
      <w:r w:rsidR="008B3397">
        <w:t xml:space="preserve">; the </w:t>
      </w:r>
      <w:r w:rsidR="008B3397" w:rsidRPr="008B3397">
        <w:rPr>
          <w:i/>
        </w:rPr>
        <w:t>HRA 1998</w:t>
      </w:r>
      <w:r w:rsidR="008B3397">
        <w:t xml:space="preserve"> is not </w:t>
      </w:r>
      <w:r w:rsidR="00CD2080">
        <w:t xml:space="preserve">included on </w:t>
      </w:r>
      <w:r w:rsidR="008B3397">
        <w:t>that list;</w:t>
      </w:r>
    </w:p>
    <w:p w14:paraId="21AD4EFA" w14:textId="37CE533E" w:rsidR="00510252" w:rsidRDefault="003E1CF4" w:rsidP="00EB471B">
      <w:pPr>
        <w:pStyle w:val="ParaLevel2"/>
      </w:pPr>
      <w:r>
        <w:t xml:space="preserve">It is clear that a free-standing application under the </w:t>
      </w:r>
      <w:r w:rsidRPr="00CD2080">
        <w:rPr>
          <w:i/>
        </w:rPr>
        <w:t>HRA 1998</w:t>
      </w:r>
      <w:r>
        <w:t xml:space="preserve"> (</w:t>
      </w:r>
      <w:r w:rsidRPr="00CD2080">
        <w:rPr>
          <w:i/>
        </w:rPr>
        <w:t>section 7(1</w:t>
      </w:r>
      <w:proofErr w:type="gramStart"/>
      <w:r w:rsidRPr="00CD2080">
        <w:rPr>
          <w:i/>
        </w:rPr>
        <w:t>)(</w:t>
      </w:r>
      <w:proofErr w:type="gramEnd"/>
      <w:r w:rsidRPr="00CD2080">
        <w:rPr>
          <w:i/>
        </w:rPr>
        <w:t>a)</w:t>
      </w:r>
      <w:r>
        <w:t xml:space="preserve">) </w:t>
      </w:r>
      <w:r w:rsidR="00836761">
        <w:t xml:space="preserve">which has no connection with family proceedings </w:t>
      </w:r>
      <w:r>
        <w:t xml:space="preserve">should be brought by a </w:t>
      </w:r>
      <w:r w:rsidRPr="00CD2080">
        <w:rPr>
          <w:i/>
        </w:rPr>
        <w:t>Part 8</w:t>
      </w:r>
      <w:r>
        <w:t xml:space="preserve"> </w:t>
      </w:r>
      <w:r w:rsidR="00CD2080" w:rsidRPr="00CD2080">
        <w:rPr>
          <w:i/>
        </w:rPr>
        <w:t>CPR 1998</w:t>
      </w:r>
      <w:r w:rsidR="00CD2080">
        <w:t xml:space="preserve"> </w:t>
      </w:r>
      <w:r>
        <w:t xml:space="preserve">claim, and be governed by the </w:t>
      </w:r>
      <w:r w:rsidRPr="00CD2080">
        <w:rPr>
          <w:i/>
        </w:rPr>
        <w:t>CPR 1998</w:t>
      </w:r>
      <w:r>
        <w:t xml:space="preserve">; </w:t>
      </w:r>
      <w:r w:rsidR="00836761">
        <w:t>it would be procedurally disruptive</w:t>
      </w:r>
      <w:r w:rsidR="00C60BA3">
        <w:t>, not to mention illogical,</w:t>
      </w:r>
      <w:r w:rsidR="00836761">
        <w:t xml:space="preserve"> if a claim </w:t>
      </w:r>
      <w:r>
        <w:t xml:space="preserve">brought </w:t>
      </w:r>
      <w:r w:rsidR="00836761">
        <w:t xml:space="preserve">“in any </w:t>
      </w:r>
      <w:r w:rsidR="000E3B5D">
        <w:t xml:space="preserve">[existing family] </w:t>
      </w:r>
      <w:r w:rsidR="00836761">
        <w:t xml:space="preserve">legal proceedings” </w:t>
      </w:r>
      <w:r>
        <w:t>(</w:t>
      </w:r>
      <w:r w:rsidRPr="00CD2080">
        <w:rPr>
          <w:i/>
        </w:rPr>
        <w:t>section 7(1)(b)</w:t>
      </w:r>
      <w:r>
        <w:t xml:space="preserve">) </w:t>
      </w:r>
      <w:r w:rsidR="000E3B5D">
        <w:t>fol</w:t>
      </w:r>
      <w:r w:rsidR="00510252">
        <w:t xml:space="preserve">lowed a different set of </w:t>
      </w:r>
      <w:r w:rsidR="008C7B46">
        <w:t xml:space="preserve">procedural </w:t>
      </w:r>
      <w:r w:rsidR="00510252">
        <w:t>rules</w:t>
      </w:r>
      <w:r w:rsidR="00543452">
        <w:t>.</w:t>
      </w:r>
      <w:r w:rsidR="006958B0">
        <w:t xml:space="preserve"> </w:t>
      </w:r>
      <w:r w:rsidR="00510252">
        <w:t xml:space="preserve"> </w:t>
      </w:r>
    </w:p>
    <w:p w14:paraId="0EE1372F" w14:textId="2B5B664C" w:rsidR="00541A63" w:rsidRDefault="00541A63" w:rsidP="00EB471B">
      <w:pPr>
        <w:pStyle w:val="ParaLevel1"/>
      </w:pPr>
      <w:r>
        <w:t xml:space="preserve">I note that </w:t>
      </w:r>
      <w:proofErr w:type="spellStart"/>
      <w:r>
        <w:t>Keehan</w:t>
      </w:r>
      <w:proofErr w:type="spellEnd"/>
      <w:r>
        <w:t xml:space="preserve"> J in </w:t>
      </w:r>
      <w:r w:rsidRPr="00D74BAF">
        <w:rPr>
          <w:i/>
        </w:rPr>
        <w:t>H v Northamptonshire</w:t>
      </w:r>
      <w:r>
        <w:t xml:space="preserve"> </w:t>
      </w:r>
      <w:r w:rsidR="0018791C">
        <w:t xml:space="preserve">also </w:t>
      </w:r>
      <w:r>
        <w:t xml:space="preserve">contemplated that the </w:t>
      </w:r>
      <w:r w:rsidRPr="00D74BAF">
        <w:rPr>
          <w:i/>
        </w:rPr>
        <w:t>CPR 1998</w:t>
      </w:r>
      <w:r>
        <w:t xml:space="preserve"> apply to these cases (see [117</w:t>
      </w:r>
      <w:proofErr w:type="gramStart"/>
      <w:r>
        <w:t>](</w:t>
      </w:r>
      <w:proofErr w:type="gramEnd"/>
      <w:r>
        <w:t xml:space="preserve">c) </w:t>
      </w:r>
      <w:r w:rsidR="00D74BAF">
        <w:t xml:space="preserve">and (d) </w:t>
      </w:r>
      <w:r>
        <w:t>for example).</w:t>
      </w:r>
    </w:p>
    <w:p w14:paraId="2E7DCFA4" w14:textId="5F4540ED" w:rsidR="00A6277D" w:rsidRPr="00DB70AF" w:rsidRDefault="000650DD" w:rsidP="00EB471B">
      <w:pPr>
        <w:pStyle w:val="ParaLevel1"/>
      </w:pPr>
      <w:r>
        <w:t xml:space="preserve">I </w:t>
      </w:r>
      <w:r w:rsidR="000E3B5D">
        <w:t xml:space="preserve">do not </w:t>
      </w:r>
      <w:r w:rsidR="00A166EB">
        <w:t xml:space="preserve">believe </w:t>
      </w:r>
      <w:r w:rsidR="000E3B5D">
        <w:t>that Munby J</w:t>
      </w:r>
      <w:r w:rsidR="00A375B2">
        <w:t xml:space="preserve"> </w:t>
      </w:r>
      <w:r w:rsidR="000E3B5D">
        <w:t xml:space="preserve">intended his comments in </w:t>
      </w:r>
      <w:r>
        <w:rPr>
          <w:i/>
        </w:rPr>
        <w:t>Re L</w:t>
      </w:r>
      <w:r w:rsidR="00847137">
        <w:rPr>
          <w:i/>
        </w:rPr>
        <w:t xml:space="preserve"> (Care Proceedings: Human Rights Claims)</w:t>
      </w:r>
      <w:r w:rsidR="00847137">
        <w:t xml:space="preserve"> [2003] EWHC 665 (</w:t>
      </w:r>
      <w:proofErr w:type="gramStart"/>
      <w:r w:rsidR="00847137">
        <w:t>Fam</w:t>
      </w:r>
      <w:proofErr w:type="gramEnd"/>
      <w:r w:rsidR="00847137">
        <w:t>) [2003] 2 FLR 160</w:t>
      </w:r>
      <w:r w:rsidR="000E3B5D">
        <w:t xml:space="preserve"> to have the effect </w:t>
      </w:r>
      <w:r w:rsidR="008C7B46">
        <w:t>of substituting a different regime of procedural rules</w:t>
      </w:r>
      <w:r w:rsidR="00C14D38">
        <w:t xml:space="preserve">, as </w:t>
      </w:r>
      <w:r w:rsidR="000E3B5D">
        <w:t xml:space="preserve">contended for in this case. </w:t>
      </w:r>
      <w:r w:rsidR="00A166EB">
        <w:t xml:space="preserve"> </w:t>
      </w:r>
      <w:r w:rsidR="000E3B5D" w:rsidRPr="000E3B5D">
        <w:rPr>
          <w:i/>
        </w:rPr>
        <w:t>Re L</w:t>
      </w:r>
      <w:r w:rsidR="000E3B5D">
        <w:t xml:space="preserve"> was </w:t>
      </w:r>
      <w:r w:rsidR="00625327">
        <w:t>a case in which a mother sought an order that the local authority should be compelled to change its care plan, on the basis that the plan</w:t>
      </w:r>
      <w:r w:rsidR="004E1C57">
        <w:t xml:space="preserve"> before the court (for adoption) was unlawful and violated her ECHR rights.  </w:t>
      </w:r>
      <w:r w:rsidR="00EE06FB">
        <w:t xml:space="preserve">  </w:t>
      </w:r>
      <w:r w:rsidR="000E3B5D">
        <w:t xml:space="preserve">Munby J </w:t>
      </w:r>
      <w:r w:rsidR="00EE06FB">
        <w:t xml:space="preserve">referred at [25] </w:t>
      </w:r>
      <w:r w:rsidR="00C14D38">
        <w:t xml:space="preserve">of </w:t>
      </w:r>
      <w:r w:rsidR="00C14D38">
        <w:rPr>
          <w:i/>
        </w:rPr>
        <w:t xml:space="preserve">Re L </w:t>
      </w:r>
      <w:r w:rsidR="00EE06FB">
        <w:t xml:space="preserve">(see below) to the </w:t>
      </w:r>
      <w:r w:rsidR="00DB70AF">
        <w:t xml:space="preserve">appropriateness of the </w:t>
      </w:r>
      <w:r w:rsidR="00EE06FB">
        <w:t>court</w:t>
      </w:r>
      <w:r w:rsidR="003707EA">
        <w:t>,</w:t>
      </w:r>
      <w:r w:rsidR="00DB70AF">
        <w:t xml:space="preserve"> </w:t>
      </w:r>
      <w:r w:rsidR="00A166EB">
        <w:t xml:space="preserve">while </w:t>
      </w:r>
      <w:r w:rsidR="00DB70AF">
        <w:t xml:space="preserve">exercising its </w:t>
      </w:r>
      <w:r w:rsidR="00DB70AF" w:rsidRPr="00DB70AF">
        <w:rPr>
          <w:i/>
        </w:rPr>
        <w:t>CA 1989</w:t>
      </w:r>
      <w:r w:rsidR="00DB70AF">
        <w:t xml:space="preserve"> </w:t>
      </w:r>
      <w:r w:rsidR="00EE06FB">
        <w:t>jurisdiction</w:t>
      </w:r>
      <w:r w:rsidR="003707EA">
        <w:t>,</w:t>
      </w:r>
      <w:r w:rsidR="00EE06FB">
        <w:t xml:space="preserve"> </w:t>
      </w:r>
      <w:r w:rsidR="00A166EB">
        <w:t>be</w:t>
      </w:r>
      <w:r w:rsidR="003707EA">
        <w:t>ing</w:t>
      </w:r>
      <w:r w:rsidR="00A166EB">
        <w:t xml:space="preserve"> </w:t>
      </w:r>
      <w:r w:rsidR="00DB70AF">
        <w:t xml:space="preserve">in a position to offer an </w:t>
      </w:r>
      <w:r w:rsidR="00DB70AF" w:rsidRPr="00DB70AF">
        <w:t>“</w:t>
      </w:r>
      <w:r w:rsidR="00DB70AF" w:rsidRPr="00DB70AF">
        <w:rPr>
          <w:lang w:val="en"/>
        </w:rPr>
        <w:t>appropriate remedy within the care proceedings themselves</w:t>
      </w:r>
      <w:r w:rsidR="00DB70AF">
        <w:rPr>
          <w:lang w:val="en"/>
        </w:rPr>
        <w:t xml:space="preserve">” under </w:t>
      </w:r>
      <w:r w:rsidR="00DB70AF" w:rsidRPr="00DB70AF">
        <w:rPr>
          <w:i/>
          <w:lang w:val="en"/>
        </w:rPr>
        <w:t>section 7(1)(b)</w:t>
      </w:r>
      <w:r w:rsidR="003707EA">
        <w:rPr>
          <w:lang w:val="en"/>
        </w:rPr>
        <w:t>; I particularly draw attention to the following paragraphs:</w:t>
      </w:r>
      <w:r w:rsidR="00DB70AF">
        <w:rPr>
          <w:lang w:val="en"/>
        </w:rPr>
        <w:t xml:space="preserve">  </w:t>
      </w:r>
    </w:p>
    <w:p w14:paraId="313ED6DA" w14:textId="08074556" w:rsidR="00A6277D" w:rsidRDefault="00A6277D" w:rsidP="00EB471B">
      <w:pPr>
        <w:pStyle w:val="ParaLevel1"/>
        <w:numPr>
          <w:ilvl w:val="0"/>
          <w:numId w:val="0"/>
        </w:numPr>
        <w:ind w:left="1701" w:right="1363"/>
        <w:rPr>
          <w:lang w:val="en"/>
        </w:rPr>
      </w:pPr>
      <w:r>
        <w:rPr>
          <w:lang w:val="en"/>
        </w:rPr>
        <w:t>“</w:t>
      </w:r>
      <w:r w:rsidRPr="006B6508">
        <w:rPr>
          <w:b/>
          <w:lang w:val="en"/>
        </w:rPr>
        <w:t>[21]</w:t>
      </w:r>
      <w:r>
        <w:rPr>
          <w:lang w:val="en"/>
        </w:rPr>
        <w:t xml:space="preserve"> </w:t>
      </w:r>
      <w:r w:rsidRPr="00A6277D">
        <w:rPr>
          <w:lang w:val="en"/>
        </w:rPr>
        <w:t xml:space="preserve">Quite apart from the freestanding jurisdiction under s 7(1)(a), rights arising under the European Convention can also be relied on under s 7(1)(b) of the Human Rights Act 1998, by way of </w:t>
      </w:r>
      <w:proofErr w:type="spellStart"/>
      <w:r w:rsidRPr="00A6277D">
        <w:rPr>
          <w:lang w:val="en"/>
        </w:rPr>
        <w:t>defence</w:t>
      </w:r>
      <w:proofErr w:type="spellEnd"/>
      <w:r w:rsidRPr="00A6277D">
        <w:rPr>
          <w:lang w:val="en"/>
        </w:rPr>
        <w:t xml:space="preserve"> or otherwise, ‘in any legal </w:t>
      </w:r>
      <w:r w:rsidRPr="00A6277D">
        <w:rPr>
          <w:lang w:val="en"/>
        </w:rPr>
        <w:lastRenderedPageBreak/>
        <w:t xml:space="preserve">proceedings'. That, in my judgment, must extend to cases – such as care cases – proceeding in the FPC. </w:t>
      </w:r>
      <w:r w:rsidR="00A166EB">
        <w:rPr>
          <w:lang w:val="en"/>
        </w:rPr>
        <w:t>…</w:t>
      </w:r>
    </w:p>
    <w:p w14:paraId="38DD17D3" w14:textId="2A62B4AF" w:rsidR="00A6277D" w:rsidRDefault="00A6277D" w:rsidP="00EB471B">
      <w:pPr>
        <w:pStyle w:val="ParaLevel1"/>
        <w:numPr>
          <w:ilvl w:val="0"/>
          <w:numId w:val="0"/>
        </w:numPr>
        <w:ind w:left="1701" w:right="1363"/>
        <w:rPr>
          <w:lang w:val="en"/>
        </w:rPr>
      </w:pPr>
      <w:r>
        <w:rPr>
          <w:rStyle w:val="Strong"/>
          <w:lang w:val="en"/>
        </w:rPr>
        <w:t>[23]</w:t>
      </w:r>
      <w:r>
        <w:rPr>
          <w:lang w:val="en"/>
        </w:rPr>
        <w:t xml:space="preserve">   There is, however, in my judgment, </w:t>
      </w:r>
      <w:r w:rsidR="00EE06FB">
        <w:rPr>
          <w:lang w:val="en"/>
        </w:rPr>
        <w:t xml:space="preserve">… </w:t>
      </w:r>
      <w:r>
        <w:rPr>
          <w:lang w:val="en"/>
        </w:rPr>
        <w:t>an important distinction to be drawn between: (a) those cases in which a European Convention issue arises whilst care proceedings are still on foot; and (b) those cases in which a European Convention issue arises after a final care order has been made and when the care proceedings have accordingly come to an end.</w:t>
      </w:r>
    </w:p>
    <w:p w14:paraId="7B5C7716" w14:textId="77777777" w:rsidR="00A6277D" w:rsidRPr="00A6277D" w:rsidRDefault="00A6277D" w:rsidP="00EB471B">
      <w:pPr>
        <w:pStyle w:val="ParaLevel1"/>
        <w:numPr>
          <w:ilvl w:val="0"/>
          <w:numId w:val="0"/>
        </w:numPr>
        <w:ind w:left="1701" w:right="1363"/>
        <w:rPr>
          <w:lang w:val="en"/>
        </w:rPr>
      </w:pPr>
      <w:r>
        <w:rPr>
          <w:rStyle w:val="Strong"/>
          <w:lang w:val="en"/>
        </w:rPr>
        <w:t>[24]</w:t>
      </w:r>
      <w:r>
        <w:rPr>
          <w:lang w:val="en"/>
        </w:rPr>
        <w:t xml:space="preserve">   In the latter class of case – that is, where the care proceedings have come to an end – the appropriate remedy may well be a freestanding application under s 7(1)(a) of the Human Rights Act 1998. Such an </w:t>
      </w:r>
      <w:r w:rsidRPr="00A6277D">
        <w:rPr>
          <w:lang w:val="en"/>
        </w:rPr>
        <w:t xml:space="preserve">application can be made either on its own or in conjunction with some other application, for example (as in </w:t>
      </w:r>
      <w:r w:rsidRPr="00A6277D">
        <w:rPr>
          <w:rStyle w:val="Emphasis"/>
          <w:lang w:val="en"/>
        </w:rPr>
        <w:t>Re M (Care: Challenging Decisions by Local Authority)</w:t>
      </w:r>
      <w:r w:rsidRPr="00A6277D">
        <w:rPr>
          <w:lang w:val="en"/>
        </w:rPr>
        <w:t xml:space="preserve"> [2001] 2 FLR 1300, </w:t>
      </w:r>
      <w:r w:rsidRPr="00A6277D">
        <w:rPr>
          <w:rStyle w:val="Emphasis"/>
          <w:lang w:val="en"/>
        </w:rPr>
        <w:t xml:space="preserve">C v Bury Metropolitan Borough Council </w:t>
      </w:r>
      <w:r w:rsidRPr="00A6277D">
        <w:rPr>
          <w:lang w:val="en"/>
        </w:rPr>
        <w:t xml:space="preserve">[2002] EWHC 1438 (Fam), [2002] 2 FLR 868 and </w:t>
      </w:r>
      <w:r w:rsidRPr="00A6277D">
        <w:rPr>
          <w:rStyle w:val="Emphasis"/>
          <w:lang w:val="en"/>
        </w:rPr>
        <w:t xml:space="preserve">Re G (Care: Challenge to Local Authority Decision) </w:t>
      </w:r>
      <w:r w:rsidRPr="00A6277D">
        <w:rPr>
          <w:lang w:val="en"/>
        </w:rPr>
        <w:t xml:space="preserve">[2003] EWHC 551 (Fam), [2003] 2 FLR 42 an application under </w:t>
      </w:r>
      <w:r w:rsidRPr="00C14D38">
        <w:rPr>
          <w:i/>
          <w:lang w:val="en"/>
        </w:rPr>
        <w:t>s 39</w:t>
      </w:r>
      <w:r w:rsidRPr="00A6277D">
        <w:rPr>
          <w:lang w:val="en"/>
        </w:rPr>
        <w:t xml:space="preserve"> of the </w:t>
      </w:r>
      <w:r w:rsidRPr="00C14D38">
        <w:rPr>
          <w:i/>
          <w:lang w:val="en"/>
        </w:rPr>
        <w:t>Children Act 1989</w:t>
      </w:r>
      <w:r w:rsidRPr="00A6277D">
        <w:rPr>
          <w:lang w:val="en"/>
        </w:rPr>
        <w:t xml:space="preserve"> for discharge of the care order. In such a case, as the President </w:t>
      </w:r>
      <w:proofErr w:type="spellStart"/>
      <w:r w:rsidRPr="00A6277D">
        <w:rPr>
          <w:lang w:val="en"/>
        </w:rPr>
        <w:t>emphasised</w:t>
      </w:r>
      <w:proofErr w:type="spellEnd"/>
      <w:r w:rsidRPr="00A6277D">
        <w:rPr>
          <w:lang w:val="en"/>
        </w:rPr>
        <w:t xml:space="preserve"> in </w:t>
      </w:r>
      <w:r w:rsidRPr="00A6277D">
        <w:rPr>
          <w:rStyle w:val="Emphasis"/>
          <w:lang w:val="en"/>
        </w:rPr>
        <w:t>C v Bury</w:t>
      </w:r>
      <w:r w:rsidRPr="00A6277D">
        <w:rPr>
          <w:lang w:val="en"/>
        </w:rPr>
        <w:t xml:space="preserve">, the application should be heard in the Family Division and, if possible, by a judge with experience of sitting in the Administrative Court. </w:t>
      </w:r>
      <w:r w:rsidRPr="00A6277D">
        <w:rPr>
          <w:rStyle w:val="Emphasis"/>
          <w:lang w:val="en"/>
        </w:rPr>
        <w:t>C v Bury</w:t>
      </w:r>
      <w:r w:rsidRPr="00A6277D">
        <w:rPr>
          <w:lang w:val="en"/>
        </w:rPr>
        <w:t>, it should be noted, was a case where the care proceedings had come to an end.</w:t>
      </w:r>
    </w:p>
    <w:p w14:paraId="33221113" w14:textId="3DA5C41F" w:rsidR="00A6277D" w:rsidRDefault="00A6277D" w:rsidP="00EB471B">
      <w:pPr>
        <w:pStyle w:val="ParaLevel1"/>
        <w:numPr>
          <w:ilvl w:val="0"/>
          <w:numId w:val="0"/>
        </w:numPr>
        <w:ind w:left="1701" w:right="1363"/>
        <w:rPr>
          <w:lang w:val="en"/>
        </w:rPr>
      </w:pPr>
      <w:r w:rsidRPr="00A6277D">
        <w:rPr>
          <w:rStyle w:val="Strong"/>
          <w:lang w:val="en"/>
        </w:rPr>
        <w:t>[25]</w:t>
      </w:r>
      <w:r w:rsidRPr="00A6277D">
        <w:rPr>
          <w:lang w:val="en"/>
        </w:rPr>
        <w:t xml:space="preserve">   In the other class of case – that is, where the care proceedings are still on foot – the position, in my judgment, is quite different. </w:t>
      </w:r>
      <w:r w:rsidRPr="00EE06FB">
        <w:rPr>
          <w:u w:val="single"/>
          <w:lang w:val="en"/>
        </w:rPr>
        <w:t>Here there is no need for any freestanding application under s 7(1</w:t>
      </w:r>
      <w:proofErr w:type="gramStart"/>
      <w:r w:rsidRPr="00EE06FB">
        <w:rPr>
          <w:u w:val="single"/>
          <w:lang w:val="en"/>
        </w:rPr>
        <w:t>)(</w:t>
      </w:r>
      <w:proofErr w:type="gramEnd"/>
      <w:r w:rsidRPr="00EE06FB">
        <w:rPr>
          <w:u w:val="single"/>
          <w:lang w:val="en"/>
        </w:rPr>
        <w:t>a). Section 7(1</w:t>
      </w:r>
      <w:proofErr w:type="gramStart"/>
      <w:r w:rsidRPr="00EE06FB">
        <w:rPr>
          <w:u w:val="single"/>
          <w:lang w:val="en"/>
        </w:rPr>
        <w:t>)(</w:t>
      </w:r>
      <w:proofErr w:type="gramEnd"/>
      <w:r w:rsidRPr="00EE06FB">
        <w:rPr>
          <w:u w:val="single"/>
          <w:lang w:val="en"/>
        </w:rPr>
        <w:t xml:space="preserve">b) will provide an appropriate remedy within the care proceedings themselves. Accordingly, Human Rights Act complaints arising </w:t>
      </w:r>
      <w:r w:rsidRPr="00EE06FB">
        <w:rPr>
          <w:rStyle w:val="Emphasis"/>
          <w:u w:val="single"/>
          <w:lang w:val="en"/>
        </w:rPr>
        <w:t xml:space="preserve">before </w:t>
      </w:r>
      <w:r w:rsidRPr="00EE06FB">
        <w:rPr>
          <w:u w:val="single"/>
          <w:lang w:val="en"/>
        </w:rPr>
        <w:t>the making of a final care order can, and in my judgment normally should, be dealt with within the context of the care proceedings and by the court which is dealing with the care proceedings</w:t>
      </w:r>
      <w:r w:rsidRPr="00A6277D">
        <w:rPr>
          <w:lang w:val="en"/>
        </w:rPr>
        <w:t xml:space="preserve">. I might point out that </w:t>
      </w:r>
      <w:r w:rsidRPr="00A6277D">
        <w:rPr>
          <w:rStyle w:val="Emphasis"/>
          <w:lang w:val="en"/>
        </w:rPr>
        <w:t xml:space="preserve">Re L (Care: Assessment: Fair Trial) </w:t>
      </w:r>
      <w:r w:rsidRPr="00A6277D">
        <w:rPr>
          <w:lang w:val="en"/>
        </w:rPr>
        <w:t>[2002] EWHC 1379 (</w:t>
      </w:r>
      <w:proofErr w:type="gramStart"/>
      <w:r w:rsidRPr="00A6277D">
        <w:rPr>
          <w:lang w:val="en"/>
        </w:rPr>
        <w:t>Fam</w:t>
      </w:r>
      <w:proofErr w:type="gramEnd"/>
      <w:r w:rsidRPr="00A6277D">
        <w:rPr>
          <w:lang w:val="en"/>
        </w:rPr>
        <w:t xml:space="preserve">), [2002] 2 FLR 730 is an example, albeit in the Family Division, showing just that procedure being adopted. In that case, the mother's complaints of numerous breaches of </w:t>
      </w:r>
      <w:r w:rsidRPr="00C14D38">
        <w:rPr>
          <w:i/>
          <w:lang w:val="en"/>
        </w:rPr>
        <w:t>Art 8</w:t>
      </w:r>
      <w:r w:rsidRPr="00A6277D">
        <w:rPr>
          <w:lang w:val="en"/>
        </w:rPr>
        <w:t xml:space="preserve"> were litigated within the care proceedings and without any separate application being issued under the </w:t>
      </w:r>
      <w:r w:rsidRPr="00C14D38">
        <w:rPr>
          <w:i/>
          <w:lang w:val="en"/>
        </w:rPr>
        <w:t>Human Rights Act 1998</w:t>
      </w:r>
      <w:r w:rsidR="00A60827">
        <w:rPr>
          <w:i/>
          <w:lang w:val="en"/>
        </w:rPr>
        <w:t>.</w:t>
      </w:r>
      <w:r>
        <w:rPr>
          <w:lang w:val="en"/>
        </w:rPr>
        <w:t>”</w:t>
      </w:r>
    </w:p>
    <w:p w14:paraId="3D4BBFEC" w14:textId="7D3D5163" w:rsidR="009F3CB0" w:rsidRDefault="00510252" w:rsidP="00EB471B">
      <w:pPr>
        <w:pStyle w:val="ParaLevel1"/>
        <w:rPr>
          <w:lang w:val="en"/>
        </w:rPr>
      </w:pPr>
      <w:r>
        <w:rPr>
          <w:lang w:val="en"/>
        </w:rPr>
        <w:t xml:space="preserve">Munby J </w:t>
      </w:r>
      <w:r w:rsidR="00D74BAF">
        <w:rPr>
          <w:lang w:val="en"/>
        </w:rPr>
        <w:t xml:space="preserve">in the </w:t>
      </w:r>
      <w:r w:rsidR="006B6508">
        <w:rPr>
          <w:lang w:val="en"/>
        </w:rPr>
        <w:t>passage underlined above (</w:t>
      </w:r>
      <w:r w:rsidR="006B6508">
        <w:t xml:space="preserve">[2003] EWHC 665 (Fam) [2003] 2 FLR 160 </w:t>
      </w:r>
      <w:r w:rsidR="006B6508">
        <w:rPr>
          <w:lang w:val="en"/>
        </w:rPr>
        <w:t xml:space="preserve">[25]) </w:t>
      </w:r>
      <w:r w:rsidR="00D74BAF">
        <w:rPr>
          <w:lang w:val="en"/>
        </w:rPr>
        <w:t xml:space="preserve">advises that </w:t>
      </w:r>
      <w:r w:rsidR="0020743F">
        <w:rPr>
          <w:lang w:val="en"/>
        </w:rPr>
        <w:t xml:space="preserve">a </w:t>
      </w:r>
      <w:r w:rsidR="006B6508" w:rsidRPr="006B6508">
        <w:rPr>
          <w:i/>
          <w:lang w:val="en"/>
        </w:rPr>
        <w:t>HRA 1998</w:t>
      </w:r>
      <w:r w:rsidR="006B6508">
        <w:rPr>
          <w:lang w:val="en"/>
        </w:rPr>
        <w:t xml:space="preserve"> claim </w:t>
      </w:r>
      <w:r w:rsidR="0020743F">
        <w:rPr>
          <w:lang w:val="en"/>
        </w:rPr>
        <w:t>arising in the context of ongoing family proce</w:t>
      </w:r>
      <w:r w:rsidR="0020743F" w:rsidRPr="0020743F">
        <w:rPr>
          <w:lang w:val="en"/>
        </w:rPr>
        <w:t xml:space="preserve">edings can and should ordinarily be dealt with “by the court” dealing with the care proceedings and “within the context” of those proceedings. </w:t>
      </w:r>
      <w:r w:rsidR="00492893">
        <w:rPr>
          <w:lang w:val="en"/>
        </w:rPr>
        <w:t xml:space="preserve">  </w:t>
      </w:r>
      <w:r w:rsidR="009F3CB0">
        <w:rPr>
          <w:lang w:val="en"/>
        </w:rPr>
        <w:t xml:space="preserve">This is apposite where the relief to be awarded under </w:t>
      </w:r>
      <w:r w:rsidR="002F10F8">
        <w:rPr>
          <w:i/>
          <w:lang w:val="en"/>
        </w:rPr>
        <w:t>section</w:t>
      </w:r>
      <w:r w:rsidR="002F10F8" w:rsidRPr="002F10F8">
        <w:rPr>
          <w:i/>
          <w:lang w:val="en"/>
        </w:rPr>
        <w:t xml:space="preserve"> </w:t>
      </w:r>
      <w:r w:rsidR="009F3CB0" w:rsidRPr="002F10F8">
        <w:rPr>
          <w:i/>
          <w:lang w:val="en"/>
        </w:rPr>
        <w:t>8</w:t>
      </w:r>
      <w:r w:rsidR="009F3CB0">
        <w:rPr>
          <w:lang w:val="en"/>
        </w:rPr>
        <w:t xml:space="preserve"> </w:t>
      </w:r>
      <w:r w:rsidR="002F10F8">
        <w:rPr>
          <w:i/>
          <w:lang w:val="en"/>
        </w:rPr>
        <w:t xml:space="preserve">HRA 1998 </w:t>
      </w:r>
      <w:r w:rsidR="009F3CB0">
        <w:rPr>
          <w:lang w:val="en"/>
        </w:rPr>
        <w:t xml:space="preserve">coincides </w:t>
      </w:r>
      <w:r w:rsidR="00360250">
        <w:rPr>
          <w:lang w:val="en"/>
        </w:rPr>
        <w:t xml:space="preserve">in large measure </w:t>
      </w:r>
      <w:r w:rsidR="009F3CB0">
        <w:rPr>
          <w:lang w:val="en"/>
        </w:rPr>
        <w:lastRenderedPageBreak/>
        <w:t xml:space="preserve">with the relief or orders which the court may wish to make in the </w:t>
      </w:r>
      <w:r w:rsidR="009F3CB0" w:rsidRPr="002F10F8">
        <w:rPr>
          <w:i/>
          <w:lang w:val="en"/>
        </w:rPr>
        <w:t>CA 1989</w:t>
      </w:r>
      <w:r w:rsidR="009F3CB0">
        <w:rPr>
          <w:lang w:val="en"/>
        </w:rPr>
        <w:t xml:space="preserve"> proceedings.  But where declarations of unlawfulness and damages are sought which do </w:t>
      </w:r>
      <w:r w:rsidR="009F3CB0" w:rsidRPr="00900F04">
        <w:rPr>
          <w:u w:val="single"/>
          <w:lang w:val="en"/>
        </w:rPr>
        <w:t>not</w:t>
      </w:r>
      <w:r w:rsidR="009F3CB0">
        <w:rPr>
          <w:lang w:val="en"/>
        </w:rPr>
        <w:t xml:space="preserve"> </w:t>
      </w:r>
      <w:r w:rsidR="002F10F8">
        <w:rPr>
          <w:lang w:val="en"/>
        </w:rPr>
        <w:t xml:space="preserve">have an </w:t>
      </w:r>
      <w:r w:rsidR="009F3CB0">
        <w:rPr>
          <w:lang w:val="en"/>
        </w:rPr>
        <w:t xml:space="preserve">impact on the outcome of the </w:t>
      </w:r>
      <w:r w:rsidR="009F3CB0" w:rsidRPr="001F0F25">
        <w:rPr>
          <w:i/>
          <w:lang w:val="en"/>
        </w:rPr>
        <w:t>CA 1989</w:t>
      </w:r>
      <w:r w:rsidR="009F3CB0">
        <w:rPr>
          <w:lang w:val="en"/>
        </w:rPr>
        <w:t xml:space="preserve"> proceedings, there is much less justification for </w:t>
      </w:r>
      <w:r w:rsidR="00B4666D">
        <w:rPr>
          <w:lang w:val="en"/>
        </w:rPr>
        <w:t xml:space="preserve">uniting </w:t>
      </w:r>
      <w:r w:rsidR="009F3CB0">
        <w:rPr>
          <w:lang w:val="en"/>
        </w:rPr>
        <w:t xml:space="preserve">them.  </w:t>
      </w:r>
      <w:r w:rsidR="002F10F8">
        <w:rPr>
          <w:lang w:val="en"/>
        </w:rPr>
        <w:t xml:space="preserve">There is a real risk that in doing so, the </w:t>
      </w:r>
      <w:r w:rsidR="002F10F8" w:rsidRPr="002F10F8">
        <w:rPr>
          <w:i/>
          <w:lang w:val="en"/>
        </w:rPr>
        <w:t>CA 1989</w:t>
      </w:r>
      <w:r w:rsidR="002F10F8">
        <w:rPr>
          <w:lang w:val="en"/>
        </w:rPr>
        <w:t xml:space="preserve"> proceedings become bogged down.  A </w:t>
      </w:r>
      <w:r w:rsidR="009F3CB0" w:rsidRPr="009F3CB0">
        <w:rPr>
          <w:i/>
          <w:lang w:val="en"/>
        </w:rPr>
        <w:t>HRA 1998</w:t>
      </w:r>
      <w:r w:rsidR="009F3CB0">
        <w:rPr>
          <w:lang w:val="en"/>
        </w:rPr>
        <w:t xml:space="preserve"> claim should never be permitted (as it has in this case, I believe) to prolong the </w:t>
      </w:r>
      <w:r w:rsidR="009F3CB0" w:rsidRPr="009F3CB0">
        <w:rPr>
          <w:i/>
          <w:lang w:val="en"/>
        </w:rPr>
        <w:t>CA 1989</w:t>
      </w:r>
      <w:r w:rsidR="009F3CB0">
        <w:rPr>
          <w:lang w:val="en"/>
        </w:rPr>
        <w:t xml:space="preserve"> litigation.  </w:t>
      </w:r>
    </w:p>
    <w:p w14:paraId="724914F6" w14:textId="0D275D8D" w:rsidR="006B6508" w:rsidRDefault="00492893" w:rsidP="00EB471B">
      <w:pPr>
        <w:pStyle w:val="ParaLevel1"/>
        <w:rPr>
          <w:lang w:val="en"/>
        </w:rPr>
      </w:pPr>
      <w:proofErr w:type="spellStart"/>
      <w:r>
        <w:rPr>
          <w:lang w:val="en"/>
        </w:rPr>
        <w:t>Keehan</w:t>
      </w:r>
      <w:proofErr w:type="spellEnd"/>
      <w:r>
        <w:rPr>
          <w:lang w:val="en"/>
        </w:rPr>
        <w:t xml:space="preserve"> J analy</w:t>
      </w:r>
      <w:r w:rsidR="009A7D1E">
        <w:rPr>
          <w:lang w:val="en"/>
        </w:rPr>
        <w:t>ses</w:t>
      </w:r>
      <w:r>
        <w:rPr>
          <w:lang w:val="en"/>
        </w:rPr>
        <w:t xml:space="preserve"> </w:t>
      </w:r>
      <w:r w:rsidRPr="00492893">
        <w:rPr>
          <w:i/>
          <w:lang w:val="en"/>
        </w:rPr>
        <w:t>Re L</w:t>
      </w:r>
      <w:r>
        <w:rPr>
          <w:lang w:val="en"/>
        </w:rPr>
        <w:t xml:space="preserve"> </w:t>
      </w:r>
      <w:r w:rsidR="002F10F8">
        <w:rPr>
          <w:lang w:val="en"/>
        </w:rPr>
        <w:t xml:space="preserve">in </w:t>
      </w:r>
      <w:r w:rsidR="001F0F25" w:rsidRPr="002F10F8">
        <w:rPr>
          <w:i/>
          <w:lang w:val="en"/>
        </w:rPr>
        <w:t xml:space="preserve">H v </w:t>
      </w:r>
      <w:proofErr w:type="spellStart"/>
      <w:r w:rsidR="001F0F25" w:rsidRPr="002F10F8">
        <w:rPr>
          <w:i/>
          <w:lang w:val="en"/>
        </w:rPr>
        <w:t>Northamptonshire</w:t>
      </w:r>
      <w:proofErr w:type="spellEnd"/>
      <w:r w:rsidR="001F0F25">
        <w:rPr>
          <w:lang w:val="en"/>
        </w:rPr>
        <w:t xml:space="preserve"> at [115]</w:t>
      </w:r>
      <w:r w:rsidR="002F10F8">
        <w:rPr>
          <w:lang w:val="en"/>
        </w:rPr>
        <w:t xml:space="preserve"> </w:t>
      </w:r>
      <w:r w:rsidR="00B4666D">
        <w:rPr>
          <w:lang w:val="en"/>
        </w:rPr>
        <w:t xml:space="preserve">in a way with which I entirely associate myself, </w:t>
      </w:r>
      <w:r w:rsidR="002F10F8">
        <w:rPr>
          <w:lang w:val="en"/>
        </w:rPr>
        <w:t>thus</w:t>
      </w:r>
      <w:r>
        <w:rPr>
          <w:lang w:val="en"/>
        </w:rPr>
        <w:t>:</w:t>
      </w:r>
    </w:p>
    <w:p w14:paraId="234DA83C" w14:textId="48A11F42" w:rsidR="001F0F25" w:rsidRDefault="001F0F25" w:rsidP="00EB471B">
      <w:pPr>
        <w:pStyle w:val="ParaLevel1"/>
        <w:numPr>
          <w:ilvl w:val="0"/>
          <w:numId w:val="0"/>
        </w:numPr>
        <w:ind w:left="1701" w:right="1505"/>
        <w:rPr>
          <w:lang w:val="en"/>
        </w:rPr>
      </w:pPr>
      <w:bookmarkStart w:id="4" w:name="para115"/>
      <w:r>
        <w:t xml:space="preserve">“I respectfully agree with Munby J's general proposition that a court hearing public law proceedings should deal with any associated </w:t>
      </w:r>
      <w:r w:rsidRPr="00556150">
        <w:rPr>
          <w:i/>
        </w:rPr>
        <w:t>HRA</w:t>
      </w:r>
      <w:r>
        <w:t xml:space="preserve"> claim brought by one of the parties to the care proceedings. His concern was to prevent the proliferation of satellite litigation in respect of </w:t>
      </w:r>
      <w:r w:rsidRPr="00556150">
        <w:rPr>
          <w:i/>
        </w:rPr>
        <w:t>HRA</w:t>
      </w:r>
      <w:r>
        <w:t xml:space="preserve"> claims. The judgment should not be read, and was plainly not intended to be read, as requiring a party seeking </w:t>
      </w:r>
      <w:r w:rsidRPr="00556150">
        <w:rPr>
          <w:i/>
        </w:rPr>
        <w:t>HRA</w:t>
      </w:r>
      <w:r>
        <w:t xml:space="preserve"> damages to issue his or her claim within the existing public law care proceedings. On this basis the decision in </w:t>
      </w:r>
      <w:r>
        <w:rPr>
          <w:i/>
          <w:iCs/>
        </w:rPr>
        <w:t>Re L</w:t>
      </w:r>
      <w:r>
        <w:t xml:space="preserve">, and the decision in </w:t>
      </w:r>
      <w:proofErr w:type="spellStart"/>
      <w:r>
        <w:rPr>
          <w:i/>
          <w:iCs/>
        </w:rPr>
        <w:t>Re</w:t>
      </w:r>
      <w:proofErr w:type="spellEnd"/>
      <w:r>
        <w:rPr>
          <w:i/>
          <w:iCs/>
        </w:rPr>
        <w:t xml:space="preserve"> V</w:t>
      </w:r>
      <w:r>
        <w:t xml:space="preserve">, may be distinguished from proceedings in which a </w:t>
      </w:r>
      <w:r w:rsidRPr="00556150">
        <w:rPr>
          <w:i/>
        </w:rPr>
        <w:t>HRA</w:t>
      </w:r>
      <w:r>
        <w:t xml:space="preserve"> claim is pursued </w:t>
      </w:r>
      <w:r w:rsidRPr="00556150">
        <w:rPr>
          <w:u w:val="single"/>
        </w:rPr>
        <w:t>and damages are sought</w:t>
      </w:r>
      <w:r>
        <w:t xml:space="preserve">. </w:t>
      </w:r>
      <w:r w:rsidRPr="00556150">
        <w:rPr>
          <w:u w:val="single"/>
        </w:rPr>
        <w:t xml:space="preserve">Therefore, where the remedy sought in the </w:t>
      </w:r>
      <w:r w:rsidRPr="00556150">
        <w:rPr>
          <w:i/>
          <w:u w:val="single"/>
        </w:rPr>
        <w:t>HRA</w:t>
      </w:r>
      <w:r w:rsidRPr="00556150">
        <w:rPr>
          <w:u w:val="single"/>
        </w:rPr>
        <w:t xml:space="preserve"> claim is not limited to injunctive or declaratory relief but includes a claim for damages, it is almost inevitable that those representing the Claimant will be well advised to issue separate proceedings and to seek the issue of a separate public funding certificate because of the potential applicability of the statutory charge in respect of any HRA damages awarded</w:t>
      </w:r>
      <w:bookmarkEnd w:id="4"/>
      <w:r>
        <w:t>”</w:t>
      </w:r>
      <w:r w:rsidR="00556150">
        <w:t xml:space="preserve"> (emphasis by underlining added).</w:t>
      </w:r>
    </w:p>
    <w:p w14:paraId="5FF97721" w14:textId="77777777" w:rsidR="00035C19" w:rsidRDefault="00035C19" w:rsidP="00EB471B">
      <w:pPr>
        <w:pStyle w:val="ParaLevel1"/>
        <w:rPr>
          <w:lang w:val="en"/>
        </w:rPr>
      </w:pPr>
      <w:r>
        <w:rPr>
          <w:lang w:val="en"/>
        </w:rPr>
        <w:t xml:space="preserve">Having concluded that the </w:t>
      </w:r>
      <w:r w:rsidRPr="00035C19">
        <w:rPr>
          <w:i/>
          <w:lang w:val="en"/>
        </w:rPr>
        <w:t>CPR 1998</w:t>
      </w:r>
      <w:r>
        <w:rPr>
          <w:lang w:val="en"/>
        </w:rPr>
        <w:t xml:space="preserve"> apply to this type of application, it is necessary to assess the implications for this case.</w:t>
      </w:r>
    </w:p>
    <w:p w14:paraId="42C3409C" w14:textId="7D0C67DD" w:rsidR="00035C19" w:rsidRPr="00035C19" w:rsidRDefault="00F434A9" w:rsidP="00EB471B">
      <w:pPr>
        <w:pStyle w:val="ParaLevel1"/>
        <w:numPr>
          <w:ilvl w:val="0"/>
          <w:numId w:val="0"/>
        </w:numPr>
        <w:rPr>
          <w:lang w:val="en"/>
        </w:rPr>
      </w:pPr>
      <w:r w:rsidRPr="00035C19">
        <w:rPr>
          <w:i/>
        </w:rPr>
        <w:t>Representation of the Children in the HRA 1998 claims</w:t>
      </w:r>
    </w:p>
    <w:p w14:paraId="5413A9BA" w14:textId="230E4422" w:rsidR="005E603D" w:rsidRDefault="00FC6B4F" w:rsidP="00EB471B">
      <w:pPr>
        <w:pStyle w:val="ParaLevel1"/>
      </w:pPr>
      <w:r>
        <w:t xml:space="preserve">The </w:t>
      </w:r>
      <w:r w:rsidR="00F54373">
        <w:t xml:space="preserve">Children’s </w:t>
      </w:r>
      <w:r>
        <w:t>Guardian</w:t>
      </w:r>
      <w:r w:rsidR="00F2095E">
        <w:t>, Ms. O,</w:t>
      </w:r>
      <w:r>
        <w:t xml:space="preserve"> was appointed </w:t>
      </w:r>
      <w:r w:rsidR="00035C19">
        <w:t xml:space="preserve">to represent </w:t>
      </w:r>
      <w:r>
        <w:t xml:space="preserve">the children in the </w:t>
      </w:r>
      <w:r w:rsidR="00035C19" w:rsidRPr="00035C19">
        <w:rPr>
          <w:i/>
        </w:rPr>
        <w:t>Part IV</w:t>
      </w:r>
      <w:r w:rsidR="00035C19">
        <w:t xml:space="preserve"> </w:t>
      </w:r>
      <w:r w:rsidRPr="00F54373">
        <w:rPr>
          <w:i/>
        </w:rPr>
        <w:t>CA 1989</w:t>
      </w:r>
      <w:r>
        <w:t xml:space="preserve"> proceedings in </w:t>
      </w:r>
      <w:r w:rsidR="00333A31">
        <w:t xml:space="preserve">September 2015 </w:t>
      </w:r>
      <w:r w:rsidR="00DA4911">
        <w:t xml:space="preserve">in </w:t>
      </w:r>
      <w:r>
        <w:t xml:space="preserve">accordance with the provisions of </w:t>
      </w:r>
      <w:r w:rsidR="005E603D" w:rsidRPr="005E603D">
        <w:rPr>
          <w:i/>
        </w:rPr>
        <w:t>section 41 CA 1989</w:t>
      </w:r>
      <w:r w:rsidR="005E603D">
        <w:t xml:space="preserve"> and </w:t>
      </w:r>
      <w:r w:rsidRPr="00FC6B4F">
        <w:rPr>
          <w:i/>
        </w:rPr>
        <w:t>rule 16.3 FPR 2010</w:t>
      </w:r>
      <w:r>
        <w:t>.</w:t>
      </w:r>
      <w:r w:rsidR="0039501A">
        <w:t xml:space="preserve">  </w:t>
      </w:r>
      <w:r w:rsidR="00F2095E">
        <w:t xml:space="preserve">Her </w:t>
      </w:r>
      <w:r w:rsidR="00F54373">
        <w:t xml:space="preserve">appointment </w:t>
      </w:r>
      <w:r w:rsidR="00035C19">
        <w:t>was</w:t>
      </w:r>
      <w:r w:rsidR="005E603D">
        <w:t xml:space="preserve"> </w:t>
      </w:r>
      <w:r w:rsidR="00F2095E">
        <w:t xml:space="preserve">in conventional terms </w:t>
      </w:r>
      <w:r w:rsidR="005E603D">
        <w:t xml:space="preserve">“for the purposes of </w:t>
      </w:r>
      <w:r w:rsidR="00236CAF">
        <w:t>[the]</w:t>
      </w:r>
      <w:r w:rsidR="005E603D">
        <w:t xml:space="preserve"> specified proceedings”</w:t>
      </w:r>
      <w:r w:rsidR="00DA4911">
        <w:t xml:space="preserve"> (</w:t>
      </w:r>
      <w:r w:rsidR="00DA4911" w:rsidRPr="00DA4911">
        <w:rPr>
          <w:i/>
        </w:rPr>
        <w:t>section 41</w:t>
      </w:r>
      <w:r w:rsidR="00DA4911">
        <w:t>)</w:t>
      </w:r>
      <w:r w:rsidR="00F2095E">
        <w:t xml:space="preserve">.  That appointment was not, </w:t>
      </w:r>
      <w:r w:rsidR="00236CAF">
        <w:t xml:space="preserve">and </w:t>
      </w:r>
      <w:r w:rsidR="0060373E">
        <w:t>is not</w:t>
      </w:r>
      <w:r w:rsidR="00F2095E">
        <w:t>,</w:t>
      </w:r>
      <w:r w:rsidR="0060373E">
        <w:t xml:space="preserve"> for representation </w:t>
      </w:r>
      <w:r w:rsidR="00F2095E">
        <w:t xml:space="preserve">of the children </w:t>
      </w:r>
      <w:r w:rsidR="0060373E">
        <w:t xml:space="preserve">in civil or other </w:t>
      </w:r>
      <w:r w:rsidR="005E603D">
        <w:t xml:space="preserve">(including </w:t>
      </w:r>
      <w:r w:rsidR="00A21863" w:rsidRPr="00F54373">
        <w:rPr>
          <w:i/>
        </w:rPr>
        <w:t>HRA 1998</w:t>
      </w:r>
      <w:r w:rsidR="005E603D">
        <w:t>)</w:t>
      </w:r>
      <w:r w:rsidR="00A21863">
        <w:t xml:space="preserve"> proceedings</w:t>
      </w:r>
      <w:r w:rsidR="005E603D">
        <w:t xml:space="preserve">.  </w:t>
      </w:r>
    </w:p>
    <w:p w14:paraId="5301779E" w14:textId="32E918C3" w:rsidR="00847137" w:rsidRDefault="00B74573" w:rsidP="00EB471B">
      <w:pPr>
        <w:pStyle w:val="ParaLevel1"/>
      </w:pPr>
      <w:r>
        <w:t>Regrettably, Ms</w:t>
      </w:r>
      <w:r w:rsidR="009C4A73">
        <w:t>.</w:t>
      </w:r>
      <w:r>
        <w:t xml:space="preserve"> O assumed the role of litigation friend in the</w:t>
      </w:r>
      <w:r w:rsidRPr="006A5610">
        <w:rPr>
          <w:i/>
        </w:rPr>
        <w:t xml:space="preserve"> HRA 199</w:t>
      </w:r>
      <w:r w:rsidRPr="00B74573">
        <w:rPr>
          <w:i/>
        </w:rPr>
        <w:t>8</w:t>
      </w:r>
      <w:r>
        <w:t xml:space="preserve"> proceedings without</w:t>
      </w:r>
      <w:r w:rsidR="0040734F">
        <w:t xml:space="preserve"> – as I understand it – explicit </w:t>
      </w:r>
      <w:r>
        <w:t xml:space="preserve">authority from </w:t>
      </w:r>
      <w:proofErr w:type="spellStart"/>
      <w:r>
        <w:t>Cafcass</w:t>
      </w:r>
      <w:proofErr w:type="spellEnd"/>
      <w:r w:rsidR="0040734F">
        <w:t xml:space="preserve"> for </w:t>
      </w:r>
      <w:r w:rsidR="00791933">
        <w:t xml:space="preserve">her </w:t>
      </w:r>
      <w:r w:rsidR="0040734F">
        <w:t xml:space="preserve">to act under </w:t>
      </w:r>
      <w:r w:rsidR="0040734F">
        <w:rPr>
          <w:i/>
        </w:rPr>
        <w:t>Part 21</w:t>
      </w:r>
      <w:r>
        <w:t xml:space="preserve">, or </w:t>
      </w:r>
      <w:r w:rsidR="006B4A9A">
        <w:t xml:space="preserve">proper consideration of </w:t>
      </w:r>
      <w:r>
        <w:t>the</w:t>
      </w:r>
      <w:r w:rsidR="00791933">
        <w:t xml:space="preserve"> children’s </w:t>
      </w:r>
      <w:r>
        <w:t>true status</w:t>
      </w:r>
      <w:r w:rsidR="00791933">
        <w:t xml:space="preserve"> in these civil proceedings</w:t>
      </w:r>
      <w:r w:rsidR="0040734F">
        <w:t xml:space="preserve">; I have been advised (though have seen no formal confirmation of this) that </w:t>
      </w:r>
      <w:proofErr w:type="spellStart"/>
      <w:r w:rsidR="0040734F">
        <w:t>Cafcass</w:t>
      </w:r>
      <w:proofErr w:type="spellEnd"/>
      <w:r w:rsidR="0040734F">
        <w:t xml:space="preserve"> had originally agreed </w:t>
      </w:r>
      <w:r w:rsidR="009C4A73">
        <w:t xml:space="preserve">(or it was thought that </w:t>
      </w:r>
      <w:proofErr w:type="spellStart"/>
      <w:r w:rsidR="009C4A73">
        <w:t>Cafcass</w:t>
      </w:r>
      <w:proofErr w:type="spellEnd"/>
      <w:r w:rsidR="009C4A73">
        <w:t xml:space="preserve"> had agreed) </w:t>
      </w:r>
      <w:r w:rsidR="0040734F">
        <w:t xml:space="preserve">that the Children’s Guardian could “front” the </w:t>
      </w:r>
      <w:r w:rsidR="009C4A73" w:rsidRPr="009C4A73">
        <w:rPr>
          <w:i/>
        </w:rPr>
        <w:t>HRA 1998</w:t>
      </w:r>
      <w:r w:rsidR="009C4A73">
        <w:t xml:space="preserve"> </w:t>
      </w:r>
      <w:r w:rsidR="0040734F">
        <w:t>proceedings</w:t>
      </w:r>
      <w:r w:rsidR="009C4A73">
        <w:t xml:space="preserve"> on behalf of the children</w:t>
      </w:r>
      <w:r w:rsidR="0040734F">
        <w:t xml:space="preserve">, </w:t>
      </w:r>
      <w:r w:rsidR="00791933">
        <w:t xml:space="preserve">though this agreement may have been given </w:t>
      </w:r>
      <w:r w:rsidR="0040734F">
        <w:t>without any real thought as to the technicalities</w:t>
      </w:r>
      <w:r w:rsidR="00791933">
        <w:t>;</w:t>
      </w:r>
      <w:r w:rsidR="00594390">
        <w:t xml:space="preserve"> it was on this basis that </w:t>
      </w:r>
      <w:r w:rsidR="00791933">
        <w:t xml:space="preserve">the Guardian and </w:t>
      </w:r>
      <w:r w:rsidR="00594390">
        <w:t>her legal team operated</w:t>
      </w:r>
      <w:r>
        <w:t xml:space="preserve">.  </w:t>
      </w:r>
      <w:r w:rsidR="00594390">
        <w:t xml:space="preserve">I suspect, but do not know for sure, that many Children’s Guardians in </w:t>
      </w:r>
      <w:r w:rsidR="00594390" w:rsidRPr="00791933">
        <w:rPr>
          <w:i/>
        </w:rPr>
        <w:t>CA 1989</w:t>
      </w:r>
      <w:r w:rsidR="00594390">
        <w:t xml:space="preserve"> </w:t>
      </w:r>
      <w:r w:rsidR="00791933">
        <w:t xml:space="preserve">proceedings, </w:t>
      </w:r>
      <w:r w:rsidR="00594390">
        <w:t xml:space="preserve">and their </w:t>
      </w:r>
      <w:r w:rsidR="00594390">
        <w:lastRenderedPageBreak/>
        <w:t>legal teams</w:t>
      </w:r>
      <w:r w:rsidR="00791933">
        <w:t>,</w:t>
      </w:r>
      <w:r w:rsidR="00594390">
        <w:t xml:space="preserve"> </w:t>
      </w:r>
      <w:r w:rsidR="00791933">
        <w:t xml:space="preserve">may </w:t>
      </w:r>
      <w:r w:rsidR="00594390">
        <w:t xml:space="preserve">have strayed into roles in </w:t>
      </w:r>
      <w:r w:rsidR="00594390" w:rsidRPr="00594390">
        <w:rPr>
          <w:i/>
        </w:rPr>
        <w:t>HRA 1998</w:t>
      </w:r>
      <w:r w:rsidR="00594390">
        <w:t xml:space="preserve"> </w:t>
      </w:r>
      <w:r w:rsidR="00791933">
        <w:t xml:space="preserve">proceedings </w:t>
      </w:r>
      <w:r w:rsidR="00594390">
        <w:t xml:space="preserve">for which they have no formal </w:t>
      </w:r>
      <w:r w:rsidR="00316DDF">
        <w:t>status under the rules</w:t>
      </w:r>
      <w:r w:rsidR="00594390">
        <w:t xml:space="preserve">.  The fact is that </w:t>
      </w:r>
      <w:r w:rsidR="00316DDF">
        <w:t xml:space="preserve">Ms. O </w:t>
      </w:r>
      <w:r>
        <w:t>could not be appointed as litigation friend</w:t>
      </w:r>
      <w:r w:rsidR="009C4A73">
        <w:t>,</w:t>
      </w:r>
      <w:r>
        <w:t xml:space="preserve"> as she and her legal team had thought</w:t>
      </w:r>
      <w:r w:rsidR="009C4A73">
        <w:t>,</w:t>
      </w:r>
      <w:r>
        <w:t xml:space="preserve"> under </w:t>
      </w:r>
      <w:r w:rsidR="006A5610" w:rsidRPr="006B4A9A">
        <w:rPr>
          <w:i/>
        </w:rPr>
        <w:t>rule 16.5 FPR 2010</w:t>
      </w:r>
      <w:r w:rsidR="006B4A9A">
        <w:t xml:space="preserve"> (“requirement for a litigation friend”)</w:t>
      </w:r>
      <w:r w:rsidR="006A5610">
        <w:t xml:space="preserve"> </w:t>
      </w:r>
      <w:r w:rsidR="006B4A9A">
        <w:t>given that</w:t>
      </w:r>
      <w:r w:rsidR="009C4A73">
        <w:t>,</w:t>
      </w:r>
      <w:r w:rsidR="006B4A9A">
        <w:t xml:space="preserve"> </w:t>
      </w:r>
      <w:r w:rsidR="006A5610">
        <w:t>as I have made clear above</w:t>
      </w:r>
      <w:r w:rsidR="009C4A73">
        <w:t>,</w:t>
      </w:r>
      <w:r w:rsidR="006A5610">
        <w:t xml:space="preserve"> </w:t>
      </w:r>
      <w:r w:rsidR="0060373E">
        <w:t xml:space="preserve">the </w:t>
      </w:r>
      <w:r w:rsidR="0060373E" w:rsidRPr="006A5610">
        <w:rPr>
          <w:i/>
        </w:rPr>
        <w:t>FPR 2010</w:t>
      </w:r>
      <w:r w:rsidR="0060373E">
        <w:t xml:space="preserve"> do </w:t>
      </w:r>
      <w:r w:rsidR="005E603D">
        <w:t xml:space="preserve">not apply to the </w:t>
      </w:r>
      <w:r w:rsidR="005E603D" w:rsidRPr="006A5610">
        <w:rPr>
          <w:i/>
        </w:rPr>
        <w:t>HRA 1998</w:t>
      </w:r>
      <w:r w:rsidR="005E603D">
        <w:t xml:space="preserve"> claim at all</w:t>
      </w:r>
      <w:r w:rsidR="006A5610">
        <w:t>.  I</w:t>
      </w:r>
      <w:r w:rsidR="00236CAF">
        <w:t xml:space="preserve">t is necessary for the </w:t>
      </w:r>
      <w:r w:rsidR="00A21863">
        <w:t>child</w:t>
      </w:r>
      <w:r w:rsidR="0060373E">
        <w:t>ren</w:t>
      </w:r>
      <w:r w:rsidR="00A21863">
        <w:t xml:space="preserve">’s status </w:t>
      </w:r>
      <w:r w:rsidR="00236CAF">
        <w:t xml:space="preserve">as litigants </w:t>
      </w:r>
      <w:r w:rsidR="00A21863">
        <w:t xml:space="preserve">in the </w:t>
      </w:r>
      <w:r w:rsidR="00A21863" w:rsidRPr="006A5610">
        <w:rPr>
          <w:i/>
        </w:rPr>
        <w:t>HRA 1998</w:t>
      </w:r>
      <w:r w:rsidR="00A21863">
        <w:t xml:space="preserve"> proceedings to be </w:t>
      </w:r>
      <w:r w:rsidR="00252E86">
        <w:t xml:space="preserve">provided for </w:t>
      </w:r>
      <w:r w:rsidR="0060373E">
        <w:t xml:space="preserve">under </w:t>
      </w:r>
      <w:r w:rsidR="00A21863">
        <w:t xml:space="preserve">the </w:t>
      </w:r>
      <w:r w:rsidR="00A21863" w:rsidRPr="006A5610">
        <w:rPr>
          <w:i/>
        </w:rPr>
        <w:t>CPR 1998</w:t>
      </w:r>
      <w:r w:rsidR="00A21863">
        <w:t xml:space="preserve">, </w:t>
      </w:r>
      <w:r w:rsidR="00252E86">
        <w:t xml:space="preserve">namely </w:t>
      </w:r>
      <w:r w:rsidR="00A21863" w:rsidRPr="006A5610">
        <w:rPr>
          <w:i/>
        </w:rPr>
        <w:t>Part 21</w:t>
      </w:r>
      <w:r w:rsidR="00A21863">
        <w:t>.</w:t>
      </w:r>
      <w:r w:rsidR="00F2095E">
        <w:t xml:space="preserve">  </w:t>
      </w:r>
      <w:r w:rsidR="006A5610">
        <w:t>This defect was only exposed on the first day of the hearing.</w:t>
      </w:r>
    </w:p>
    <w:p w14:paraId="0ED16840" w14:textId="54F9A374" w:rsidR="00252E86" w:rsidRPr="00252E86" w:rsidRDefault="006A5610" w:rsidP="00EB471B">
      <w:pPr>
        <w:pStyle w:val="ParaLevel1"/>
      </w:pPr>
      <w:r w:rsidRPr="006A5610">
        <w:rPr>
          <w:i/>
        </w:rPr>
        <w:t>Part 21</w:t>
      </w:r>
      <w:r>
        <w:t xml:space="preserve"> of the </w:t>
      </w:r>
      <w:r w:rsidRPr="006A5610">
        <w:rPr>
          <w:i/>
        </w:rPr>
        <w:t>CP</w:t>
      </w:r>
      <w:r>
        <w:rPr>
          <w:i/>
        </w:rPr>
        <w:t>R</w:t>
      </w:r>
      <w:r w:rsidRPr="006A5610">
        <w:rPr>
          <w:i/>
        </w:rPr>
        <w:t xml:space="preserve"> 1998</w:t>
      </w:r>
      <w:r>
        <w:t xml:space="preserve"> </w:t>
      </w:r>
      <w:r w:rsidR="009A7D1E">
        <w:t xml:space="preserve">sets out the “special provisions” which apply in relation to </w:t>
      </w:r>
      <w:r w:rsidR="002D01BB">
        <w:t xml:space="preserve">civil </w:t>
      </w:r>
      <w:r w:rsidR="009A7D1E">
        <w:t xml:space="preserve">proceedings involving children and protected parties; it specifically </w:t>
      </w:r>
      <w:r w:rsidR="00252E86">
        <w:t>provides that a child “must” have a litigation friend (</w:t>
      </w:r>
      <w:r w:rsidR="00316DDF">
        <w:rPr>
          <w:i/>
        </w:rPr>
        <w:t xml:space="preserve">rule </w:t>
      </w:r>
      <w:r w:rsidR="00252E86" w:rsidRPr="00252E86">
        <w:rPr>
          <w:i/>
        </w:rPr>
        <w:t>21.2(2) CPR 1998</w:t>
      </w:r>
      <w:r w:rsidR="00252E86">
        <w:t>), unless the court</w:t>
      </w:r>
      <w:r w:rsidR="00363785">
        <w:t xml:space="preserve"> (in defined circumstances</w:t>
      </w:r>
      <w:r w:rsidR="002D01BB">
        <w:t>, not relevant here</w:t>
      </w:r>
      <w:r w:rsidR="00363785">
        <w:t>)</w:t>
      </w:r>
      <w:r w:rsidR="00252E86">
        <w:t xml:space="preserve"> orders otherwise (</w:t>
      </w:r>
      <w:r w:rsidR="00316DDF">
        <w:rPr>
          <w:i/>
        </w:rPr>
        <w:t xml:space="preserve">rule </w:t>
      </w:r>
      <w:r w:rsidR="00252E86" w:rsidRPr="00252E86">
        <w:rPr>
          <w:i/>
        </w:rPr>
        <w:t>21.2(</w:t>
      </w:r>
      <w:r w:rsidR="00252E86">
        <w:rPr>
          <w:i/>
        </w:rPr>
        <w:t>3</w:t>
      </w:r>
      <w:r w:rsidR="00252E86" w:rsidRPr="00252E86">
        <w:rPr>
          <w:i/>
        </w:rPr>
        <w:t>) CPR 1998</w:t>
      </w:r>
      <w:r w:rsidR="00252E86">
        <w:t>)</w:t>
      </w:r>
      <w:r w:rsidR="00BB7847">
        <w:t xml:space="preserve">.  </w:t>
      </w:r>
      <w:r w:rsidR="009F1FDD">
        <w:t xml:space="preserve">The rules are clear that it is </w:t>
      </w:r>
      <w:r w:rsidR="00236CAF">
        <w:t xml:space="preserve">essential </w:t>
      </w:r>
      <w:r w:rsidR="00BB7847">
        <w:t xml:space="preserve">that the formalities are observed from the very earliest stage, as (per </w:t>
      </w:r>
      <w:r w:rsidR="00316DDF">
        <w:rPr>
          <w:i/>
        </w:rPr>
        <w:t xml:space="preserve">rule </w:t>
      </w:r>
      <w:r w:rsidR="00BB7847" w:rsidRPr="00252E86">
        <w:rPr>
          <w:i/>
        </w:rPr>
        <w:t>21.</w:t>
      </w:r>
      <w:r w:rsidR="00BB7847">
        <w:rPr>
          <w:i/>
        </w:rPr>
        <w:t>3</w:t>
      </w:r>
      <w:r w:rsidR="00BB7847" w:rsidRPr="00252E86">
        <w:rPr>
          <w:i/>
        </w:rPr>
        <w:t xml:space="preserve"> CPR 1998</w:t>
      </w:r>
      <w:r w:rsidR="00BB7847">
        <w:t xml:space="preserve">) no step can or should be taken in the proceedings until the child has a litigation friend appointed in accordance with </w:t>
      </w:r>
      <w:r w:rsidR="00316DDF">
        <w:rPr>
          <w:i/>
        </w:rPr>
        <w:t>rule</w:t>
      </w:r>
      <w:r w:rsidR="00BB7847" w:rsidRPr="00BB7847">
        <w:rPr>
          <w:i/>
        </w:rPr>
        <w:t xml:space="preserve"> 21.6</w:t>
      </w:r>
      <w:r w:rsidR="00BB7847">
        <w:t>.</w:t>
      </w:r>
      <w:r w:rsidR="002469F9">
        <w:t xml:space="preserve">  A person may act as a litigation friend without court order provided that he/she can fulfil certain requirements, including the offering of an undertaking to pay any costs which the child may be ordered to pay in relation to the proceedings (</w:t>
      </w:r>
      <w:r w:rsidR="00316DDF">
        <w:rPr>
          <w:i/>
        </w:rPr>
        <w:t>rule</w:t>
      </w:r>
      <w:r w:rsidR="002469F9">
        <w:rPr>
          <w:i/>
        </w:rPr>
        <w:t xml:space="preserve"> 21.4</w:t>
      </w:r>
      <w:r w:rsidR="00247600">
        <w:rPr>
          <w:i/>
        </w:rPr>
        <w:t>(3)(c)</w:t>
      </w:r>
      <w:r w:rsidR="00247600">
        <w:t xml:space="preserve">). The Local Authority made a formal offer not to seek costs against the children here, but this was not of itself sufficient to overcome other insuperable obstacles to </w:t>
      </w:r>
      <w:r w:rsidR="00BC1219">
        <w:t>the appointment of Ms. O as litigation friend.</w:t>
      </w:r>
      <w:r w:rsidR="00247600">
        <w:t xml:space="preserve"> </w:t>
      </w:r>
    </w:p>
    <w:p w14:paraId="3BE1D810" w14:textId="2A365EA5" w:rsidR="00DA4911" w:rsidRDefault="00BC1219" w:rsidP="00EB471B">
      <w:pPr>
        <w:pStyle w:val="ParaLevel1"/>
      </w:pPr>
      <w:r>
        <w:t xml:space="preserve">Contrary to the impression which the Children’s Guardian appears to have received in this case, </w:t>
      </w:r>
      <w:proofErr w:type="spellStart"/>
      <w:r w:rsidR="00DA4911">
        <w:t>Cafcass</w:t>
      </w:r>
      <w:proofErr w:type="spellEnd"/>
      <w:r w:rsidR="00DA4911">
        <w:t xml:space="preserve"> is clear that it </w:t>
      </w:r>
      <w:r w:rsidR="008F1818">
        <w:t xml:space="preserve">cannot, </w:t>
      </w:r>
      <w:r w:rsidR="00316DDF">
        <w:t>and</w:t>
      </w:r>
      <w:r w:rsidR="008F1818">
        <w:t xml:space="preserve"> </w:t>
      </w:r>
      <w:r w:rsidR="00DA4911">
        <w:t>will not</w:t>
      </w:r>
      <w:r w:rsidR="008F1818">
        <w:t>,</w:t>
      </w:r>
      <w:r w:rsidR="00DA4911">
        <w:t xml:space="preserve"> </w:t>
      </w:r>
      <w:r w:rsidR="009F1FDD">
        <w:t xml:space="preserve">permit </w:t>
      </w:r>
      <w:r w:rsidR="00236CAF">
        <w:t xml:space="preserve">its own </w:t>
      </w:r>
      <w:r w:rsidR="0096446B">
        <w:t>officers (children’s g</w:t>
      </w:r>
      <w:r w:rsidR="00DA4911">
        <w:t>uardians</w:t>
      </w:r>
      <w:r w:rsidR="0096446B">
        <w:t>)</w:t>
      </w:r>
      <w:r w:rsidR="00DA4911">
        <w:t xml:space="preserve"> to be</w:t>
      </w:r>
      <w:r w:rsidR="00236CAF">
        <w:t>come</w:t>
      </w:r>
      <w:r w:rsidR="00DA4911">
        <w:t xml:space="preserve"> litigation friends in </w:t>
      </w:r>
      <w:r w:rsidR="00DA4911" w:rsidRPr="00236CAF">
        <w:rPr>
          <w:i/>
        </w:rPr>
        <w:t>HRA 1998</w:t>
      </w:r>
      <w:r w:rsidR="00DA4911">
        <w:t xml:space="preserve"> proceedings.  In a helpful </w:t>
      </w:r>
      <w:r w:rsidR="008F1818">
        <w:t xml:space="preserve">e-mail </w:t>
      </w:r>
      <w:r w:rsidR="00DA4911">
        <w:t>communication from Ms</w:t>
      </w:r>
      <w:r w:rsidR="0062084A">
        <w:t>.</w:t>
      </w:r>
      <w:r w:rsidR="00DA4911">
        <w:t xml:space="preserve"> </w:t>
      </w:r>
      <w:r w:rsidR="0062084A">
        <w:t xml:space="preserve">Melanie </w:t>
      </w:r>
      <w:r w:rsidR="00DA4911">
        <w:t>Carew (</w:t>
      </w:r>
      <w:r w:rsidR="0062084A">
        <w:t xml:space="preserve">Head of Legal, </w:t>
      </w:r>
      <w:proofErr w:type="spellStart"/>
      <w:r w:rsidR="00DA4911">
        <w:t>Cafcass</w:t>
      </w:r>
      <w:proofErr w:type="spellEnd"/>
      <w:r w:rsidR="00DA4911">
        <w:t xml:space="preserve">) </w:t>
      </w:r>
      <w:r w:rsidR="00236CAF">
        <w:t>s</w:t>
      </w:r>
      <w:r w:rsidR="008F1818">
        <w:t xml:space="preserve">ent to the parties </w:t>
      </w:r>
      <w:r w:rsidR="00236CAF">
        <w:t xml:space="preserve">when </w:t>
      </w:r>
      <w:r w:rsidR="00DA4911">
        <w:t>this problem came to light</w:t>
      </w:r>
      <w:r w:rsidR="00236CAF">
        <w:t xml:space="preserve"> on the first day of the hearing</w:t>
      </w:r>
      <w:r>
        <w:t xml:space="preserve"> (1 Ma</w:t>
      </w:r>
      <w:r w:rsidR="00991528">
        <w:t xml:space="preserve">rch) </w:t>
      </w:r>
      <w:r w:rsidR="009F1FDD">
        <w:t xml:space="preserve">she </w:t>
      </w:r>
      <w:r w:rsidR="00DA4911">
        <w:t>said that</w:t>
      </w:r>
      <w:r w:rsidR="00917C78">
        <w:t>:</w:t>
      </w:r>
    </w:p>
    <w:p w14:paraId="52950C66" w14:textId="7461F086" w:rsidR="00917C78" w:rsidRDefault="00917C78" w:rsidP="00EB471B">
      <w:pPr>
        <w:pStyle w:val="ParaLevel1"/>
        <w:numPr>
          <w:ilvl w:val="0"/>
          <w:numId w:val="0"/>
        </w:numPr>
        <w:ind w:left="1701" w:right="1505"/>
      </w:pPr>
      <w:r>
        <w:t>“</w:t>
      </w:r>
      <w:r w:rsidR="006758AD">
        <w:t xml:space="preserve">… </w:t>
      </w:r>
      <w:proofErr w:type="gramStart"/>
      <w:r>
        <w:t>the</w:t>
      </w:r>
      <w:proofErr w:type="gramEnd"/>
      <w:r>
        <w:t xml:space="preserve"> legal advice given to </w:t>
      </w:r>
      <w:proofErr w:type="spellStart"/>
      <w:r>
        <w:t>Cafcass</w:t>
      </w:r>
      <w:proofErr w:type="spellEnd"/>
      <w:r>
        <w:t xml:space="preserve"> is that it is outside its statutory functions to act outside of family proceedings… A </w:t>
      </w:r>
      <w:proofErr w:type="spellStart"/>
      <w:r>
        <w:t>Cafcass</w:t>
      </w:r>
      <w:proofErr w:type="spellEnd"/>
      <w:r>
        <w:t xml:space="preserve"> officer acting in a professional </w:t>
      </w:r>
      <w:r w:rsidR="008D3D82">
        <w:t xml:space="preserve">capacity would therefore be acting </w:t>
      </w:r>
      <w:r w:rsidR="008D3D82" w:rsidRPr="00316DDF">
        <w:rPr>
          <w:i/>
        </w:rPr>
        <w:t>ultra vires</w:t>
      </w:r>
      <w:r w:rsidR="008D3D82">
        <w:t xml:space="preserve"> if they were acting as a litigation friend in civil proceedings”</w:t>
      </w:r>
      <w:r w:rsidR="009F1FDD">
        <w:t>.</w:t>
      </w:r>
    </w:p>
    <w:p w14:paraId="3B331F17" w14:textId="4B0C22A6" w:rsidR="00A21863" w:rsidRPr="007336C8" w:rsidRDefault="00A21863" w:rsidP="00EB471B">
      <w:pPr>
        <w:pStyle w:val="ParaLevel1"/>
        <w:rPr>
          <w:szCs w:val="24"/>
        </w:rPr>
      </w:pPr>
      <w:r>
        <w:t>Th</w:t>
      </w:r>
      <w:r w:rsidR="006758AD">
        <w:t xml:space="preserve">at advice is more fully laid out </w:t>
      </w:r>
      <w:r w:rsidR="007F7665">
        <w:t xml:space="preserve">and explained </w:t>
      </w:r>
      <w:r w:rsidR="00DA4911">
        <w:t xml:space="preserve">in </w:t>
      </w:r>
      <w:r>
        <w:t>a document</w:t>
      </w:r>
      <w:r w:rsidR="007F7665">
        <w:t xml:space="preserve">, publicly available, entitled “Guidance – the role of </w:t>
      </w:r>
      <w:proofErr w:type="spellStart"/>
      <w:r w:rsidR="007F7665">
        <w:t>Cafcass</w:t>
      </w:r>
      <w:proofErr w:type="spellEnd"/>
      <w:r w:rsidR="007F7665">
        <w:t xml:space="preserve"> in Human Rights Claims”</w:t>
      </w:r>
      <w:r>
        <w:t xml:space="preserve"> </w:t>
      </w:r>
      <w:r w:rsidR="007F7665">
        <w:t xml:space="preserve">(April 2016) </w:t>
      </w:r>
      <w:r w:rsidR="006758AD">
        <w:t xml:space="preserve">which </w:t>
      </w:r>
      <w:r w:rsidR="007F7665">
        <w:t xml:space="preserve">was </w:t>
      </w:r>
      <w:r w:rsidR="00991528">
        <w:t xml:space="preserve">considered </w:t>
      </w:r>
      <w:r w:rsidR="002D01BB">
        <w:t xml:space="preserve">at this hearing </w:t>
      </w:r>
      <w:r w:rsidR="00991528">
        <w:t xml:space="preserve">by </w:t>
      </w:r>
      <w:r w:rsidR="006758AD">
        <w:t xml:space="preserve">the parties </w:t>
      </w:r>
      <w:r w:rsidR="007F7665">
        <w:t>and the court</w:t>
      </w:r>
      <w:r>
        <w:t xml:space="preserve">.  This </w:t>
      </w:r>
      <w:r w:rsidR="006758AD">
        <w:t xml:space="preserve">document </w:t>
      </w:r>
      <w:r w:rsidR="007F7665">
        <w:t xml:space="preserve">emphasises </w:t>
      </w:r>
      <w:r>
        <w:t xml:space="preserve">that the </w:t>
      </w:r>
      <w:r w:rsidRPr="00A21863">
        <w:rPr>
          <w:szCs w:val="24"/>
        </w:rPr>
        <w:t xml:space="preserve">statutory functions of </w:t>
      </w:r>
      <w:proofErr w:type="spellStart"/>
      <w:r w:rsidRPr="00A21863">
        <w:rPr>
          <w:szCs w:val="24"/>
        </w:rPr>
        <w:t>Cafcass</w:t>
      </w:r>
      <w:proofErr w:type="spellEnd"/>
      <w:r w:rsidRPr="00A21863">
        <w:rPr>
          <w:szCs w:val="24"/>
        </w:rPr>
        <w:t xml:space="preserve"> </w:t>
      </w:r>
      <w:r w:rsidR="00991528">
        <w:rPr>
          <w:szCs w:val="24"/>
        </w:rPr>
        <w:t xml:space="preserve">(i.e. </w:t>
      </w:r>
      <w:r w:rsidR="006758AD">
        <w:rPr>
          <w:szCs w:val="24"/>
        </w:rPr>
        <w:t xml:space="preserve">those </w:t>
      </w:r>
      <w:r w:rsidR="00991528">
        <w:rPr>
          <w:szCs w:val="24"/>
        </w:rPr>
        <w:t>covered</w:t>
      </w:r>
      <w:r w:rsidR="00991528" w:rsidRPr="00A21863">
        <w:rPr>
          <w:szCs w:val="24"/>
        </w:rPr>
        <w:t xml:space="preserve"> </w:t>
      </w:r>
      <w:r w:rsidR="00991528">
        <w:rPr>
          <w:szCs w:val="24"/>
        </w:rPr>
        <w:t xml:space="preserve">by </w:t>
      </w:r>
      <w:r w:rsidRPr="00A21863">
        <w:rPr>
          <w:i/>
          <w:szCs w:val="24"/>
        </w:rPr>
        <w:t>section 12</w:t>
      </w:r>
      <w:r w:rsidRPr="00A21863">
        <w:rPr>
          <w:szCs w:val="24"/>
        </w:rPr>
        <w:t xml:space="preserve"> of </w:t>
      </w:r>
      <w:r>
        <w:rPr>
          <w:szCs w:val="24"/>
        </w:rPr>
        <w:t>t</w:t>
      </w:r>
      <w:r w:rsidRPr="00A21863">
        <w:rPr>
          <w:szCs w:val="24"/>
        </w:rPr>
        <w:t xml:space="preserve">he </w:t>
      </w:r>
      <w:r w:rsidRPr="00A21863">
        <w:rPr>
          <w:i/>
          <w:szCs w:val="24"/>
        </w:rPr>
        <w:t>C</w:t>
      </w:r>
      <w:r w:rsidR="002D01BB">
        <w:rPr>
          <w:i/>
          <w:szCs w:val="24"/>
        </w:rPr>
        <w:t>JCSA</w:t>
      </w:r>
      <w:r w:rsidRPr="00A21863">
        <w:rPr>
          <w:i/>
          <w:szCs w:val="24"/>
        </w:rPr>
        <w:t xml:space="preserve"> 2000</w:t>
      </w:r>
      <w:r w:rsidRPr="00A21863">
        <w:rPr>
          <w:szCs w:val="24"/>
        </w:rPr>
        <w:t xml:space="preserve">) </w:t>
      </w:r>
      <w:r w:rsidR="00991528">
        <w:rPr>
          <w:szCs w:val="24"/>
        </w:rPr>
        <w:t xml:space="preserve">are </w:t>
      </w:r>
      <w:r w:rsidR="00E50107">
        <w:rPr>
          <w:szCs w:val="24"/>
        </w:rPr>
        <w:t xml:space="preserve">confined </w:t>
      </w:r>
      <w:r w:rsidR="00991528">
        <w:rPr>
          <w:szCs w:val="24"/>
        </w:rPr>
        <w:t xml:space="preserve">to enabling </w:t>
      </w:r>
      <w:proofErr w:type="spellStart"/>
      <w:r w:rsidRPr="00A21863">
        <w:rPr>
          <w:szCs w:val="24"/>
        </w:rPr>
        <w:t>Cafcass</w:t>
      </w:r>
      <w:proofErr w:type="spellEnd"/>
      <w:r w:rsidRPr="00A21863">
        <w:rPr>
          <w:szCs w:val="24"/>
        </w:rPr>
        <w:t xml:space="preserve"> </w:t>
      </w:r>
      <w:r w:rsidR="00991528">
        <w:rPr>
          <w:szCs w:val="24"/>
        </w:rPr>
        <w:t xml:space="preserve">to </w:t>
      </w:r>
      <w:r w:rsidRPr="00A21863">
        <w:rPr>
          <w:szCs w:val="24"/>
        </w:rPr>
        <w:t xml:space="preserve">act on behalf </w:t>
      </w:r>
      <w:r w:rsidRPr="00C258CD">
        <w:rPr>
          <w:szCs w:val="24"/>
        </w:rPr>
        <w:t xml:space="preserve">of a child in </w:t>
      </w:r>
      <w:r w:rsidRPr="007336C8">
        <w:rPr>
          <w:szCs w:val="24"/>
        </w:rPr>
        <w:t>any</w:t>
      </w:r>
      <w:r w:rsidR="007336C8" w:rsidRPr="007336C8">
        <w:rPr>
          <w:szCs w:val="24"/>
        </w:rPr>
        <w:t xml:space="preserve"> “family proceedings” in which “the welfare of children … is or may be in question”.  Quite apart from the fact that a </w:t>
      </w:r>
      <w:r w:rsidR="007336C8" w:rsidRPr="007336C8">
        <w:rPr>
          <w:i/>
          <w:szCs w:val="24"/>
        </w:rPr>
        <w:t>HRA 1998</w:t>
      </w:r>
      <w:r w:rsidR="007336C8" w:rsidRPr="007336C8">
        <w:rPr>
          <w:szCs w:val="24"/>
        </w:rPr>
        <w:t xml:space="preserve"> application is not ‘family proceedings’ (see above), </w:t>
      </w:r>
      <w:proofErr w:type="spellStart"/>
      <w:r w:rsidR="00730DD0" w:rsidRPr="007336C8">
        <w:rPr>
          <w:szCs w:val="24"/>
        </w:rPr>
        <w:t>Cafcass</w:t>
      </w:r>
      <w:proofErr w:type="spellEnd"/>
      <w:r w:rsidR="00730DD0" w:rsidRPr="007336C8">
        <w:rPr>
          <w:szCs w:val="24"/>
        </w:rPr>
        <w:t xml:space="preserve"> takes the view that a claim brought under the </w:t>
      </w:r>
      <w:r w:rsidR="00730DD0" w:rsidRPr="007336C8">
        <w:rPr>
          <w:i/>
          <w:szCs w:val="24"/>
        </w:rPr>
        <w:t>HRA 1998</w:t>
      </w:r>
      <w:r w:rsidR="00730DD0" w:rsidRPr="007336C8">
        <w:rPr>
          <w:szCs w:val="24"/>
        </w:rPr>
        <w:t xml:space="preserve"> is not one in which the court is being asked to consider issues of welfare; </w:t>
      </w:r>
      <w:r w:rsidR="007F7665">
        <w:rPr>
          <w:szCs w:val="24"/>
        </w:rPr>
        <w:t xml:space="preserve">a </w:t>
      </w:r>
      <w:r w:rsidR="007F7665" w:rsidRPr="007F7665">
        <w:rPr>
          <w:i/>
          <w:szCs w:val="24"/>
        </w:rPr>
        <w:t>HRA 1998</w:t>
      </w:r>
      <w:r w:rsidR="007F7665">
        <w:rPr>
          <w:szCs w:val="24"/>
        </w:rPr>
        <w:t xml:space="preserve"> </w:t>
      </w:r>
      <w:r w:rsidR="00093E99" w:rsidRPr="007336C8">
        <w:rPr>
          <w:szCs w:val="24"/>
        </w:rPr>
        <w:t xml:space="preserve">claim is concerned with </w:t>
      </w:r>
      <w:r w:rsidR="00730DD0" w:rsidRPr="007336C8">
        <w:rPr>
          <w:szCs w:val="24"/>
        </w:rPr>
        <w:t>declaration</w:t>
      </w:r>
      <w:r w:rsidR="00093E99" w:rsidRPr="007336C8">
        <w:rPr>
          <w:szCs w:val="24"/>
        </w:rPr>
        <w:t>s</w:t>
      </w:r>
      <w:r w:rsidR="00730DD0" w:rsidRPr="007336C8">
        <w:rPr>
          <w:szCs w:val="24"/>
        </w:rPr>
        <w:t xml:space="preserve"> (and/or award</w:t>
      </w:r>
      <w:r w:rsidR="00093E99" w:rsidRPr="007336C8">
        <w:rPr>
          <w:szCs w:val="24"/>
        </w:rPr>
        <w:t>s</w:t>
      </w:r>
      <w:r w:rsidR="00730DD0" w:rsidRPr="007336C8">
        <w:rPr>
          <w:szCs w:val="24"/>
        </w:rPr>
        <w:t xml:space="preserve"> </w:t>
      </w:r>
      <w:r w:rsidR="00093E99" w:rsidRPr="007336C8">
        <w:rPr>
          <w:szCs w:val="24"/>
        </w:rPr>
        <w:t xml:space="preserve">of </w:t>
      </w:r>
      <w:r w:rsidR="00730DD0" w:rsidRPr="007336C8">
        <w:rPr>
          <w:szCs w:val="24"/>
        </w:rPr>
        <w:t>damages) on the basis that a public authority has acted unlawfully in the exercise of their powers.</w:t>
      </w:r>
      <w:r w:rsidR="00D46379" w:rsidRPr="007336C8">
        <w:rPr>
          <w:szCs w:val="24"/>
        </w:rPr>
        <w:t xml:space="preserve">  </w:t>
      </w:r>
      <w:r w:rsidR="00C258CD" w:rsidRPr="007336C8">
        <w:rPr>
          <w:szCs w:val="24"/>
        </w:rPr>
        <w:t xml:space="preserve">The </w:t>
      </w:r>
      <w:r w:rsidR="007F7665">
        <w:rPr>
          <w:szCs w:val="24"/>
        </w:rPr>
        <w:t xml:space="preserve">Guidance </w:t>
      </w:r>
      <w:r w:rsidR="00C258CD" w:rsidRPr="007336C8">
        <w:rPr>
          <w:szCs w:val="24"/>
        </w:rPr>
        <w:t>document goes on</w:t>
      </w:r>
      <w:r w:rsidR="00D46379" w:rsidRPr="007336C8">
        <w:rPr>
          <w:szCs w:val="24"/>
        </w:rPr>
        <w:t>:</w:t>
      </w:r>
    </w:p>
    <w:p w14:paraId="1F840558" w14:textId="0E960B06" w:rsidR="00D46379" w:rsidRPr="00B74573" w:rsidRDefault="00D46379" w:rsidP="00EB471B">
      <w:pPr>
        <w:pStyle w:val="ParaLevel1"/>
        <w:numPr>
          <w:ilvl w:val="0"/>
          <w:numId w:val="0"/>
        </w:numPr>
        <w:ind w:left="1701" w:right="1505"/>
        <w:rPr>
          <w:szCs w:val="24"/>
        </w:rPr>
      </w:pPr>
      <w:r>
        <w:rPr>
          <w:szCs w:val="24"/>
        </w:rPr>
        <w:t>“</w:t>
      </w:r>
      <w:proofErr w:type="spellStart"/>
      <w:r>
        <w:rPr>
          <w:szCs w:val="24"/>
        </w:rPr>
        <w:t>Cafcass</w:t>
      </w:r>
      <w:proofErr w:type="spellEnd"/>
      <w:r>
        <w:rPr>
          <w:szCs w:val="24"/>
        </w:rPr>
        <w:t xml:space="preserve"> cannot act as Litigation Friend in proceedings in which the welfare of the child is not in question, although it is within the scope of the guardian’s role to advise on </w:t>
      </w:r>
      <w:r>
        <w:rPr>
          <w:szCs w:val="24"/>
        </w:rPr>
        <w:lastRenderedPageBreak/>
        <w:t xml:space="preserve">pursuing a claim and if this is not resolved without making an application it must be the Official Solicitor (if there is no </w:t>
      </w:r>
      <w:r w:rsidRPr="00B74573">
        <w:rPr>
          <w:szCs w:val="24"/>
        </w:rPr>
        <w:t>alternative) who should act for the child”.</w:t>
      </w:r>
    </w:p>
    <w:p w14:paraId="7025F5F1" w14:textId="1653CE39" w:rsidR="00670511" w:rsidRPr="00B74573" w:rsidRDefault="00670511" w:rsidP="00EB471B">
      <w:pPr>
        <w:pStyle w:val="ParaLevel1"/>
        <w:numPr>
          <w:ilvl w:val="0"/>
          <w:numId w:val="0"/>
        </w:numPr>
        <w:ind w:left="720"/>
        <w:rPr>
          <w:szCs w:val="24"/>
        </w:rPr>
      </w:pPr>
      <w:r w:rsidRPr="00B74573">
        <w:rPr>
          <w:szCs w:val="24"/>
        </w:rPr>
        <w:t xml:space="preserve">Interestingly, although </w:t>
      </w:r>
      <w:r w:rsidRPr="00B74573">
        <w:rPr>
          <w:i/>
          <w:szCs w:val="24"/>
        </w:rPr>
        <w:t>section 15</w:t>
      </w:r>
      <w:r w:rsidRPr="00B74573">
        <w:rPr>
          <w:szCs w:val="24"/>
        </w:rPr>
        <w:t xml:space="preserve"> of the </w:t>
      </w:r>
      <w:r w:rsidRPr="00B74573">
        <w:rPr>
          <w:i/>
          <w:szCs w:val="24"/>
        </w:rPr>
        <w:t>CJCSA 2000</w:t>
      </w:r>
      <w:r w:rsidRPr="00B74573">
        <w:rPr>
          <w:szCs w:val="24"/>
        </w:rPr>
        <w:t xml:space="preserve">, permits </w:t>
      </w:r>
      <w:proofErr w:type="spellStart"/>
      <w:r w:rsidRPr="00B74573">
        <w:rPr>
          <w:szCs w:val="24"/>
        </w:rPr>
        <w:t>Cafcass</w:t>
      </w:r>
      <w:proofErr w:type="spellEnd"/>
      <w:r w:rsidRPr="00B74573">
        <w:rPr>
          <w:szCs w:val="24"/>
        </w:rPr>
        <w:t xml:space="preserve"> to authorise “an officer of the Service” to “conduct litigation” in relation to “any proceedings” in “any court”, this can only be done “in the exercise of his functions” (i.e. as defined in </w:t>
      </w:r>
      <w:r w:rsidRPr="00B74573">
        <w:rPr>
          <w:i/>
          <w:szCs w:val="24"/>
        </w:rPr>
        <w:t>sections 12-14</w:t>
      </w:r>
      <w:r w:rsidRPr="00B74573">
        <w:rPr>
          <w:szCs w:val="24"/>
        </w:rPr>
        <w:t>)</w:t>
      </w:r>
      <w:r w:rsidR="00B74573" w:rsidRPr="00B74573">
        <w:rPr>
          <w:szCs w:val="24"/>
        </w:rPr>
        <w:t xml:space="preserve"> and do not capture this type of claim</w:t>
      </w:r>
      <w:r w:rsidRPr="00B74573">
        <w:rPr>
          <w:szCs w:val="24"/>
        </w:rPr>
        <w:t>.</w:t>
      </w:r>
    </w:p>
    <w:p w14:paraId="62FDAF90" w14:textId="2C7A51B5" w:rsidR="0039501A" w:rsidRPr="00B74573" w:rsidRDefault="00855ED2" w:rsidP="00EB471B">
      <w:pPr>
        <w:pStyle w:val="ParaLevel1"/>
        <w:rPr>
          <w:szCs w:val="24"/>
        </w:rPr>
      </w:pPr>
      <w:r w:rsidRPr="00B74573">
        <w:rPr>
          <w:szCs w:val="24"/>
        </w:rPr>
        <w:t xml:space="preserve">This approach </w:t>
      </w:r>
      <w:r w:rsidR="00C258CD" w:rsidRPr="00B74573">
        <w:rPr>
          <w:szCs w:val="24"/>
        </w:rPr>
        <w:t>is not entirely new</w:t>
      </w:r>
      <w:r w:rsidR="00512885">
        <w:rPr>
          <w:szCs w:val="24"/>
        </w:rPr>
        <w:t xml:space="preserve"> or unexpected</w:t>
      </w:r>
      <w:r w:rsidR="00C258CD" w:rsidRPr="00B74573">
        <w:rPr>
          <w:szCs w:val="24"/>
        </w:rPr>
        <w:t xml:space="preserve">.  It </w:t>
      </w:r>
      <w:r w:rsidRPr="00B74573">
        <w:rPr>
          <w:szCs w:val="24"/>
        </w:rPr>
        <w:t xml:space="preserve">was foreshadowed some time ago in </w:t>
      </w:r>
      <w:r w:rsidRPr="00B74573">
        <w:rPr>
          <w:i/>
          <w:szCs w:val="24"/>
        </w:rPr>
        <w:t>C v Bury Metropolitan BC</w:t>
      </w:r>
      <w:r w:rsidRPr="00B74573">
        <w:rPr>
          <w:szCs w:val="24"/>
        </w:rPr>
        <w:t xml:space="preserve"> [2002] EWHC 1438 (Fam) [2002] 2 FLR 868</w:t>
      </w:r>
      <w:r w:rsidR="0039501A" w:rsidRPr="00B74573">
        <w:rPr>
          <w:szCs w:val="24"/>
        </w:rPr>
        <w:t xml:space="preserve"> </w:t>
      </w:r>
      <w:r w:rsidR="00917C78" w:rsidRPr="00B74573">
        <w:rPr>
          <w:szCs w:val="24"/>
        </w:rPr>
        <w:t xml:space="preserve">at [2] </w:t>
      </w:r>
      <w:r w:rsidRPr="00B74573">
        <w:rPr>
          <w:szCs w:val="24"/>
        </w:rPr>
        <w:t xml:space="preserve">by the </w:t>
      </w:r>
      <w:r w:rsidR="00917C78" w:rsidRPr="00B74573">
        <w:rPr>
          <w:szCs w:val="24"/>
        </w:rPr>
        <w:t xml:space="preserve">then </w:t>
      </w:r>
      <w:r w:rsidRPr="00B74573">
        <w:rPr>
          <w:szCs w:val="24"/>
        </w:rPr>
        <w:t>President of the Family Division</w:t>
      </w:r>
      <w:r w:rsidR="00917C78" w:rsidRPr="00B74573">
        <w:rPr>
          <w:szCs w:val="24"/>
        </w:rPr>
        <w:t xml:space="preserve"> (Dame Elizabeth Butler-</w:t>
      </w:r>
      <w:proofErr w:type="spellStart"/>
      <w:r w:rsidR="00917C78" w:rsidRPr="00B74573">
        <w:rPr>
          <w:szCs w:val="24"/>
        </w:rPr>
        <w:t>Sloss</w:t>
      </w:r>
      <w:proofErr w:type="spellEnd"/>
      <w:r w:rsidR="00917C78" w:rsidRPr="00B74573">
        <w:rPr>
          <w:szCs w:val="24"/>
        </w:rPr>
        <w:t xml:space="preserve"> P)</w:t>
      </w:r>
      <w:r w:rsidRPr="00B74573">
        <w:rPr>
          <w:szCs w:val="24"/>
        </w:rPr>
        <w:t>:</w:t>
      </w:r>
    </w:p>
    <w:p w14:paraId="7EDE902A" w14:textId="789204E2" w:rsidR="000650DD" w:rsidRDefault="00855ED2" w:rsidP="00EB471B">
      <w:pPr>
        <w:pStyle w:val="ParaLevel1"/>
        <w:numPr>
          <w:ilvl w:val="0"/>
          <w:numId w:val="0"/>
        </w:numPr>
        <w:ind w:left="1701" w:right="1505"/>
      </w:pPr>
      <w:r>
        <w:t>“</w:t>
      </w:r>
      <w:r w:rsidR="00553249">
        <w:rPr>
          <w:lang w:val="en"/>
        </w:rPr>
        <w:t xml:space="preserve">There is a jurisdictional difficulty for the guardian in making the human rights application for K, in that such an application </w:t>
      </w:r>
      <w:r w:rsidR="00553249" w:rsidRPr="00553249">
        <w:rPr>
          <w:u w:val="single"/>
          <w:lang w:val="en"/>
        </w:rPr>
        <w:t>does not appear to come within the duties of a guardian</w:t>
      </w:r>
      <w:r w:rsidR="00553249">
        <w:rPr>
          <w:lang w:val="en"/>
        </w:rPr>
        <w:t>.</w:t>
      </w:r>
      <w:r w:rsidR="00553249">
        <w:t>” (</w:t>
      </w:r>
      <w:proofErr w:type="gramStart"/>
      <w:r w:rsidR="00553249">
        <w:t>emphasis</w:t>
      </w:r>
      <w:proofErr w:type="gramEnd"/>
      <w:r w:rsidR="00553249">
        <w:t xml:space="preserve"> added)</w:t>
      </w:r>
    </w:p>
    <w:p w14:paraId="441CFDA7" w14:textId="78BD1B5A" w:rsidR="00553249" w:rsidRDefault="00553249" w:rsidP="00EB471B">
      <w:pPr>
        <w:pStyle w:val="ParaLevel1"/>
      </w:pPr>
      <w:r>
        <w:t xml:space="preserve">Once it </w:t>
      </w:r>
      <w:r w:rsidR="002F10F8">
        <w:t xml:space="preserve">became </w:t>
      </w:r>
      <w:r>
        <w:t xml:space="preserve">apparent that the </w:t>
      </w:r>
      <w:r w:rsidRPr="00E35BA0">
        <w:rPr>
          <w:i/>
        </w:rPr>
        <w:t>HRA 1998</w:t>
      </w:r>
      <w:r>
        <w:t xml:space="preserve"> claim on behalf of the children had been conducted on a</w:t>
      </w:r>
      <w:r w:rsidR="00512885">
        <w:t xml:space="preserve"> procedurally </w:t>
      </w:r>
      <w:r w:rsidR="0025063F">
        <w:t xml:space="preserve">defective </w:t>
      </w:r>
      <w:r>
        <w:t xml:space="preserve">basis (namely </w:t>
      </w:r>
      <w:r w:rsidR="00E50107">
        <w:t xml:space="preserve">with the </w:t>
      </w:r>
      <w:r>
        <w:t xml:space="preserve">Children’s Guardian appointed within the </w:t>
      </w:r>
      <w:r w:rsidRPr="00E35BA0">
        <w:rPr>
          <w:i/>
        </w:rPr>
        <w:t>Part IV</w:t>
      </w:r>
      <w:r>
        <w:t xml:space="preserve"> proceedings</w:t>
      </w:r>
      <w:r w:rsidR="00E50107">
        <w:t xml:space="preserve"> purporting to be a </w:t>
      </w:r>
      <w:r w:rsidR="00E50107" w:rsidRPr="00E50107">
        <w:rPr>
          <w:i/>
        </w:rPr>
        <w:t>Part 21</w:t>
      </w:r>
      <w:r w:rsidR="00E50107">
        <w:t xml:space="preserve"> litigation friend</w:t>
      </w:r>
      <w:r>
        <w:t>), Ms Grief QC and Mr. Edwards</w:t>
      </w:r>
      <w:r w:rsidR="002D01BB">
        <w:t>, who had been advising and representing the guardian throughout,</w:t>
      </w:r>
      <w:r>
        <w:t xml:space="preserve"> withdrew from the case</w:t>
      </w:r>
      <w:r w:rsidR="00E35BA0">
        <w:t>, and M</w:t>
      </w:r>
      <w:r>
        <w:t xml:space="preserve">r. </w:t>
      </w:r>
      <w:proofErr w:type="spellStart"/>
      <w:r>
        <w:t>Tughan</w:t>
      </w:r>
      <w:proofErr w:type="spellEnd"/>
      <w:r>
        <w:t xml:space="preserve"> QC appeared on the next hearing date, </w:t>
      </w:r>
      <w:r w:rsidRPr="00E35BA0">
        <w:rPr>
          <w:i/>
        </w:rPr>
        <w:t>pro bono</w:t>
      </w:r>
      <w:r>
        <w:t>, on behalf of the children to try to salvage the application</w:t>
      </w:r>
      <w:r w:rsidR="00512885">
        <w:t>,</w:t>
      </w:r>
      <w:r>
        <w:t xml:space="preserve"> </w:t>
      </w:r>
      <w:r w:rsidR="006F59A3">
        <w:t xml:space="preserve">and steer it </w:t>
      </w:r>
      <w:r w:rsidR="00512885">
        <w:t xml:space="preserve">in the direction of a satisfactory </w:t>
      </w:r>
      <w:r w:rsidR="006F59A3">
        <w:t xml:space="preserve">conclusion. </w:t>
      </w:r>
      <w:r w:rsidR="00E35BA0">
        <w:t>I</w:t>
      </w:r>
      <w:r w:rsidR="00512885">
        <w:t>n spite of his best efforts, I</w:t>
      </w:r>
      <w:r w:rsidR="00E35BA0">
        <w:t xml:space="preserve"> considered that I could not take any further step in the case without the children being properly represented by a litigation friend</w:t>
      </w:r>
      <w:r w:rsidR="006F59A3">
        <w:t xml:space="preserve"> other than a </w:t>
      </w:r>
      <w:proofErr w:type="spellStart"/>
      <w:r w:rsidR="006F59A3">
        <w:t>Cafcass</w:t>
      </w:r>
      <w:proofErr w:type="spellEnd"/>
      <w:r w:rsidR="006F59A3">
        <w:t xml:space="preserve"> guardian</w:t>
      </w:r>
      <w:r w:rsidR="00E35BA0">
        <w:t xml:space="preserve">, and </w:t>
      </w:r>
      <w:r w:rsidR="006F59A3">
        <w:t>in spite of a helpful suggestion t</w:t>
      </w:r>
      <w:r w:rsidR="00512885">
        <w:t xml:space="preserve">hat I could </w:t>
      </w:r>
      <w:r w:rsidR="006F59A3">
        <w:t>appoint a panel solicitor local to the children</w:t>
      </w:r>
      <w:r w:rsidR="00512885">
        <w:t xml:space="preserve"> (who had indicated his willingness so to act)</w:t>
      </w:r>
      <w:r w:rsidR="006F59A3">
        <w:t xml:space="preserve">, I felt it right to issue </w:t>
      </w:r>
      <w:r w:rsidR="00E35BA0">
        <w:t xml:space="preserve">an invitation to the Official Solicitor (who had been forewarned) to </w:t>
      </w:r>
      <w:r w:rsidR="0025063F">
        <w:t xml:space="preserve">be litigation friend </w:t>
      </w:r>
      <w:r w:rsidR="00E35BA0">
        <w:t>the children</w:t>
      </w:r>
      <w:r w:rsidR="00512885">
        <w:t xml:space="preserve"> in this case</w:t>
      </w:r>
      <w:r w:rsidR="0025063F">
        <w:t xml:space="preserve"> pursuant to </w:t>
      </w:r>
      <w:r w:rsidR="0025063F" w:rsidRPr="0025063F">
        <w:rPr>
          <w:i/>
        </w:rPr>
        <w:t>Part 21.6</w:t>
      </w:r>
      <w:r w:rsidR="00E35BA0">
        <w:t xml:space="preserve">.   </w:t>
      </w:r>
      <w:r w:rsidR="00512885">
        <w:t xml:space="preserve">I did so primarily because it seemed to me that </w:t>
      </w:r>
      <w:r w:rsidR="006C28BD">
        <w:t xml:space="preserve">not only would the </w:t>
      </w:r>
      <w:r w:rsidR="006F59A3">
        <w:t xml:space="preserve">Official Solicitor </w:t>
      </w:r>
      <w:r w:rsidR="006C28BD">
        <w:t xml:space="preserve">be able to </w:t>
      </w:r>
      <w:r w:rsidR="0025063F">
        <w:t>assist these young people</w:t>
      </w:r>
      <w:r w:rsidR="006C28BD">
        <w:t xml:space="preserve"> in this litigation</w:t>
      </w:r>
      <w:r w:rsidR="0025063F">
        <w:t xml:space="preserve">, but </w:t>
      </w:r>
      <w:r w:rsidR="006C28BD">
        <w:t xml:space="preserve">it would also give him the opportunity </w:t>
      </w:r>
      <w:r w:rsidR="0025063F">
        <w:t xml:space="preserve">to address – if so advised – some of </w:t>
      </w:r>
      <w:r w:rsidR="006F59A3">
        <w:t xml:space="preserve">the issues </w:t>
      </w:r>
      <w:r w:rsidR="0025063F">
        <w:t xml:space="preserve">which </w:t>
      </w:r>
      <w:r w:rsidR="006F59A3">
        <w:t xml:space="preserve">have arisen in this case, </w:t>
      </w:r>
      <w:r w:rsidR="0025063F">
        <w:t>in an attempt to ensure that the problems are not repeated.</w:t>
      </w:r>
      <w:r w:rsidR="00512885">
        <w:t xml:space="preserve"> </w:t>
      </w:r>
    </w:p>
    <w:p w14:paraId="460F62D1" w14:textId="413F027B" w:rsidR="00041D49" w:rsidRDefault="006C28BD" w:rsidP="00EB471B">
      <w:pPr>
        <w:pStyle w:val="ParaLevel1"/>
      </w:pPr>
      <w:r>
        <w:t xml:space="preserve">This procedural </w:t>
      </w:r>
      <w:r w:rsidR="00E3390F">
        <w:t xml:space="preserve">difficulty has delayed the conclusion of the proceedings, a frustration aggravated by the fact that </w:t>
      </w:r>
      <w:r w:rsidR="00E35BA0">
        <w:t xml:space="preserve">the </w:t>
      </w:r>
      <w:r w:rsidR="00E3390F">
        <w:t xml:space="preserve">Children’s Guardian and legal team appointed in the </w:t>
      </w:r>
      <w:r w:rsidR="00E3390F" w:rsidRPr="0078476C">
        <w:rPr>
          <w:i/>
        </w:rPr>
        <w:t>CA 1989</w:t>
      </w:r>
      <w:r w:rsidR="00E3390F">
        <w:t xml:space="preserve"> proceedings had </w:t>
      </w:r>
      <w:r w:rsidR="00CA63C1" w:rsidRPr="00CA63C1">
        <w:rPr>
          <w:i/>
        </w:rPr>
        <w:t>bona fide</w:t>
      </w:r>
      <w:r w:rsidR="00CA63C1">
        <w:t xml:space="preserve"> (albeit without proper authority under the rules) purported to agree </w:t>
      </w:r>
      <w:r w:rsidR="00E3390F">
        <w:t xml:space="preserve">with the Local Authority the </w:t>
      </w:r>
      <w:r w:rsidR="00E35BA0">
        <w:t xml:space="preserve">quantum of damages </w:t>
      </w:r>
      <w:r w:rsidR="00E3390F">
        <w:t xml:space="preserve">in the </w:t>
      </w:r>
      <w:r w:rsidR="00E3390F" w:rsidRPr="0078476C">
        <w:rPr>
          <w:i/>
        </w:rPr>
        <w:t>HRA 1998</w:t>
      </w:r>
      <w:r w:rsidR="00E3390F">
        <w:t xml:space="preserve"> proceedings, and this </w:t>
      </w:r>
      <w:r w:rsidR="00E35BA0">
        <w:t xml:space="preserve">awaits my approval.  </w:t>
      </w:r>
      <w:r w:rsidR="00E3390F">
        <w:t>T</w:t>
      </w:r>
      <w:r w:rsidR="00E35BA0">
        <w:t>h</w:t>
      </w:r>
      <w:r w:rsidR="00041D49">
        <w:t>ere</w:t>
      </w:r>
      <w:r w:rsidR="00E35BA0">
        <w:t xml:space="preserve"> </w:t>
      </w:r>
      <w:r w:rsidR="00E3390F">
        <w:t xml:space="preserve">is also </w:t>
      </w:r>
      <w:r w:rsidR="000B20F0">
        <w:t xml:space="preserve">agreement as to the issue of </w:t>
      </w:r>
      <w:r w:rsidR="00E35BA0" w:rsidRPr="0078476C">
        <w:rPr>
          <w:i/>
        </w:rPr>
        <w:t xml:space="preserve">inter </w:t>
      </w:r>
      <w:proofErr w:type="spellStart"/>
      <w:r w:rsidR="00E35BA0" w:rsidRPr="0078476C">
        <w:rPr>
          <w:i/>
        </w:rPr>
        <w:t>partes</w:t>
      </w:r>
      <w:proofErr w:type="spellEnd"/>
      <w:r w:rsidR="00E35BA0">
        <w:t xml:space="preserve"> costs.  </w:t>
      </w:r>
    </w:p>
    <w:p w14:paraId="101F8E56" w14:textId="086EF3C9" w:rsidR="00F751D1" w:rsidRDefault="00B62D76" w:rsidP="00EB471B">
      <w:pPr>
        <w:pStyle w:val="ParaLevel1"/>
      </w:pPr>
      <w:r>
        <w:t xml:space="preserve">I am hopeful that </w:t>
      </w:r>
      <w:r w:rsidR="00325B51">
        <w:t>at that</w:t>
      </w:r>
      <w:r w:rsidR="00017B3F">
        <w:t xml:space="preserve"> next hearing, subject to the arguments then advanced, </w:t>
      </w:r>
      <w:r>
        <w:t xml:space="preserve">I will be able to regularise the </w:t>
      </w:r>
      <w:r w:rsidR="00961803">
        <w:t xml:space="preserve">defects in the </w:t>
      </w:r>
      <w:r w:rsidR="004B66DB">
        <w:t>steps taken in the proceedings thus far</w:t>
      </w:r>
      <w:r w:rsidR="00F751D1">
        <w:t xml:space="preserve">.  </w:t>
      </w:r>
      <w:r w:rsidR="00F751D1" w:rsidRPr="00530DDF">
        <w:rPr>
          <w:i/>
        </w:rPr>
        <w:t>Part 21.3(4)</w:t>
      </w:r>
      <w:r w:rsidR="00961803">
        <w:rPr>
          <w:i/>
        </w:rPr>
        <w:t xml:space="preserve"> CPR 1998</w:t>
      </w:r>
      <w:r w:rsidR="00F751D1">
        <w:t xml:space="preserve"> provides that</w:t>
      </w:r>
      <w:r w:rsidR="00530DDF">
        <w:t>:</w:t>
      </w:r>
      <w:r w:rsidR="00F751D1">
        <w:t xml:space="preserve"> </w:t>
      </w:r>
    </w:p>
    <w:p w14:paraId="155AC4B2" w14:textId="0D3DFA6E" w:rsidR="00F751D1" w:rsidRDefault="00F751D1" w:rsidP="00EB471B">
      <w:pPr>
        <w:pStyle w:val="ParaLevel1"/>
        <w:numPr>
          <w:ilvl w:val="0"/>
          <w:numId w:val="0"/>
        </w:numPr>
        <w:ind w:left="1701" w:right="1505"/>
      </w:pPr>
      <w:r>
        <w:t xml:space="preserve">“"Any step taken before a child or patient has a litigation friend shall be of no effect, </w:t>
      </w:r>
      <w:r w:rsidRPr="00961803">
        <w:rPr>
          <w:u w:val="single"/>
        </w:rPr>
        <w:t>unless the court otherwise orders</w:t>
      </w:r>
      <w:r>
        <w:t>."</w:t>
      </w:r>
      <w:r w:rsidR="00961803">
        <w:t xml:space="preserve"> (</w:t>
      </w:r>
      <w:proofErr w:type="gramStart"/>
      <w:r w:rsidR="00961803">
        <w:t>emphasis</w:t>
      </w:r>
      <w:proofErr w:type="gramEnd"/>
      <w:r w:rsidR="00961803">
        <w:t xml:space="preserve"> added).</w:t>
      </w:r>
    </w:p>
    <w:p w14:paraId="7A18D6B9" w14:textId="361F95A2" w:rsidR="00530DDF" w:rsidRDefault="00961803" w:rsidP="00EB471B">
      <w:pPr>
        <w:pStyle w:val="ParaLevel1"/>
        <w:numPr>
          <w:ilvl w:val="0"/>
          <w:numId w:val="0"/>
        </w:numPr>
        <w:ind w:left="720" w:right="87"/>
      </w:pPr>
      <w:r>
        <w:lastRenderedPageBreak/>
        <w:t xml:space="preserve">Given the large measure of </w:t>
      </w:r>
      <w:r w:rsidR="00DE4316">
        <w:t xml:space="preserve">apparent </w:t>
      </w:r>
      <w:r>
        <w:t>agreement</w:t>
      </w:r>
      <w:r w:rsidR="005161FF">
        <w:t xml:space="preserve"> as to </w:t>
      </w:r>
      <w:r w:rsidR="00325B51">
        <w:t xml:space="preserve">substantive </w:t>
      </w:r>
      <w:r w:rsidR="005161FF">
        <w:t>outcome</w:t>
      </w:r>
      <w:r w:rsidR="00363785">
        <w:t xml:space="preserve"> for the children in this case</w:t>
      </w:r>
      <w:r>
        <w:t xml:space="preserve">, it </w:t>
      </w:r>
      <w:r w:rsidR="00363785">
        <w:t xml:space="preserve">is </w:t>
      </w:r>
      <w:r>
        <w:t xml:space="preserve">surely right that I should endeavour to salvage the </w:t>
      </w:r>
      <w:r w:rsidR="002469F9">
        <w:t xml:space="preserve">proposed settlement </w:t>
      </w:r>
      <w:r w:rsidR="005161FF">
        <w:t xml:space="preserve">in order to save the considerable expense of a </w:t>
      </w:r>
      <w:r w:rsidR="000C3B61">
        <w:t xml:space="preserve">rerun </w:t>
      </w:r>
      <w:r w:rsidR="005161FF">
        <w:t>of the proceedings</w:t>
      </w:r>
      <w:r>
        <w:t xml:space="preserve">, provided </w:t>
      </w:r>
      <w:r w:rsidR="002469F9">
        <w:t xml:space="preserve">only </w:t>
      </w:r>
      <w:r>
        <w:t>that this can be done “justly” (</w:t>
      </w:r>
      <w:r w:rsidRPr="005161FF">
        <w:rPr>
          <w:i/>
        </w:rPr>
        <w:t>Part 1 CPR 1998</w:t>
      </w:r>
      <w:r>
        <w:t>)</w:t>
      </w:r>
      <w:r w:rsidR="00376207">
        <w:t xml:space="preserve">, and </w:t>
      </w:r>
      <w:r w:rsidR="00FB4AF5">
        <w:t xml:space="preserve">that such an outcome </w:t>
      </w:r>
      <w:r w:rsidR="00376207">
        <w:t>is supported by the children’s yet-to-be appointed litigation friend</w:t>
      </w:r>
      <w:r w:rsidR="005161FF">
        <w:t xml:space="preserve">.  </w:t>
      </w:r>
      <w:r w:rsidR="00017B3F">
        <w:t xml:space="preserve">Such an approach was </w:t>
      </w:r>
      <w:r w:rsidR="00325B51">
        <w:t xml:space="preserve">recognised </w:t>
      </w:r>
      <w:r w:rsidR="00017B3F">
        <w:t xml:space="preserve">in </w:t>
      </w:r>
      <w:proofErr w:type="spellStart"/>
      <w:r w:rsidR="004B66DB" w:rsidRPr="004B66DB">
        <w:rPr>
          <w:i/>
        </w:rPr>
        <w:t>Masterman</w:t>
      </w:r>
      <w:proofErr w:type="spellEnd"/>
      <w:r w:rsidR="004B66DB" w:rsidRPr="004B66DB">
        <w:rPr>
          <w:i/>
        </w:rPr>
        <w:t xml:space="preserve">-Lister v </w:t>
      </w:r>
      <w:proofErr w:type="spellStart"/>
      <w:r w:rsidR="004B66DB" w:rsidRPr="004B66DB">
        <w:rPr>
          <w:i/>
        </w:rPr>
        <w:t>Brutton</w:t>
      </w:r>
      <w:proofErr w:type="spellEnd"/>
      <w:r w:rsidR="004B66DB" w:rsidRPr="004B66DB">
        <w:rPr>
          <w:i/>
        </w:rPr>
        <w:t xml:space="preserve"> &amp; Co.</w:t>
      </w:r>
      <w:r w:rsidR="004B66DB">
        <w:t xml:space="preserve"> [2002] EWCA </w:t>
      </w:r>
      <w:proofErr w:type="spellStart"/>
      <w:r w:rsidR="004B66DB">
        <w:t>Civ</w:t>
      </w:r>
      <w:proofErr w:type="spellEnd"/>
      <w:r w:rsidR="004B66DB">
        <w:t xml:space="preserve"> 1889, [2003] 1 WLR 1511, </w:t>
      </w:r>
      <w:r w:rsidR="00017B3F">
        <w:t xml:space="preserve">in which </w:t>
      </w:r>
      <w:r w:rsidR="00F751D1">
        <w:t xml:space="preserve">the Court of Appeal </w:t>
      </w:r>
      <w:r w:rsidR="00530DDF">
        <w:t>(Kennedy LJ</w:t>
      </w:r>
      <w:r w:rsidR="00017B3F">
        <w:t xml:space="preserve"> giving the lead judgment</w:t>
      </w:r>
      <w:r w:rsidR="00530DDF">
        <w:t xml:space="preserve">) </w:t>
      </w:r>
      <w:r w:rsidR="00803741">
        <w:t xml:space="preserve">noted </w:t>
      </w:r>
      <w:r w:rsidR="00F751D1">
        <w:t xml:space="preserve">that </w:t>
      </w:r>
      <w:r w:rsidR="00DE4316">
        <w:rPr>
          <w:i/>
        </w:rPr>
        <w:t>rule</w:t>
      </w:r>
      <w:r w:rsidR="005161FF" w:rsidRPr="005161FF">
        <w:rPr>
          <w:i/>
        </w:rPr>
        <w:t xml:space="preserve"> 21.3(4)</w:t>
      </w:r>
      <w:r w:rsidR="005161FF">
        <w:t xml:space="preserve"> is capable of delivering </w:t>
      </w:r>
      <w:r w:rsidR="00530DDF">
        <w:t>a solution</w:t>
      </w:r>
      <w:r w:rsidR="00B67580">
        <w:t xml:space="preserve"> to </w:t>
      </w:r>
      <w:r w:rsidR="005161FF">
        <w:t>a</w:t>
      </w:r>
      <w:r w:rsidR="008F1818">
        <w:t xml:space="preserve"> </w:t>
      </w:r>
      <w:r w:rsidR="00B67580">
        <w:t xml:space="preserve">problem </w:t>
      </w:r>
      <w:r w:rsidR="005161FF">
        <w:t xml:space="preserve">similar </w:t>
      </w:r>
      <w:r w:rsidR="008F1818">
        <w:t xml:space="preserve">to that </w:t>
      </w:r>
      <w:r w:rsidR="00B67580">
        <w:t>which arises here</w:t>
      </w:r>
      <w:r w:rsidR="00530DDF">
        <w:t>:</w:t>
      </w:r>
    </w:p>
    <w:p w14:paraId="1F97BEAE" w14:textId="2B0A1EE1" w:rsidR="00530DDF" w:rsidRDefault="00530DDF" w:rsidP="00EB471B">
      <w:pPr>
        <w:pStyle w:val="ParaLevel1"/>
        <w:numPr>
          <w:ilvl w:val="0"/>
          <w:numId w:val="0"/>
        </w:numPr>
        <w:ind w:left="1701" w:right="1505"/>
      </w:pPr>
      <w:r>
        <w:t>“</w:t>
      </w:r>
      <w:bookmarkStart w:id="5" w:name="para31"/>
      <w:r w:rsidR="002469F9">
        <w:t xml:space="preserve">… a </w:t>
      </w:r>
      <w:r>
        <w:t xml:space="preserve">court can regularise the position retrospectively, and that was also possible under the Rules of the Supreme Court (see </w:t>
      </w:r>
      <w:r w:rsidRPr="00B67580">
        <w:rPr>
          <w:i/>
        </w:rPr>
        <w:t>Kirby v Leather</w:t>
      </w:r>
      <w:r>
        <w:t xml:space="preserve"> </w:t>
      </w:r>
      <w:bookmarkStart w:id="6" w:name="para22"/>
      <w:r>
        <w:t>[1965] 2 QB 367</w:t>
      </w:r>
      <w:bookmarkEnd w:id="6"/>
      <w:r>
        <w:t>). Provided everyone has acted in good faith and there has been no manifest disadvantage to the party subsequently found to have been a patient at the relevant time I cannot envisage any court refusing to regularise the position. To do otherwise would be unjust and contrary to the overriding objective of the Civil Procedure Rules, but in any given case the ultimate decision must depend on the particular facts</w:t>
      </w:r>
      <w:r w:rsidR="000C3B61">
        <w:t xml:space="preserve"> … finality in litigation is also important, and the Rules as to capacity are not designed to provide a vehicle for re-opening litigation which having apparently been properly conducted (whatever the wisdom of the individual decisions in relation to it) has for long been understood to be at an end</w:t>
      </w:r>
      <w:r w:rsidR="00B67580">
        <w:t>”</w:t>
      </w:r>
      <w:r>
        <w:t>.</w:t>
      </w:r>
      <w:bookmarkEnd w:id="5"/>
    </w:p>
    <w:p w14:paraId="56E64866" w14:textId="74B637B5" w:rsidR="00553249" w:rsidRDefault="00530DDF" w:rsidP="00EB471B">
      <w:pPr>
        <w:pStyle w:val="ParaLevel1"/>
      </w:pPr>
      <w:r>
        <w:t xml:space="preserve">I </w:t>
      </w:r>
      <w:r w:rsidR="004B66DB">
        <w:t>will receive further submissions on this aspect at a hearing which I have listed for five weeks’ hence.</w:t>
      </w:r>
      <w:r w:rsidR="0062084A">
        <w:t xml:space="preserve">  </w:t>
      </w:r>
      <w:r w:rsidR="00705D25">
        <w:t xml:space="preserve">It seems overwhelmingly likely that any award of damages which I make will be swallowed up by the statutory charge, but it is important that the children receive a fair and properly considered determination of their legitimate claim.  In all the circumstances, </w:t>
      </w:r>
      <w:r w:rsidR="0062084A">
        <w:t xml:space="preserve">I have invited </w:t>
      </w:r>
      <w:proofErr w:type="spellStart"/>
      <w:r w:rsidR="0062084A">
        <w:t>Cafcass</w:t>
      </w:r>
      <w:proofErr w:type="spellEnd"/>
      <w:r w:rsidR="0062084A">
        <w:t xml:space="preserve"> and the Legal Aid Agency to make representations at that hearing, if either choose to do so.</w:t>
      </w:r>
    </w:p>
    <w:p w14:paraId="2239EB75" w14:textId="6128043A" w:rsidR="00CA5AFC" w:rsidRDefault="00D42537" w:rsidP="00CA5AFC">
      <w:pPr>
        <w:pStyle w:val="ParaLevel1"/>
      </w:pPr>
      <w:r>
        <w:t xml:space="preserve">The litigation will not apparently or necessarily end there, for </w:t>
      </w:r>
      <w:r w:rsidR="00CA5AFC">
        <w:t xml:space="preserve">Mr. McCarthy QC has intimated a potential application </w:t>
      </w:r>
      <w:r w:rsidR="005940E6">
        <w:t xml:space="preserve">on behalf of the Local Authority </w:t>
      </w:r>
      <w:r w:rsidR="00CA5AFC">
        <w:t xml:space="preserve">for wasted costs against the lawyers (solicitors and counsel) acting for the children and now also the father.  He suggests that the Local Authority has been </w:t>
      </w:r>
      <w:r w:rsidR="00CA5AFC" w:rsidRPr="0078476C">
        <w:rPr>
          <w:lang w:val="en"/>
        </w:rPr>
        <w:t xml:space="preserve">financially prejudiced by the unjustifiable conduct of litigation by the legal representatives of the </w:t>
      </w:r>
      <w:r w:rsidR="00CA5AFC">
        <w:rPr>
          <w:lang w:val="en"/>
        </w:rPr>
        <w:t>Claimants.  S</w:t>
      </w:r>
      <w:r w:rsidR="00CA5AFC" w:rsidRPr="0078476C">
        <w:rPr>
          <w:lang w:val="en"/>
        </w:rPr>
        <w:t xml:space="preserve">uch an </w:t>
      </w:r>
      <w:r w:rsidR="005940E6">
        <w:rPr>
          <w:lang w:val="en"/>
        </w:rPr>
        <w:t>application</w:t>
      </w:r>
      <w:r>
        <w:rPr>
          <w:lang w:val="en"/>
        </w:rPr>
        <w:t>, if issued,</w:t>
      </w:r>
      <w:r w:rsidR="005940E6">
        <w:rPr>
          <w:lang w:val="en"/>
        </w:rPr>
        <w:t xml:space="preserve"> will be determined in accordance with the principles laid out in </w:t>
      </w:r>
      <w:r w:rsidR="00CA5AFC" w:rsidRPr="0078476C">
        <w:rPr>
          <w:i/>
          <w:lang w:val="en"/>
        </w:rPr>
        <w:t>section 51(6)</w:t>
      </w:r>
      <w:r w:rsidR="00CA5AFC" w:rsidRPr="0078476C">
        <w:rPr>
          <w:lang w:val="en"/>
        </w:rPr>
        <w:t xml:space="preserve"> of the </w:t>
      </w:r>
      <w:r w:rsidR="00CA5AFC" w:rsidRPr="0078476C">
        <w:rPr>
          <w:i/>
          <w:lang w:val="en"/>
        </w:rPr>
        <w:t>Senior Courts Act l981</w:t>
      </w:r>
      <w:r w:rsidR="00CA5AFC" w:rsidRPr="0078476C">
        <w:rPr>
          <w:lang w:val="en"/>
        </w:rPr>
        <w:t xml:space="preserve"> </w:t>
      </w:r>
      <w:r w:rsidR="00D65DFF">
        <w:rPr>
          <w:lang w:val="en"/>
        </w:rPr>
        <w:t xml:space="preserve">and </w:t>
      </w:r>
      <w:r w:rsidR="00D65DFF" w:rsidRPr="00D65DFF">
        <w:rPr>
          <w:i/>
          <w:lang w:val="en"/>
        </w:rPr>
        <w:t>rule 46.8 CPR 1998</w:t>
      </w:r>
      <w:r w:rsidR="005940E6">
        <w:rPr>
          <w:lang w:val="en"/>
        </w:rPr>
        <w:t xml:space="preserve">, read with </w:t>
      </w:r>
      <w:proofErr w:type="spellStart"/>
      <w:r w:rsidR="005940E6" w:rsidRPr="0078476C">
        <w:rPr>
          <w:i/>
        </w:rPr>
        <w:t>Ridehalgh</w:t>
      </w:r>
      <w:proofErr w:type="spellEnd"/>
      <w:r w:rsidR="005940E6" w:rsidRPr="0078476C">
        <w:rPr>
          <w:i/>
        </w:rPr>
        <w:t xml:space="preserve"> v </w:t>
      </w:r>
      <w:proofErr w:type="spellStart"/>
      <w:r w:rsidR="005940E6" w:rsidRPr="0078476C">
        <w:rPr>
          <w:i/>
        </w:rPr>
        <w:t>Horsfield</w:t>
      </w:r>
      <w:proofErr w:type="spellEnd"/>
      <w:r w:rsidR="005940E6">
        <w:t xml:space="preserve"> [1994] </w:t>
      </w:r>
      <w:proofErr w:type="spellStart"/>
      <w:r w:rsidR="005940E6">
        <w:t>Ch</w:t>
      </w:r>
      <w:proofErr w:type="spellEnd"/>
      <w:r w:rsidR="005940E6">
        <w:t xml:space="preserve"> 205 [1994] 2 FLR 194. Such an order would be warranted </w:t>
      </w:r>
      <w:r w:rsidR="00CA5AFC" w:rsidRPr="0078476C">
        <w:rPr>
          <w:lang w:val="en"/>
        </w:rPr>
        <w:t>if</w:t>
      </w:r>
      <w:r w:rsidR="00CA5AFC">
        <w:rPr>
          <w:lang w:val="en"/>
        </w:rPr>
        <w:t xml:space="preserve">, of course, I </w:t>
      </w:r>
      <w:r w:rsidR="00CA5AFC" w:rsidRPr="0078476C">
        <w:rPr>
          <w:lang w:val="en"/>
        </w:rPr>
        <w:t>w</w:t>
      </w:r>
      <w:r w:rsidR="00CA5AFC">
        <w:rPr>
          <w:lang w:val="en"/>
        </w:rPr>
        <w:t xml:space="preserve">as to be </w:t>
      </w:r>
      <w:r w:rsidR="00CA5AFC" w:rsidRPr="0078476C">
        <w:rPr>
          <w:lang w:val="en"/>
        </w:rPr>
        <w:t xml:space="preserve">satisfied that the conduct </w:t>
      </w:r>
      <w:r w:rsidR="005940E6">
        <w:rPr>
          <w:lang w:val="en"/>
        </w:rPr>
        <w:t xml:space="preserve">of the legal teams could be legitimately </w:t>
      </w:r>
      <w:proofErr w:type="spellStart"/>
      <w:r w:rsidR="00CA5AFC" w:rsidRPr="0078476C">
        <w:rPr>
          <w:lang w:val="en"/>
        </w:rPr>
        <w:t>characterised</w:t>
      </w:r>
      <w:proofErr w:type="spellEnd"/>
      <w:r w:rsidR="00CA5AFC" w:rsidRPr="0078476C">
        <w:rPr>
          <w:lang w:val="en"/>
        </w:rPr>
        <w:t xml:space="preserve"> as ‘improper, unreasonable or negligent'</w:t>
      </w:r>
      <w:r w:rsidR="005940E6">
        <w:rPr>
          <w:lang w:val="en"/>
        </w:rPr>
        <w:t>, and if so, whether that</w:t>
      </w:r>
      <w:r w:rsidR="00CA5AFC" w:rsidRPr="0078476C">
        <w:rPr>
          <w:lang w:val="en"/>
        </w:rPr>
        <w:t xml:space="preserve"> directly caused </w:t>
      </w:r>
      <w:r w:rsidR="00CA5AFC">
        <w:rPr>
          <w:lang w:val="en"/>
        </w:rPr>
        <w:t xml:space="preserve">any </w:t>
      </w:r>
      <w:r w:rsidR="00CA5AFC" w:rsidRPr="0078476C">
        <w:rPr>
          <w:lang w:val="en"/>
        </w:rPr>
        <w:t xml:space="preserve">wasted costs complained of.  </w:t>
      </w:r>
      <w:r w:rsidR="00CA5AFC">
        <w:t xml:space="preserve"> </w:t>
      </w:r>
    </w:p>
    <w:p w14:paraId="230ABBBA" w14:textId="4734C1F5" w:rsidR="00CA5AFC" w:rsidRDefault="00CA5AFC" w:rsidP="00CA5AFC">
      <w:pPr>
        <w:pStyle w:val="ParaLevel1"/>
      </w:pPr>
      <w:r>
        <w:t xml:space="preserve">I propose to impose a tight-timeframe within which the Local Authority must declare its position on this.  </w:t>
      </w:r>
      <w:r w:rsidRPr="00D65DFF">
        <w:rPr>
          <w:u w:val="single"/>
        </w:rPr>
        <w:t>If</w:t>
      </w:r>
      <w:r>
        <w:t xml:space="preserve"> such claim</w:t>
      </w:r>
      <w:r w:rsidR="00D65DFF">
        <w:t>s</w:t>
      </w:r>
      <w:r>
        <w:t xml:space="preserve"> </w:t>
      </w:r>
      <w:r w:rsidR="00D65DFF">
        <w:t>are to be</w:t>
      </w:r>
      <w:r>
        <w:t xml:space="preserve"> made, </w:t>
      </w:r>
      <w:r w:rsidR="00D65DFF">
        <w:t xml:space="preserve">they need </w:t>
      </w:r>
      <w:r>
        <w:t xml:space="preserve">to be properly pleaded in a timely way; I </w:t>
      </w:r>
      <w:r w:rsidR="00D65DFF">
        <w:t xml:space="preserve">emphasise </w:t>
      </w:r>
      <w:r w:rsidR="00D42537">
        <w:t>the point that:</w:t>
      </w:r>
    </w:p>
    <w:p w14:paraId="6DD08856" w14:textId="77777777" w:rsidR="00CA5AFC" w:rsidRDefault="00CA5AFC" w:rsidP="00CA5AFC">
      <w:pPr>
        <w:pStyle w:val="ParaLevel1"/>
        <w:numPr>
          <w:ilvl w:val="0"/>
          <w:numId w:val="0"/>
        </w:numPr>
        <w:ind w:left="1701" w:right="1505"/>
        <w:rPr>
          <w:lang w:val="en"/>
        </w:rPr>
      </w:pPr>
      <w:r>
        <w:t>“</w:t>
      </w:r>
      <w:r>
        <w:rPr>
          <w:lang w:val="en"/>
        </w:rPr>
        <w:t xml:space="preserve">Fairness requires that any respondent lawyer should be very clearly told what he is said to have done wrong and </w:t>
      </w:r>
      <w:r>
        <w:rPr>
          <w:lang w:val="en"/>
        </w:rPr>
        <w:lastRenderedPageBreak/>
        <w:t xml:space="preserve">what is claimed. But the requirement of simplicity and </w:t>
      </w:r>
      <w:proofErr w:type="spellStart"/>
      <w:r>
        <w:rPr>
          <w:lang w:val="en"/>
        </w:rPr>
        <w:t>summariness</w:t>
      </w:r>
      <w:proofErr w:type="spellEnd"/>
      <w:r>
        <w:rPr>
          <w:lang w:val="en"/>
        </w:rPr>
        <w:t xml:space="preserve"> means that elaborate pleadings should in general be avoided” (</w:t>
      </w:r>
      <w:proofErr w:type="spellStart"/>
      <w:r w:rsidRPr="00961803">
        <w:rPr>
          <w:i/>
          <w:lang w:val="en"/>
        </w:rPr>
        <w:t>Ridehalgh</w:t>
      </w:r>
      <w:proofErr w:type="spellEnd"/>
      <w:r>
        <w:rPr>
          <w:lang w:val="en"/>
        </w:rPr>
        <w:t xml:space="preserve"> [1994] 2 FLR 194 at 211).</w:t>
      </w:r>
    </w:p>
    <w:p w14:paraId="740B4D2A" w14:textId="4ED9E644" w:rsidR="00CA5AFC" w:rsidRDefault="009C679B" w:rsidP="00CA5AFC">
      <w:pPr>
        <w:pStyle w:val="ParaLevel1"/>
        <w:numPr>
          <w:ilvl w:val="0"/>
          <w:numId w:val="0"/>
        </w:numPr>
        <w:ind w:left="720" w:right="87"/>
      </w:pPr>
      <w:r>
        <w:t xml:space="preserve">The unavoidable consequence of such applications being issued will, I fear, be the dedication of </w:t>
      </w:r>
      <w:r w:rsidR="00A92AF7">
        <w:t xml:space="preserve">yet </w:t>
      </w:r>
      <w:r>
        <w:t xml:space="preserve">more court time and cost in examining the litigation conduct of </w:t>
      </w:r>
      <w:r w:rsidRPr="009C679B">
        <w:rPr>
          <w:u w:val="single"/>
        </w:rPr>
        <w:t>all</w:t>
      </w:r>
      <w:r>
        <w:t xml:space="preserve"> of the parties </w:t>
      </w:r>
      <w:r w:rsidR="00D42537">
        <w:t xml:space="preserve">(including, inevitably, the Local Authority itself) </w:t>
      </w:r>
      <w:r>
        <w:t xml:space="preserve">to this case over a prolonged period. </w:t>
      </w:r>
      <w:r w:rsidR="00A92AF7">
        <w:t xml:space="preserve"> That said, and if time permits, </w:t>
      </w:r>
      <w:r w:rsidR="00CA5AFC">
        <w:t xml:space="preserve">I </w:t>
      </w:r>
      <w:r w:rsidR="00D65DFF">
        <w:t xml:space="preserve">hope to be able to </w:t>
      </w:r>
      <w:r w:rsidR="00CA5AFC">
        <w:t>deal with any wasted costs application</w:t>
      </w:r>
      <w:r w:rsidR="00A92AF7">
        <w:t xml:space="preserve"> </w:t>
      </w:r>
      <w:r w:rsidR="00CA5AFC">
        <w:t xml:space="preserve">at the hearing which I have fixed to resolve the </w:t>
      </w:r>
      <w:r w:rsidR="00CA5AFC" w:rsidRPr="00325B51">
        <w:rPr>
          <w:i/>
        </w:rPr>
        <w:t>HRA 1998</w:t>
      </w:r>
      <w:r w:rsidR="00CA5AFC">
        <w:t xml:space="preserve"> claims of the children.</w:t>
      </w:r>
    </w:p>
    <w:p w14:paraId="02BBB092" w14:textId="2F99D375" w:rsidR="00537F15" w:rsidRPr="00A6277D" w:rsidRDefault="00F80DFA" w:rsidP="00EB471B">
      <w:pPr>
        <w:pStyle w:val="ParaLevel2"/>
        <w:numPr>
          <w:ilvl w:val="0"/>
          <w:numId w:val="0"/>
        </w:numPr>
        <w:rPr>
          <w:i/>
        </w:rPr>
      </w:pPr>
      <w:r w:rsidRPr="00A6277D">
        <w:rPr>
          <w:i/>
        </w:rPr>
        <w:t xml:space="preserve">Human Rights Act: the </w:t>
      </w:r>
      <w:r w:rsidR="00A312C2">
        <w:rPr>
          <w:i/>
        </w:rPr>
        <w:t>father’s claim</w:t>
      </w:r>
    </w:p>
    <w:p w14:paraId="05851525" w14:textId="7997A383" w:rsidR="00A312C2" w:rsidRDefault="00A312C2" w:rsidP="00EB471B">
      <w:pPr>
        <w:pStyle w:val="ParaLevel1"/>
      </w:pPr>
      <w:r>
        <w:t>The</w:t>
      </w:r>
      <w:r w:rsidR="00F80DFA" w:rsidRPr="00A6277D">
        <w:t xml:space="preserve"> father seek</w:t>
      </w:r>
      <w:r>
        <w:t>s</w:t>
      </w:r>
      <w:r w:rsidR="00F80DFA" w:rsidRPr="00A6277D">
        <w:t xml:space="preserve"> declarations and damages under the </w:t>
      </w:r>
      <w:r w:rsidR="00F80DFA" w:rsidRPr="00A6277D">
        <w:rPr>
          <w:i/>
        </w:rPr>
        <w:t>HRA</w:t>
      </w:r>
      <w:r w:rsidR="00F80DFA" w:rsidRPr="00F80DFA">
        <w:rPr>
          <w:i/>
        </w:rPr>
        <w:t xml:space="preserve"> 1998</w:t>
      </w:r>
      <w:r w:rsidR="00F80DFA">
        <w:t xml:space="preserve">.  </w:t>
      </w:r>
      <w:r w:rsidR="00B44F03">
        <w:t>The Local Authority</w:t>
      </w:r>
      <w:r w:rsidR="005431DF">
        <w:t xml:space="preserve"> has formally apologised to the father</w:t>
      </w:r>
      <w:r w:rsidR="00F370E3">
        <w:t xml:space="preserve">. It </w:t>
      </w:r>
      <w:r w:rsidR="00B44F03">
        <w:t xml:space="preserve">conceded </w:t>
      </w:r>
      <w:r w:rsidR="00CA5AFC">
        <w:t xml:space="preserve">that he was entitled to </w:t>
      </w:r>
      <w:r w:rsidR="00B44F03">
        <w:t xml:space="preserve">a number of declarations some months ago (September 2016); the father had hoped to achieve wider formal recognition of the ways in which he considers the Local Authority infringed his rights.  However, the parties have come to an agreement that </w:t>
      </w:r>
      <w:r>
        <w:t xml:space="preserve">the following declarations sufficiently record the failures of the Local Authority to </w:t>
      </w:r>
      <w:r w:rsidR="00CA5AFC">
        <w:t xml:space="preserve">observe and/or </w:t>
      </w:r>
      <w:r>
        <w:t xml:space="preserve">respect to the </w:t>
      </w:r>
      <w:r w:rsidR="00F370E3" w:rsidRPr="00F370E3">
        <w:rPr>
          <w:i/>
        </w:rPr>
        <w:t>ECHR</w:t>
      </w:r>
      <w:r w:rsidR="00F370E3">
        <w:t xml:space="preserve"> </w:t>
      </w:r>
      <w:r>
        <w:t>rights of the father:</w:t>
      </w:r>
    </w:p>
    <w:p w14:paraId="4880BB8A" w14:textId="1AD6CF97" w:rsidR="00A312C2" w:rsidRDefault="00A312C2" w:rsidP="00EB471B">
      <w:pPr>
        <w:pStyle w:val="ParaLevel2"/>
        <w:rPr>
          <w:lang w:val="en-US"/>
        </w:rPr>
      </w:pPr>
      <w:proofErr w:type="gramStart"/>
      <w:r w:rsidRPr="00A312C2">
        <w:rPr>
          <w:lang w:val="en-US"/>
        </w:rPr>
        <w:t>there</w:t>
      </w:r>
      <w:proofErr w:type="gramEnd"/>
      <w:r w:rsidRPr="00A312C2">
        <w:rPr>
          <w:lang w:val="en-US"/>
        </w:rPr>
        <w:t xml:space="preserve"> was no communication with the father in respect of the Child Protection Conference process</w:t>
      </w:r>
      <w:r w:rsidR="00CA5AFC">
        <w:rPr>
          <w:lang w:val="en-US"/>
        </w:rPr>
        <w:t>,</w:t>
      </w:r>
      <w:r w:rsidRPr="00A312C2">
        <w:rPr>
          <w:lang w:val="en-US"/>
        </w:rPr>
        <w:t xml:space="preserve"> and he was not enabled to take any part in the Child Protection Conference on 1 December 2014. </w:t>
      </w:r>
      <w:proofErr w:type="spellStart"/>
      <w:r w:rsidRPr="00A312C2">
        <w:rPr>
          <w:lang w:val="en-US"/>
        </w:rPr>
        <w:t>Luton</w:t>
      </w:r>
      <w:proofErr w:type="spellEnd"/>
      <w:r w:rsidRPr="00A312C2">
        <w:rPr>
          <w:lang w:val="en-US"/>
        </w:rPr>
        <w:t xml:space="preserve"> Borough Council’s failure to engage with the father was in breach of his rights; </w:t>
      </w:r>
    </w:p>
    <w:p w14:paraId="6717CC16" w14:textId="066DB0E6" w:rsidR="00A312C2" w:rsidRDefault="00A312C2" w:rsidP="00EB471B">
      <w:pPr>
        <w:pStyle w:val="ParaLevel2"/>
        <w:rPr>
          <w:lang w:val="en-US"/>
        </w:rPr>
      </w:pPr>
      <w:proofErr w:type="gramStart"/>
      <w:r w:rsidRPr="00A312C2">
        <w:rPr>
          <w:lang w:val="en-US"/>
        </w:rPr>
        <w:t>the</w:t>
      </w:r>
      <w:proofErr w:type="gramEnd"/>
      <w:r w:rsidRPr="00A312C2">
        <w:rPr>
          <w:lang w:val="en-US"/>
        </w:rPr>
        <w:t xml:space="preserve"> Child Protection Conference on 1</w:t>
      </w:r>
      <w:r w:rsidRPr="00A312C2">
        <w:rPr>
          <w:vertAlign w:val="superscript"/>
          <w:lang w:val="en-US"/>
        </w:rPr>
        <w:t>st</w:t>
      </w:r>
      <w:r w:rsidRPr="00A312C2">
        <w:rPr>
          <w:lang w:val="en-US"/>
        </w:rPr>
        <w:t xml:space="preserve"> December 2014 recommended the appropriate and necessary step of “formal investigation” and </w:t>
      </w:r>
      <w:proofErr w:type="spellStart"/>
      <w:r w:rsidRPr="00A312C2">
        <w:rPr>
          <w:lang w:val="en-US"/>
        </w:rPr>
        <w:t>Luton</w:t>
      </w:r>
      <w:proofErr w:type="spellEnd"/>
      <w:r w:rsidRPr="00A312C2">
        <w:rPr>
          <w:lang w:val="en-US"/>
        </w:rPr>
        <w:t xml:space="preserve"> Borough Council failed to put in place any detailed and time</w:t>
      </w:r>
      <w:r w:rsidR="008C325F">
        <w:rPr>
          <w:lang w:val="en-US"/>
        </w:rPr>
        <w:t>-</w:t>
      </w:r>
      <w:r w:rsidRPr="00A312C2">
        <w:rPr>
          <w:lang w:val="en-US"/>
        </w:rPr>
        <w:t>limited plan as to how that investigation was to be conducted. The absence of any such plan gave rise to a breach of the rights of the father;</w:t>
      </w:r>
    </w:p>
    <w:p w14:paraId="17D858FB" w14:textId="5A33FA4A" w:rsidR="00A312C2" w:rsidRPr="00A312C2" w:rsidRDefault="00A312C2" w:rsidP="00EB471B">
      <w:pPr>
        <w:pStyle w:val="ParaLevel2"/>
        <w:rPr>
          <w:lang w:val="en-US"/>
        </w:rPr>
      </w:pPr>
      <w:proofErr w:type="gramStart"/>
      <w:r>
        <w:rPr>
          <w:lang w:val="en-US"/>
        </w:rPr>
        <w:t>i</w:t>
      </w:r>
      <w:r w:rsidRPr="00A312C2">
        <w:rPr>
          <w:lang w:val="en-US"/>
        </w:rPr>
        <w:t>t</w:t>
      </w:r>
      <w:proofErr w:type="gramEnd"/>
      <w:r w:rsidRPr="00A312C2">
        <w:rPr>
          <w:lang w:val="en-US"/>
        </w:rPr>
        <w:t xml:space="preserve"> is accepted that the breaches occurring at the time of the Child Protection Conference on 1.12.14 were continuing breaches that continued to be operative until the issue of proceedings on 28.9.15. The issue of proceedings marked an end to the breaches. </w:t>
      </w:r>
    </w:p>
    <w:p w14:paraId="1AC3080B" w14:textId="6A5D0467" w:rsidR="003C5CCE" w:rsidRPr="003630E0" w:rsidRDefault="000773B3" w:rsidP="003C5CCE">
      <w:pPr>
        <w:pStyle w:val="ParaLevel1"/>
      </w:pPr>
      <w:r>
        <w:t>On the issue of damages, i</w:t>
      </w:r>
      <w:r w:rsidR="009C6F32">
        <w:t xml:space="preserve">n September 2016, </w:t>
      </w:r>
      <w:r w:rsidR="003C5CCE" w:rsidRPr="003630E0">
        <w:t>the father</w:t>
      </w:r>
      <w:r w:rsidR="009C6F32">
        <w:t xml:space="preserve">’s </w:t>
      </w:r>
      <w:r>
        <w:t xml:space="preserve">then-instructed </w:t>
      </w:r>
      <w:r w:rsidR="009C6F32">
        <w:t xml:space="preserve">counsel filed a </w:t>
      </w:r>
      <w:r>
        <w:t xml:space="preserve">lengthy </w:t>
      </w:r>
      <w:r w:rsidR="009C6F32">
        <w:t xml:space="preserve">skeleton argument setting out the father’s aspiration </w:t>
      </w:r>
      <w:r w:rsidR="003C5CCE">
        <w:t xml:space="preserve">to recover from </w:t>
      </w:r>
      <w:r w:rsidR="003C5CCE" w:rsidRPr="003630E0">
        <w:t>the Local Authority damages in the region of £100,000-£140,000</w:t>
      </w:r>
      <w:r w:rsidR="003C5CCE">
        <w:t>,</w:t>
      </w:r>
      <w:r w:rsidR="003C5CCE" w:rsidRPr="003630E0">
        <w:t xml:space="preserve"> or more.  Th</w:t>
      </w:r>
      <w:r w:rsidR="003C5CCE">
        <w:t xml:space="preserve">ese figures were </w:t>
      </w:r>
      <w:r w:rsidR="003C5CCE" w:rsidRPr="003630E0">
        <w:t xml:space="preserve">advanced on </w:t>
      </w:r>
      <w:r w:rsidR="003C5CCE">
        <w:t xml:space="preserve">the basis of admitted </w:t>
      </w:r>
      <w:r w:rsidR="00BB3FF0">
        <w:t xml:space="preserve">(and further) </w:t>
      </w:r>
      <w:r w:rsidR="003C5CCE" w:rsidRPr="003630E0">
        <w:t xml:space="preserve">breaches of </w:t>
      </w:r>
      <w:r w:rsidR="003C5CCE" w:rsidRPr="003630E0">
        <w:rPr>
          <w:i/>
        </w:rPr>
        <w:t>Article 6</w:t>
      </w:r>
      <w:r w:rsidR="003C5CCE" w:rsidRPr="003630E0">
        <w:t xml:space="preserve"> and </w:t>
      </w:r>
      <w:r w:rsidR="003C5CCE" w:rsidRPr="003630E0">
        <w:rPr>
          <w:i/>
        </w:rPr>
        <w:t>8</w:t>
      </w:r>
      <w:r w:rsidR="003C5CCE">
        <w:rPr>
          <w:i/>
        </w:rPr>
        <w:t xml:space="preserve"> ECHR</w:t>
      </w:r>
      <w:r w:rsidR="003C5CCE">
        <w:t>,</w:t>
      </w:r>
      <w:r w:rsidR="003C5CCE" w:rsidRPr="003630E0">
        <w:t xml:space="preserve"> and </w:t>
      </w:r>
      <w:r w:rsidR="003C5CCE">
        <w:t xml:space="preserve">of </w:t>
      </w:r>
      <w:r w:rsidR="003C5CCE" w:rsidRPr="003630E0">
        <w:t>an alleged breach</w:t>
      </w:r>
      <w:r w:rsidR="003C5CCE">
        <w:t>,</w:t>
      </w:r>
      <w:r w:rsidR="003C5CCE" w:rsidRPr="003630E0">
        <w:t xml:space="preserve"> </w:t>
      </w:r>
      <w:r w:rsidR="003C5CCE">
        <w:t xml:space="preserve">subsequently added but </w:t>
      </w:r>
      <w:r w:rsidR="003C5CCE" w:rsidRPr="003630E0">
        <w:t>no</w:t>
      </w:r>
      <w:r w:rsidR="00F54F93">
        <w:t xml:space="preserve"> longer</w:t>
      </w:r>
      <w:r w:rsidR="003C5CCE" w:rsidRPr="003630E0">
        <w:t xml:space="preserve"> pursued</w:t>
      </w:r>
      <w:r w:rsidR="003C5CCE">
        <w:t>,</w:t>
      </w:r>
      <w:r w:rsidR="003C5CCE" w:rsidRPr="003630E0">
        <w:t xml:space="preserve"> of the father’s rights under </w:t>
      </w:r>
      <w:r w:rsidR="003C5CCE" w:rsidRPr="003630E0">
        <w:rPr>
          <w:i/>
        </w:rPr>
        <w:t xml:space="preserve">Article 3 </w:t>
      </w:r>
      <w:r w:rsidR="003C5CCE">
        <w:t xml:space="preserve">ibid. </w:t>
      </w:r>
      <w:r w:rsidR="003C5CCE" w:rsidRPr="003630E0">
        <w:t>(</w:t>
      </w:r>
      <w:r w:rsidR="003C5CCE">
        <w:t xml:space="preserve">i.e. </w:t>
      </w:r>
      <w:r w:rsidR="003C5CCE" w:rsidRPr="003630E0">
        <w:t xml:space="preserve">prohibition of torture, inhuman or degrading treatment).  </w:t>
      </w:r>
      <w:r w:rsidR="00126A48">
        <w:t xml:space="preserve">It is unfortunate that at the </w:t>
      </w:r>
      <w:r w:rsidR="003C5CCE">
        <w:t xml:space="preserve">stage at which </w:t>
      </w:r>
      <w:r w:rsidR="003C5CCE" w:rsidRPr="003630E0">
        <w:t>th</w:t>
      </w:r>
      <w:r w:rsidR="00401C31">
        <w:t>e</w:t>
      </w:r>
      <w:r w:rsidR="003C5CCE">
        <w:t xml:space="preserve"> father’s ambitious objective</w:t>
      </w:r>
      <w:r w:rsidR="00126A48">
        <w:t xml:space="preserve"> </w:t>
      </w:r>
      <w:r w:rsidR="003C5CCE">
        <w:t>was</w:t>
      </w:r>
      <w:r w:rsidR="003C5CCE" w:rsidRPr="001968F4">
        <w:t xml:space="preserve"> </w:t>
      </w:r>
      <w:r w:rsidR="003C5CCE">
        <w:t xml:space="preserve">made known to the </w:t>
      </w:r>
      <w:r w:rsidR="00126A48">
        <w:t xml:space="preserve">parties and the </w:t>
      </w:r>
      <w:r w:rsidR="003C5CCE">
        <w:t xml:space="preserve">court, </w:t>
      </w:r>
      <w:r w:rsidR="00126A48">
        <w:t xml:space="preserve">there was no meaningful opportunity for some </w:t>
      </w:r>
      <w:r w:rsidR="009C6F32">
        <w:t xml:space="preserve">careful </w:t>
      </w:r>
      <w:r w:rsidR="003C5CCE">
        <w:t xml:space="preserve">judicial investigation of the </w:t>
      </w:r>
      <w:r w:rsidR="009C6F32">
        <w:t xml:space="preserve">merits </w:t>
      </w:r>
      <w:r w:rsidR="003C5CCE">
        <w:t xml:space="preserve">of </w:t>
      </w:r>
      <w:r w:rsidR="009C6F32">
        <w:t>such a</w:t>
      </w:r>
      <w:r w:rsidR="00385EAE">
        <w:t xml:space="preserve">n exceptional </w:t>
      </w:r>
      <w:r w:rsidR="003C5CCE">
        <w:t>claim</w:t>
      </w:r>
      <w:r w:rsidR="00385EAE">
        <w:t>,</w:t>
      </w:r>
      <w:r w:rsidR="00126A48">
        <w:t xml:space="preserve"> and</w:t>
      </w:r>
      <w:r w:rsidR="00385EAE">
        <w:t>/or</w:t>
      </w:r>
      <w:r w:rsidR="00126A48">
        <w:t xml:space="preserve"> for </w:t>
      </w:r>
      <w:r w:rsidR="003C5CCE">
        <w:t xml:space="preserve">some steps </w:t>
      </w:r>
      <w:r w:rsidR="00126A48">
        <w:t xml:space="preserve">to be </w:t>
      </w:r>
      <w:r w:rsidR="003C5CCE">
        <w:t xml:space="preserve">taken to </w:t>
      </w:r>
      <w:r w:rsidR="00126A48">
        <w:t xml:space="preserve">moderate </w:t>
      </w:r>
      <w:r w:rsidR="003C5CCE" w:rsidRPr="003630E0">
        <w:t xml:space="preserve">or </w:t>
      </w:r>
      <w:r w:rsidR="00385EAE">
        <w:t xml:space="preserve">even </w:t>
      </w:r>
      <w:r w:rsidR="003C5CCE">
        <w:t xml:space="preserve">judicially </w:t>
      </w:r>
      <w:r w:rsidR="003C5CCE" w:rsidRPr="003630E0">
        <w:t>mediate</w:t>
      </w:r>
      <w:r w:rsidR="003C5CCE">
        <w:t xml:space="preserve"> the claim, in fulfilment of the ‘overriding objective’ (note in particular </w:t>
      </w:r>
      <w:r w:rsidR="003C5CCE">
        <w:rPr>
          <w:i/>
        </w:rPr>
        <w:t>rule</w:t>
      </w:r>
      <w:r w:rsidR="003C5CCE" w:rsidRPr="00422FA0">
        <w:rPr>
          <w:i/>
        </w:rPr>
        <w:t xml:space="preserve"> 1.1(2)</w:t>
      </w:r>
      <w:r w:rsidR="003C5CCE">
        <w:t xml:space="preserve"> and </w:t>
      </w:r>
      <w:r w:rsidR="003C5CCE" w:rsidRPr="00422FA0">
        <w:rPr>
          <w:i/>
        </w:rPr>
        <w:t>1.4(2) CP</w:t>
      </w:r>
      <w:r w:rsidR="003C5CCE">
        <w:rPr>
          <w:i/>
        </w:rPr>
        <w:t>R</w:t>
      </w:r>
      <w:r w:rsidR="003C5CCE" w:rsidRPr="00422FA0">
        <w:rPr>
          <w:i/>
        </w:rPr>
        <w:t xml:space="preserve"> 1998</w:t>
      </w:r>
      <w:r w:rsidR="003C5CCE">
        <w:t>)</w:t>
      </w:r>
      <w:r w:rsidR="003C5CCE" w:rsidRPr="003630E0">
        <w:t xml:space="preserve">.  </w:t>
      </w:r>
      <w:r w:rsidR="003C5CCE">
        <w:t xml:space="preserve">Some of that award </w:t>
      </w:r>
      <w:r w:rsidR="003C5CCE" w:rsidRPr="003630E0">
        <w:t>was intended to reflect an element of recovery of costs disguised as damages</w:t>
      </w:r>
      <w:r w:rsidR="003C5CCE">
        <w:t>;</w:t>
      </w:r>
      <w:r w:rsidR="003C5CCE" w:rsidRPr="003630E0">
        <w:t xml:space="preserve"> as I indicated in </w:t>
      </w:r>
      <w:r w:rsidR="003C5CCE" w:rsidRPr="003630E0">
        <w:rPr>
          <w:i/>
        </w:rPr>
        <w:t>CZ v Kirklees</w:t>
      </w:r>
      <w:r w:rsidR="003C5CCE" w:rsidRPr="003630E0">
        <w:t>,</w:t>
      </w:r>
      <w:r w:rsidR="003C5CCE" w:rsidRPr="003630E0">
        <w:rPr>
          <w:i/>
        </w:rPr>
        <w:t xml:space="preserve"> </w:t>
      </w:r>
      <w:r w:rsidR="003C5CCE" w:rsidRPr="003630E0">
        <w:t xml:space="preserve">that </w:t>
      </w:r>
      <w:r w:rsidR="003C5CCE">
        <w:t xml:space="preserve">is an </w:t>
      </w:r>
      <w:r w:rsidR="003C5CCE" w:rsidRPr="003630E0">
        <w:t xml:space="preserve">unprincipled </w:t>
      </w:r>
      <w:r w:rsidR="003C5CCE">
        <w:t xml:space="preserve">approach </w:t>
      </w:r>
      <w:r w:rsidR="003C5CCE" w:rsidRPr="003630E0">
        <w:t xml:space="preserve">(see [2017] EWFC 11 at [58(iv)]).  </w:t>
      </w:r>
      <w:r w:rsidR="00333A31">
        <w:t xml:space="preserve">However, </w:t>
      </w:r>
      <w:r>
        <w:t xml:space="preserve">positive </w:t>
      </w:r>
      <w:r w:rsidR="00333A31">
        <w:t xml:space="preserve">steps were </w:t>
      </w:r>
      <w:r>
        <w:t xml:space="preserve">then </w:t>
      </w:r>
      <w:r w:rsidR="00333A31">
        <w:t>taken to</w:t>
      </w:r>
      <w:r w:rsidR="006822A9">
        <w:t>wards</w:t>
      </w:r>
      <w:r w:rsidR="00333A31">
        <w:t xml:space="preserve"> </w:t>
      </w:r>
      <w:r w:rsidR="00333A31">
        <w:lastRenderedPageBreak/>
        <w:t>settle</w:t>
      </w:r>
      <w:r w:rsidR="006822A9">
        <w:t>ment of</w:t>
      </w:r>
      <w:r w:rsidR="00333A31">
        <w:t xml:space="preserve"> the claim in November 201</w:t>
      </w:r>
      <w:r w:rsidR="00254B6C">
        <w:t>6</w:t>
      </w:r>
      <w:r w:rsidR="00333A31">
        <w:t xml:space="preserve"> following the </w:t>
      </w:r>
      <w:r w:rsidR="00333A31" w:rsidRPr="00333A31">
        <w:rPr>
          <w:i/>
        </w:rPr>
        <w:t>Part 36</w:t>
      </w:r>
      <w:r w:rsidR="00333A31">
        <w:t xml:space="preserve"> offer,</w:t>
      </w:r>
      <w:r w:rsidR="00F54F93">
        <w:t xml:space="preserve"> </w:t>
      </w:r>
      <w:r w:rsidR="006822A9">
        <w:t xml:space="preserve">and </w:t>
      </w:r>
      <w:r w:rsidR="00F54F93">
        <w:t xml:space="preserve">the </w:t>
      </w:r>
      <w:r w:rsidR="00F54F93" w:rsidRPr="00F54F93">
        <w:rPr>
          <w:i/>
        </w:rPr>
        <w:t>Article 3</w:t>
      </w:r>
      <w:r w:rsidR="00F54F93">
        <w:t xml:space="preserve"> point was</w:t>
      </w:r>
      <w:r w:rsidR="00F54F93" w:rsidRPr="00F54F93">
        <w:t xml:space="preserve"> </w:t>
      </w:r>
      <w:r w:rsidR="00F54F93">
        <w:t>withdrawn</w:t>
      </w:r>
      <w:r w:rsidR="006822A9">
        <w:t xml:space="preserve">; </w:t>
      </w:r>
      <w:r w:rsidR="00333A31">
        <w:t xml:space="preserve">in </w:t>
      </w:r>
      <w:r w:rsidR="003C5CCE" w:rsidRPr="003630E0">
        <w:t xml:space="preserve">the event, the father’s claim has </w:t>
      </w:r>
      <w:r w:rsidR="006822A9">
        <w:t xml:space="preserve">now </w:t>
      </w:r>
      <w:r w:rsidR="003C5CCE" w:rsidRPr="003630E0">
        <w:t xml:space="preserve">been appropriately settled in my judgment </w:t>
      </w:r>
      <w:r w:rsidR="003C5CCE">
        <w:t>at</w:t>
      </w:r>
      <w:r w:rsidR="003C5CCE" w:rsidRPr="003630E0">
        <w:t xml:space="preserve"> a realistic and proportionate </w:t>
      </w:r>
      <w:r w:rsidR="003C5CCE">
        <w:t>level</w:t>
      </w:r>
      <w:r w:rsidR="003C5CCE" w:rsidRPr="003630E0">
        <w:t>, for a fraction of th</w:t>
      </w:r>
      <w:r w:rsidR="009C679B">
        <w:t>e earlier pleaded sums</w:t>
      </w:r>
      <w:r w:rsidR="00970B29">
        <w:t>.  A</w:t>
      </w:r>
      <w:r w:rsidR="003C5CCE" w:rsidRPr="003630E0">
        <w:t>n unwarranted cost to the public purse of an expensive trial has</w:t>
      </w:r>
      <w:r w:rsidR="003C5CCE">
        <w:t>,</w:t>
      </w:r>
      <w:r w:rsidR="003C5CCE" w:rsidRPr="003630E0">
        <w:t xml:space="preserve"> in the main</w:t>
      </w:r>
      <w:r w:rsidR="003C5CCE">
        <w:t>,</w:t>
      </w:r>
      <w:r w:rsidR="003C5CCE" w:rsidRPr="003630E0">
        <w:t xml:space="preserve"> mercifully but narrowly been avoided.</w:t>
      </w:r>
    </w:p>
    <w:p w14:paraId="44642D1F" w14:textId="6CC2F860" w:rsidR="00F80DFA" w:rsidRDefault="00F80DFA" w:rsidP="003C5CCE">
      <w:pPr>
        <w:pStyle w:val="ParaLevel1"/>
      </w:pPr>
      <w:r>
        <w:t>The parties have agreed</w:t>
      </w:r>
      <w:r w:rsidR="0093091F">
        <w:t xml:space="preserve"> </w:t>
      </w:r>
      <w:r>
        <w:t xml:space="preserve">that </w:t>
      </w:r>
      <w:r w:rsidR="0093091F">
        <w:t xml:space="preserve">an award </w:t>
      </w:r>
      <w:r>
        <w:t xml:space="preserve">of damages </w:t>
      </w:r>
      <w:r w:rsidR="00EB4F51">
        <w:t xml:space="preserve">to the father </w:t>
      </w:r>
      <w:r w:rsidR="0093091F">
        <w:t xml:space="preserve">in the sum of £15,000 </w:t>
      </w:r>
      <w:r>
        <w:t>would represent “just satisfaction” under</w:t>
      </w:r>
      <w:r w:rsidRPr="0049066F">
        <w:rPr>
          <w:i/>
        </w:rPr>
        <w:t xml:space="preserve"> section 8(3) HRA 199</w:t>
      </w:r>
      <w:r w:rsidRPr="000D4824">
        <w:rPr>
          <w:i/>
        </w:rPr>
        <w:t>8</w:t>
      </w:r>
      <w:r w:rsidR="00EB4F51">
        <w:t xml:space="preserve"> </w:t>
      </w:r>
      <w:r>
        <w:t xml:space="preserve">for </w:t>
      </w:r>
      <w:r w:rsidR="000D4824">
        <w:t xml:space="preserve">the infringements of </w:t>
      </w:r>
      <w:r w:rsidR="00EB4F51">
        <w:t xml:space="preserve">his </w:t>
      </w:r>
      <w:r w:rsidR="00EB4F51" w:rsidRPr="00EB4F51">
        <w:rPr>
          <w:i/>
        </w:rPr>
        <w:t>ECHR</w:t>
      </w:r>
      <w:r w:rsidR="00EB4F51">
        <w:t xml:space="preserve"> </w:t>
      </w:r>
      <w:r w:rsidR="000D4824">
        <w:t>rights.</w:t>
      </w:r>
      <w:r w:rsidR="000773B3">
        <w:t xml:space="preserve">  I agree with them.</w:t>
      </w:r>
      <w:r w:rsidR="000D4824">
        <w:t xml:space="preserve">  </w:t>
      </w:r>
      <w:r>
        <w:t xml:space="preserve">It should be noted that </w:t>
      </w:r>
      <w:r w:rsidR="00EB4F51">
        <w:t>this is an agreed</w:t>
      </w:r>
      <w:r w:rsidR="0049066F">
        <w:t xml:space="preserve"> compromise figure</w:t>
      </w:r>
      <w:r>
        <w:t xml:space="preserve">, </w:t>
      </w:r>
      <w:r w:rsidR="00EB4F51">
        <w:t xml:space="preserve">and as such </w:t>
      </w:r>
      <w:r w:rsidR="0049066F">
        <w:t xml:space="preserve">it </w:t>
      </w:r>
      <w:r w:rsidR="000D4824">
        <w:t>may be said to have limited precedential value.</w:t>
      </w:r>
      <w:r w:rsidR="004F1327">
        <w:t xml:space="preserve">  </w:t>
      </w:r>
    </w:p>
    <w:p w14:paraId="5185D477" w14:textId="0273DB97" w:rsidR="0049066F" w:rsidRDefault="00EB4F51" w:rsidP="00EB471B">
      <w:pPr>
        <w:pStyle w:val="ParaLevel1"/>
      </w:pPr>
      <w:r>
        <w:t xml:space="preserve">In its </w:t>
      </w:r>
      <w:r w:rsidRPr="00EB4F51">
        <w:rPr>
          <w:i/>
        </w:rPr>
        <w:t>Part 36</w:t>
      </w:r>
      <w:r>
        <w:t xml:space="preserve"> letter, the </w:t>
      </w:r>
      <w:r w:rsidR="0049066F">
        <w:t xml:space="preserve">Local Authority offered to </w:t>
      </w:r>
      <w:r w:rsidR="009E1D72">
        <w:t xml:space="preserve">pay the father’s costs of the </w:t>
      </w:r>
      <w:r w:rsidR="009E1D72" w:rsidRPr="009E1D72">
        <w:rPr>
          <w:i/>
        </w:rPr>
        <w:t>HRA 1998</w:t>
      </w:r>
      <w:r w:rsidR="009E1D72">
        <w:t xml:space="preserve"> claim</w:t>
      </w:r>
      <w:r>
        <w:t>; the father did not accept that offer within the allotted time</w:t>
      </w:r>
      <w:r w:rsidR="009E1D72">
        <w:t xml:space="preserve">.  Both parties submitted detailed argument on </w:t>
      </w:r>
      <w:r w:rsidR="009421CC">
        <w:t xml:space="preserve">costs at this hearing, ranging across </w:t>
      </w:r>
      <w:r w:rsidR="008C325F">
        <w:t xml:space="preserve">the full gamut of </w:t>
      </w:r>
      <w:r w:rsidR="009421CC">
        <w:t>issues</w:t>
      </w:r>
      <w:r w:rsidR="008C325F">
        <w:t xml:space="preserve"> –</w:t>
      </w:r>
      <w:r w:rsidR="009421CC">
        <w:t xml:space="preserve"> of</w:t>
      </w:r>
      <w:r w:rsidR="008C325F">
        <w:t xml:space="preserve"> </w:t>
      </w:r>
      <w:r w:rsidR="009E1D72">
        <w:t>principle, quantum</w:t>
      </w:r>
      <w:r w:rsidR="00650ABC">
        <w:t xml:space="preserve">, the </w:t>
      </w:r>
      <w:r w:rsidR="00650ABC" w:rsidRPr="00650ABC">
        <w:rPr>
          <w:i/>
        </w:rPr>
        <w:t>Part 36</w:t>
      </w:r>
      <w:r w:rsidR="00650ABC">
        <w:t xml:space="preserve"> process</w:t>
      </w:r>
      <w:r w:rsidR="00E87592">
        <w:t xml:space="preserve"> (including the fact that the </w:t>
      </w:r>
      <w:r w:rsidR="00E87592" w:rsidRPr="00E87592">
        <w:rPr>
          <w:i/>
        </w:rPr>
        <w:t>Part 36</w:t>
      </w:r>
      <w:r w:rsidR="00E87592">
        <w:t xml:space="preserve"> offer was in respect of only part of the claim)</w:t>
      </w:r>
      <w:r w:rsidR="00650ABC">
        <w:t>,</w:t>
      </w:r>
      <w:r w:rsidR="009E1D72">
        <w:t xml:space="preserve"> </w:t>
      </w:r>
      <w:r w:rsidR="00746F35">
        <w:t>litigation conduct</w:t>
      </w:r>
      <w:r w:rsidR="00E87592">
        <w:t xml:space="preserve"> generally (both sides)</w:t>
      </w:r>
      <w:r w:rsidR="00746F35">
        <w:t xml:space="preserve">, </w:t>
      </w:r>
      <w:r w:rsidR="00F9335F">
        <w:t xml:space="preserve">the complication of apportionment where the lawyers have been paid on an ‘events’ basis (i.e. by which fixed fees are paid on the happening of certain ‘events’ in the litigation), non-compliance with orders for the delivery of costs schedules, </w:t>
      </w:r>
      <w:r w:rsidR="009E1D72">
        <w:t xml:space="preserve">and </w:t>
      </w:r>
      <w:r w:rsidR="00650ABC">
        <w:t xml:space="preserve">the </w:t>
      </w:r>
      <w:r w:rsidR="009E1D72">
        <w:t xml:space="preserve">period for which costs would </w:t>
      </w:r>
      <w:r w:rsidR="008F7F6C">
        <w:t xml:space="preserve">potentially </w:t>
      </w:r>
      <w:r w:rsidR="009E1D72">
        <w:t xml:space="preserve">be </w:t>
      </w:r>
      <w:r w:rsidR="00650ABC">
        <w:t>recoverable</w:t>
      </w:r>
      <w:r w:rsidR="009E1D72">
        <w:t xml:space="preserve">. </w:t>
      </w:r>
      <w:r w:rsidR="00650ABC">
        <w:t xml:space="preserve">Overshadowing those arguments was the identifiable </w:t>
      </w:r>
      <w:r w:rsidR="00AC1B88">
        <w:t xml:space="preserve">likelihood </w:t>
      </w:r>
      <w:r w:rsidR="00650ABC">
        <w:t xml:space="preserve">that </w:t>
      </w:r>
      <w:r w:rsidR="009E1D72">
        <w:t xml:space="preserve">the Legal Aid Agency will </w:t>
      </w:r>
      <w:r w:rsidR="00F9335F">
        <w:t xml:space="preserve">successfully </w:t>
      </w:r>
      <w:r w:rsidR="009E1D72">
        <w:t xml:space="preserve">recoup </w:t>
      </w:r>
      <w:r w:rsidR="00AC1B88">
        <w:t xml:space="preserve">from </w:t>
      </w:r>
      <w:r w:rsidR="009E1D72">
        <w:t xml:space="preserve">the award of damages the sums </w:t>
      </w:r>
      <w:r w:rsidR="00650ABC">
        <w:t xml:space="preserve">which it has </w:t>
      </w:r>
      <w:r w:rsidR="009E1D72">
        <w:t xml:space="preserve">expended on </w:t>
      </w:r>
      <w:r w:rsidR="00650ABC">
        <w:t xml:space="preserve">the father’s </w:t>
      </w:r>
      <w:r w:rsidR="009E1D72">
        <w:t xml:space="preserve">public funding </w:t>
      </w:r>
      <w:r w:rsidR="00650ABC">
        <w:t xml:space="preserve">certificate </w:t>
      </w:r>
      <w:r w:rsidR="009E1D72">
        <w:t xml:space="preserve">for the </w:t>
      </w:r>
      <w:r w:rsidR="009E1D72" w:rsidRPr="009E1D72">
        <w:rPr>
          <w:i/>
        </w:rPr>
        <w:t>CA 1989</w:t>
      </w:r>
      <w:r w:rsidR="009E1D72">
        <w:t xml:space="preserve"> </w:t>
      </w:r>
      <w:r w:rsidR="00AC1B88">
        <w:t xml:space="preserve">and/or the </w:t>
      </w:r>
      <w:r w:rsidR="00AC1B88" w:rsidRPr="00AC1B88">
        <w:rPr>
          <w:i/>
        </w:rPr>
        <w:t>HRA 1989</w:t>
      </w:r>
      <w:r w:rsidR="00AC1B88">
        <w:t xml:space="preserve"> proceedings</w:t>
      </w:r>
      <w:r w:rsidR="009E1D72">
        <w:t xml:space="preserve">.    </w:t>
      </w:r>
      <w:r w:rsidR="00746F35">
        <w:t xml:space="preserve">On the second day of the hearing, the </w:t>
      </w:r>
      <w:r w:rsidR="00650ABC">
        <w:t xml:space="preserve">Local Authority </w:t>
      </w:r>
      <w:r w:rsidR="00AC1B88">
        <w:t xml:space="preserve">proposed </w:t>
      </w:r>
      <w:r w:rsidR="00650ABC">
        <w:t xml:space="preserve">a pragmatic solution, which was that the Local Authority would contribute </w:t>
      </w:r>
      <w:r w:rsidR="00AC1B88">
        <w:t xml:space="preserve">the sum of £1,000 towards the father’s </w:t>
      </w:r>
      <w:r w:rsidR="009421CC" w:rsidRPr="009421CC">
        <w:rPr>
          <w:i/>
        </w:rPr>
        <w:t>HRA 1998</w:t>
      </w:r>
      <w:r w:rsidR="009421CC">
        <w:t xml:space="preserve"> </w:t>
      </w:r>
      <w:r w:rsidR="00AC1B88">
        <w:t>costs</w:t>
      </w:r>
      <w:r w:rsidR="002F4C72">
        <w:t>; Mr. Bagchi QC did not argue vigorously against that proposal</w:t>
      </w:r>
      <w:r w:rsidR="00AC1B88">
        <w:t>.  Given th</w:t>
      </w:r>
      <w:r w:rsidR="002F4C72">
        <w:t xml:space="preserve">at the father is unlikely to benefit either from the damages or the costs, I am persuaded that a </w:t>
      </w:r>
      <w:r w:rsidR="00AC1B88">
        <w:t xml:space="preserve">very considerable </w:t>
      </w:r>
      <w:r w:rsidR="002F4C72">
        <w:t xml:space="preserve">amount of costs would be saved by not spending more court time with the parties debating the issue and </w:t>
      </w:r>
      <w:r w:rsidR="00746F35">
        <w:t xml:space="preserve">I am content to </w:t>
      </w:r>
      <w:r w:rsidR="002F4C72">
        <w:t>adopt the pragmatic course proposed.  I formally assess the costs award in the sum of £1,000.</w:t>
      </w:r>
    </w:p>
    <w:p w14:paraId="1B35D611" w14:textId="249D7F4B" w:rsidR="00E95B41" w:rsidRPr="0083136F" w:rsidRDefault="00E95B41" w:rsidP="00EB471B">
      <w:pPr>
        <w:pStyle w:val="ParaLevel1"/>
        <w:numPr>
          <w:ilvl w:val="0"/>
          <w:numId w:val="0"/>
        </w:numPr>
        <w:rPr>
          <w:i/>
        </w:rPr>
      </w:pPr>
      <w:r w:rsidRPr="0083136F">
        <w:rPr>
          <w:i/>
        </w:rPr>
        <w:t>Conclusion</w:t>
      </w:r>
    </w:p>
    <w:p w14:paraId="0313175B" w14:textId="488FFDF8" w:rsidR="007A3E0F" w:rsidRDefault="00E95B41" w:rsidP="00EB471B">
      <w:pPr>
        <w:pStyle w:val="ParaLevel1"/>
      </w:pPr>
      <w:r>
        <w:t xml:space="preserve">I made the point in </w:t>
      </w:r>
      <w:r w:rsidRPr="00AB0F0A">
        <w:rPr>
          <w:i/>
        </w:rPr>
        <w:t>CZ v Kirklees</w:t>
      </w:r>
      <w:r w:rsidR="00AB0F0A">
        <w:t xml:space="preserve"> </w:t>
      </w:r>
      <w:r w:rsidR="007A3E0F">
        <w:t xml:space="preserve">at </w:t>
      </w:r>
      <w:r w:rsidR="00AB0F0A">
        <w:t>[9]</w:t>
      </w:r>
      <w:r>
        <w:t xml:space="preserve"> that </w:t>
      </w:r>
      <w:bookmarkStart w:id="7" w:name="para9"/>
      <w:r w:rsidR="007A3E0F">
        <w:t>in cases of this kind:</w:t>
      </w:r>
    </w:p>
    <w:p w14:paraId="38F3DF47" w14:textId="5735E9BB" w:rsidR="007A3E0F" w:rsidRDefault="007A3E0F" w:rsidP="00EB471B">
      <w:pPr>
        <w:pStyle w:val="ParaLevel1"/>
        <w:numPr>
          <w:ilvl w:val="0"/>
          <w:numId w:val="0"/>
        </w:numPr>
        <w:ind w:left="1701" w:right="1505"/>
      </w:pPr>
      <w:r>
        <w:t>“</w:t>
      </w:r>
      <w:r w:rsidR="0083136F">
        <w:t xml:space="preserve">… </w:t>
      </w:r>
      <w:proofErr w:type="gramStart"/>
      <w:r w:rsidR="00E95B41">
        <w:t>a</w:t>
      </w:r>
      <w:proofErr w:type="gramEnd"/>
      <w:r w:rsidR="00E95B41">
        <w:t xml:space="preserve"> careful and realistic eye has to be kept on proportionality of the process by which relief is sought, and on outcome.</w:t>
      </w:r>
      <w:bookmarkEnd w:id="7"/>
      <w:r w:rsidR="00E95B41">
        <w:t xml:space="preserve">”  </w:t>
      </w:r>
    </w:p>
    <w:p w14:paraId="49292F4C" w14:textId="11F82A62" w:rsidR="00E95B41" w:rsidRDefault="007A3E0F" w:rsidP="00EB471B">
      <w:pPr>
        <w:pStyle w:val="ParaLevel1"/>
        <w:numPr>
          <w:ilvl w:val="0"/>
          <w:numId w:val="0"/>
        </w:numPr>
        <w:ind w:left="709" w:right="-55"/>
      </w:pPr>
      <w:r>
        <w:t xml:space="preserve">As I alluded to above, </w:t>
      </w:r>
      <w:r w:rsidR="00E95B41">
        <w:t xml:space="preserve">I am </w:t>
      </w:r>
      <w:r w:rsidR="008C325F">
        <w:t xml:space="preserve">concerned that </w:t>
      </w:r>
      <w:r>
        <w:t xml:space="preserve">a realistic eye </w:t>
      </w:r>
      <w:r w:rsidR="00E41D7E">
        <w:t xml:space="preserve">was </w:t>
      </w:r>
      <w:r w:rsidR="008C325F">
        <w:t xml:space="preserve">not </w:t>
      </w:r>
      <w:r w:rsidR="00E41D7E">
        <w:t>maintained on the</w:t>
      </w:r>
      <w:r w:rsidR="00643B71">
        <w:t xml:space="preserve"> </w:t>
      </w:r>
      <w:r>
        <w:t>proportionality</w:t>
      </w:r>
      <w:r w:rsidR="00E41D7E">
        <w:t xml:space="preserve"> of the claim </w:t>
      </w:r>
      <w:r w:rsidR="00253944">
        <w:t xml:space="preserve">or its process </w:t>
      </w:r>
      <w:r w:rsidR="00E41D7E">
        <w:t>throughout this litigation</w:t>
      </w:r>
      <w:r w:rsidR="00E95B41">
        <w:t xml:space="preserve">.  </w:t>
      </w:r>
      <w:r w:rsidR="00643B71">
        <w:t xml:space="preserve">At the hearing before me, I am satisfied that the </w:t>
      </w:r>
      <w:r w:rsidR="00E95B41">
        <w:t xml:space="preserve">advocates </w:t>
      </w:r>
      <w:r w:rsidR="00643B71">
        <w:t xml:space="preserve">took </w:t>
      </w:r>
      <w:r w:rsidR="00E95B41">
        <w:t xml:space="preserve">a realistic, economical and proportionate stance in relation to the </w:t>
      </w:r>
      <w:r w:rsidR="00E41D7E">
        <w:t>outcome</w:t>
      </w:r>
      <w:r w:rsidR="00E95B41">
        <w:t xml:space="preserve">, with the consequence that the case has been completed in </w:t>
      </w:r>
      <w:r w:rsidR="00083DA2">
        <w:t>three days</w:t>
      </w:r>
      <w:r w:rsidR="00E95B41">
        <w:t>, with a considerable saving of additional cost.</w:t>
      </w:r>
      <w:r w:rsidR="0083136F">
        <w:t xml:space="preserve">  </w:t>
      </w:r>
    </w:p>
    <w:p w14:paraId="276DD74D" w14:textId="7BF7B0C7" w:rsidR="005563F6" w:rsidRDefault="005563F6" w:rsidP="005563F6">
      <w:pPr>
        <w:pStyle w:val="ParaLevel1"/>
      </w:pPr>
      <w:r>
        <w:t xml:space="preserve">The case will now be adjourned for resolution of the children’s </w:t>
      </w:r>
      <w:r w:rsidRPr="005563F6">
        <w:rPr>
          <w:i/>
        </w:rPr>
        <w:t>HRA 1998</w:t>
      </w:r>
      <w:r>
        <w:t xml:space="preserve"> claims, and determination of any applications for wasted costs. </w:t>
      </w:r>
    </w:p>
    <w:p w14:paraId="0271D229" w14:textId="113D9D8A" w:rsidR="0083136F" w:rsidRDefault="0083136F" w:rsidP="00EB471B">
      <w:pPr>
        <w:pStyle w:val="ParaLevel1"/>
      </w:pPr>
      <w:r>
        <w:t>That is my judgment.</w:t>
      </w:r>
    </w:p>
    <w:sectPr w:rsidR="0083136F" w:rsidSect="00EB471B">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91C3A" w14:textId="77777777" w:rsidR="00632FF8" w:rsidRDefault="00632FF8">
      <w:r>
        <w:separator/>
      </w:r>
    </w:p>
  </w:endnote>
  <w:endnote w:type="continuationSeparator" w:id="0">
    <w:p w14:paraId="205A9937" w14:textId="77777777" w:rsidR="00632FF8" w:rsidRDefault="0063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4BD9A" w14:textId="77777777" w:rsidR="000B17A9" w:rsidRDefault="000B17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8CD20" w14:textId="77777777" w:rsidR="000B17A9" w:rsidRDefault="000B17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D0C54" w14:textId="77777777" w:rsidR="000B17A9" w:rsidRDefault="000B1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5049A" w14:textId="77777777" w:rsidR="00632FF8" w:rsidRDefault="00632FF8">
      <w:r>
        <w:separator/>
      </w:r>
    </w:p>
  </w:footnote>
  <w:footnote w:type="continuationSeparator" w:id="0">
    <w:p w14:paraId="27C7E0E8" w14:textId="77777777" w:rsidR="00632FF8" w:rsidRDefault="00632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03078" w14:textId="3DCF0216" w:rsidR="00A91478" w:rsidRDefault="00A914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017B3F" w14:paraId="49FCE648" w14:textId="77777777">
      <w:tc>
        <w:tcPr>
          <w:tcW w:w="4680" w:type="dxa"/>
        </w:tcPr>
        <w:p w14:paraId="4F47E43E" w14:textId="6CBB23F1" w:rsidR="00EB471B" w:rsidRDefault="00EB471B">
          <w:pPr>
            <w:pStyle w:val="Header"/>
            <w:rPr>
              <w:rFonts w:ascii="Times New Roman" w:hAnsi="Times New Roman"/>
              <w:b/>
              <w:sz w:val="16"/>
              <w:u w:val="single"/>
            </w:rPr>
          </w:pPr>
          <w:r>
            <w:rPr>
              <w:rFonts w:ascii="Times New Roman" w:hAnsi="Times New Roman"/>
              <w:b/>
              <w:sz w:val="16"/>
              <w:u w:val="single"/>
            </w:rPr>
            <w:t>THE HONOURABLE MR. JUSTICE COBB</w:t>
          </w:r>
        </w:p>
        <w:p w14:paraId="7E1C0491" w14:textId="140BF6DE" w:rsidR="00017B3F" w:rsidRPr="00EB471B" w:rsidRDefault="00EB471B">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13E81867" w14:textId="412CAEEB" w:rsidR="00017B3F" w:rsidRDefault="00B356A2" w:rsidP="00B356A2">
          <w:pPr>
            <w:pStyle w:val="Header"/>
            <w:jc w:val="right"/>
            <w:rPr>
              <w:rFonts w:ascii="Times New Roman" w:hAnsi="Times New Roman"/>
              <w:sz w:val="16"/>
            </w:rPr>
          </w:pPr>
          <w:r>
            <w:rPr>
              <w:rFonts w:ascii="Times New Roman" w:hAnsi="Times New Roman"/>
              <w:sz w:val="16"/>
            </w:rPr>
            <w:t>Re SW &amp; TW (Human Rights Claims: Procedure)(No.1)</w:t>
          </w:r>
        </w:p>
      </w:tc>
    </w:tr>
  </w:tbl>
  <w:p w14:paraId="061B4136" w14:textId="77777777" w:rsidR="00017B3F" w:rsidRDefault="00017B3F">
    <w:pPr>
      <w:pStyle w:val="Head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EF973" w14:textId="088051CE" w:rsidR="00A91478" w:rsidRDefault="00A914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25120"/>
    <w:multiLevelType w:val="hybridMultilevel"/>
    <w:tmpl w:val="B5E81308"/>
    <w:lvl w:ilvl="0" w:tplc="134CBB30">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2073AA7"/>
    <w:multiLevelType w:val="hybridMultilevel"/>
    <w:tmpl w:val="46E89D02"/>
    <w:lvl w:ilvl="0" w:tplc="0254BCD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6D40467"/>
    <w:multiLevelType w:val="multilevel"/>
    <w:tmpl w:val="338CC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E77906"/>
    <w:multiLevelType w:val="hybridMultilevel"/>
    <w:tmpl w:val="768E91F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5" w15:restartNumberingAfterBreak="0">
    <w:nsid w:val="75D70B9F"/>
    <w:multiLevelType w:val="multilevel"/>
    <w:tmpl w:val="1A98B1EC"/>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ascii="Times New Roman" w:eastAsia="Times New Roman" w:hAnsi="Times New Roman" w:cs="Times New Roman"/>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2"/>
    <w:lvlOverride w:ilvl="0">
      <w:startOverride w:val="30"/>
    </w:lvlOverride>
  </w:num>
  <w:num w:numId="12">
    <w:abstractNumId w:val="0"/>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CD6F728-FAF2-434B-AF34-8954CD288890}"/>
    <w:docVar w:name="dgnword-eventsink" w:val="532650112"/>
  </w:docVars>
  <w:rsids>
    <w:rsidRoot w:val="008163EB"/>
    <w:rsid w:val="00006866"/>
    <w:rsid w:val="000171E4"/>
    <w:rsid w:val="00017B3F"/>
    <w:rsid w:val="00027091"/>
    <w:rsid w:val="00031C41"/>
    <w:rsid w:val="000333B6"/>
    <w:rsid w:val="00035C19"/>
    <w:rsid w:val="000411BC"/>
    <w:rsid w:val="00041D49"/>
    <w:rsid w:val="000532EC"/>
    <w:rsid w:val="000619D0"/>
    <w:rsid w:val="000650DD"/>
    <w:rsid w:val="000773B3"/>
    <w:rsid w:val="00077D68"/>
    <w:rsid w:val="00083DA2"/>
    <w:rsid w:val="0008697A"/>
    <w:rsid w:val="00087DF7"/>
    <w:rsid w:val="0009159F"/>
    <w:rsid w:val="00092FBD"/>
    <w:rsid w:val="00093E99"/>
    <w:rsid w:val="000A2141"/>
    <w:rsid w:val="000A229E"/>
    <w:rsid w:val="000A6825"/>
    <w:rsid w:val="000B17A9"/>
    <w:rsid w:val="000B20F0"/>
    <w:rsid w:val="000C01C1"/>
    <w:rsid w:val="000C3B61"/>
    <w:rsid w:val="000D0711"/>
    <w:rsid w:val="000D2669"/>
    <w:rsid w:val="000D4824"/>
    <w:rsid w:val="000D4972"/>
    <w:rsid w:val="000D6E6D"/>
    <w:rsid w:val="000E3B5D"/>
    <w:rsid w:val="000F009B"/>
    <w:rsid w:val="000F6435"/>
    <w:rsid w:val="000F7054"/>
    <w:rsid w:val="00106CB4"/>
    <w:rsid w:val="00107512"/>
    <w:rsid w:val="0011310A"/>
    <w:rsid w:val="00126A48"/>
    <w:rsid w:val="001415EB"/>
    <w:rsid w:val="00147233"/>
    <w:rsid w:val="00170CC1"/>
    <w:rsid w:val="00180D5E"/>
    <w:rsid w:val="0018752E"/>
    <w:rsid w:val="0018791C"/>
    <w:rsid w:val="00187F40"/>
    <w:rsid w:val="00193703"/>
    <w:rsid w:val="001968F4"/>
    <w:rsid w:val="001A0DE7"/>
    <w:rsid w:val="001A3148"/>
    <w:rsid w:val="001A7336"/>
    <w:rsid w:val="001B0ED5"/>
    <w:rsid w:val="001B4F8E"/>
    <w:rsid w:val="001E1084"/>
    <w:rsid w:val="001E7202"/>
    <w:rsid w:val="001F0F25"/>
    <w:rsid w:val="001F3778"/>
    <w:rsid w:val="001F5C50"/>
    <w:rsid w:val="001F640D"/>
    <w:rsid w:val="001F7FC2"/>
    <w:rsid w:val="0020048B"/>
    <w:rsid w:val="0020743F"/>
    <w:rsid w:val="00227ECD"/>
    <w:rsid w:val="00234D1F"/>
    <w:rsid w:val="00234D5B"/>
    <w:rsid w:val="00236CAF"/>
    <w:rsid w:val="00243108"/>
    <w:rsid w:val="002469F9"/>
    <w:rsid w:val="00247600"/>
    <w:rsid w:val="0025063F"/>
    <w:rsid w:val="00252E86"/>
    <w:rsid w:val="00253944"/>
    <w:rsid w:val="00254B6C"/>
    <w:rsid w:val="00270501"/>
    <w:rsid w:val="00275C01"/>
    <w:rsid w:val="002801A9"/>
    <w:rsid w:val="002A4166"/>
    <w:rsid w:val="002A4D66"/>
    <w:rsid w:val="002A5995"/>
    <w:rsid w:val="002B74E4"/>
    <w:rsid w:val="002D01BB"/>
    <w:rsid w:val="002D084C"/>
    <w:rsid w:val="002D2364"/>
    <w:rsid w:val="002E6715"/>
    <w:rsid w:val="002F10F8"/>
    <w:rsid w:val="002F2D0A"/>
    <w:rsid w:val="002F4C72"/>
    <w:rsid w:val="002F6EEF"/>
    <w:rsid w:val="00300E13"/>
    <w:rsid w:val="00313F51"/>
    <w:rsid w:val="00316DDF"/>
    <w:rsid w:val="0032285D"/>
    <w:rsid w:val="003239D9"/>
    <w:rsid w:val="00325B51"/>
    <w:rsid w:val="00333A31"/>
    <w:rsid w:val="00335575"/>
    <w:rsid w:val="00337662"/>
    <w:rsid w:val="003461C0"/>
    <w:rsid w:val="00353749"/>
    <w:rsid w:val="003565B3"/>
    <w:rsid w:val="00360250"/>
    <w:rsid w:val="00360937"/>
    <w:rsid w:val="003630E0"/>
    <w:rsid w:val="00363785"/>
    <w:rsid w:val="0036784E"/>
    <w:rsid w:val="003707EA"/>
    <w:rsid w:val="00376207"/>
    <w:rsid w:val="00376E6E"/>
    <w:rsid w:val="00385EAE"/>
    <w:rsid w:val="0039501A"/>
    <w:rsid w:val="003A1612"/>
    <w:rsid w:val="003A1EA0"/>
    <w:rsid w:val="003A789D"/>
    <w:rsid w:val="003C5CCE"/>
    <w:rsid w:val="003C5D8E"/>
    <w:rsid w:val="003D55A0"/>
    <w:rsid w:val="003D5B58"/>
    <w:rsid w:val="003E1CF4"/>
    <w:rsid w:val="00401C31"/>
    <w:rsid w:val="0040734F"/>
    <w:rsid w:val="00422488"/>
    <w:rsid w:val="00422FA0"/>
    <w:rsid w:val="00430E63"/>
    <w:rsid w:val="00435627"/>
    <w:rsid w:val="00437786"/>
    <w:rsid w:val="00442B64"/>
    <w:rsid w:val="004569D4"/>
    <w:rsid w:val="00460CBD"/>
    <w:rsid w:val="00462180"/>
    <w:rsid w:val="004708D0"/>
    <w:rsid w:val="0049066F"/>
    <w:rsid w:val="0049278E"/>
    <w:rsid w:val="00492893"/>
    <w:rsid w:val="00493B95"/>
    <w:rsid w:val="004B172F"/>
    <w:rsid w:val="004B4E75"/>
    <w:rsid w:val="004B66DB"/>
    <w:rsid w:val="004C4E3D"/>
    <w:rsid w:val="004E1C57"/>
    <w:rsid w:val="004F1327"/>
    <w:rsid w:val="004F46F8"/>
    <w:rsid w:val="004F50BB"/>
    <w:rsid w:val="00500DB3"/>
    <w:rsid w:val="00505B8A"/>
    <w:rsid w:val="00510252"/>
    <w:rsid w:val="00512885"/>
    <w:rsid w:val="005160E1"/>
    <w:rsid w:val="005161FF"/>
    <w:rsid w:val="005300EA"/>
    <w:rsid w:val="00530DDF"/>
    <w:rsid w:val="00534835"/>
    <w:rsid w:val="00537F15"/>
    <w:rsid w:val="0054105D"/>
    <w:rsid w:val="00541A63"/>
    <w:rsid w:val="00541C79"/>
    <w:rsid w:val="005431DF"/>
    <w:rsid w:val="00543452"/>
    <w:rsid w:val="00544CA2"/>
    <w:rsid w:val="00553249"/>
    <w:rsid w:val="00556150"/>
    <w:rsid w:val="005563F6"/>
    <w:rsid w:val="00566E05"/>
    <w:rsid w:val="005745A0"/>
    <w:rsid w:val="0058739E"/>
    <w:rsid w:val="00593F09"/>
    <w:rsid w:val="005940E6"/>
    <w:rsid w:val="00594390"/>
    <w:rsid w:val="00597458"/>
    <w:rsid w:val="005A1114"/>
    <w:rsid w:val="005C784B"/>
    <w:rsid w:val="005D29CC"/>
    <w:rsid w:val="005E1ED1"/>
    <w:rsid w:val="005E2342"/>
    <w:rsid w:val="005E2C15"/>
    <w:rsid w:val="005E603D"/>
    <w:rsid w:val="005F2573"/>
    <w:rsid w:val="006035E6"/>
    <w:rsid w:val="0060373E"/>
    <w:rsid w:val="00605CAB"/>
    <w:rsid w:val="006103EA"/>
    <w:rsid w:val="006108FA"/>
    <w:rsid w:val="00615101"/>
    <w:rsid w:val="0062084A"/>
    <w:rsid w:val="00625327"/>
    <w:rsid w:val="00632FF8"/>
    <w:rsid w:val="0064122E"/>
    <w:rsid w:val="00643B71"/>
    <w:rsid w:val="00650ABC"/>
    <w:rsid w:val="00655737"/>
    <w:rsid w:val="00656B83"/>
    <w:rsid w:val="00666979"/>
    <w:rsid w:val="00670511"/>
    <w:rsid w:val="0067144E"/>
    <w:rsid w:val="006758AD"/>
    <w:rsid w:val="006822A9"/>
    <w:rsid w:val="006958B0"/>
    <w:rsid w:val="006A471D"/>
    <w:rsid w:val="006A5610"/>
    <w:rsid w:val="006A6C27"/>
    <w:rsid w:val="006B4A9A"/>
    <w:rsid w:val="006B52AF"/>
    <w:rsid w:val="006B6508"/>
    <w:rsid w:val="006C28BD"/>
    <w:rsid w:val="006E3638"/>
    <w:rsid w:val="006E3BE7"/>
    <w:rsid w:val="006F59A3"/>
    <w:rsid w:val="00701B70"/>
    <w:rsid w:val="00705D25"/>
    <w:rsid w:val="00712796"/>
    <w:rsid w:val="007232CC"/>
    <w:rsid w:val="00730DD0"/>
    <w:rsid w:val="00731C05"/>
    <w:rsid w:val="007336C8"/>
    <w:rsid w:val="00733DB1"/>
    <w:rsid w:val="00741655"/>
    <w:rsid w:val="00743034"/>
    <w:rsid w:val="00746F35"/>
    <w:rsid w:val="00751B56"/>
    <w:rsid w:val="00753CC0"/>
    <w:rsid w:val="00762949"/>
    <w:rsid w:val="00765CAF"/>
    <w:rsid w:val="007710FB"/>
    <w:rsid w:val="00773F0E"/>
    <w:rsid w:val="00777F1A"/>
    <w:rsid w:val="00780893"/>
    <w:rsid w:val="0078476C"/>
    <w:rsid w:val="00786C3F"/>
    <w:rsid w:val="00791933"/>
    <w:rsid w:val="007921F1"/>
    <w:rsid w:val="00794DA0"/>
    <w:rsid w:val="007A3E0F"/>
    <w:rsid w:val="007B16EF"/>
    <w:rsid w:val="007B3CEA"/>
    <w:rsid w:val="007C3D10"/>
    <w:rsid w:val="007C5D2E"/>
    <w:rsid w:val="007E2631"/>
    <w:rsid w:val="007F4422"/>
    <w:rsid w:val="007F50C5"/>
    <w:rsid w:val="007F7665"/>
    <w:rsid w:val="007F78B3"/>
    <w:rsid w:val="00803741"/>
    <w:rsid w:val="008162A4"/>
    <w:rsid w:val="008163EB"/>
    <w:rsid w:val="0082366A"/>
    <w:rsid w:val="0083136F"/>
    <w:rsid w:val="0083393C"/>
    <w:rsid w:val="00836761"/>
    <w:rsid w:val="008371B6"/>
    <w:rsid w:val="00847137"/>
    <w:rsid w:val="00853CCC"/>
    <w:rsid w:val="00855ED2"/>
    <w:rsid w:val="0086371F"/>
    <w:rsid w:val="00864FF8"/>
    <w:rsid w:val="0089001D"/>
    <w:rsid w:val="008A04E0"/>
    <w:rsid w:val="008A6019"/>
    <w:rsid w:val="008B3397"/>
    <w:rsid w:val="008C325F"/>
    <w:rsid w:val="008C4B86"/>
    <w:rsid w:val="008C5D14"/>
    <w:rsid w:val="008C7B46"/>
    <w:rsid w:val="008D3D82"/>
    <w:rsid w:val="008F07F1"/>
    <w:rsid w:val="008F1818"/>
    <w:rsid w:val="008F21C4"/>
    <w:rsid w:val="008F7F6C"/>
    <w:rsid w:val="00900667"/>
    <w:rsid w:val="00900F04"/>
    <w:rsid w:val="009013D6"/>
    <w:rsid w:val="00901EBB"/>
    <w:rsid w:val="00901FC6"/>
    <w:rsid w:val="0090748C"/>
    <w:rsid w:val="00917C78"/>
    <w:rsid w:val="00930220"/>
    <w:rsid w:val="0093091F"/>
    <w:rsid w:val="00930BF6"/>
    <w:rsid w:val="00931CA8"/>
    <w:rsid w:val="009421CC"/>
    <w:rsid w:val="009443FE"/>
    <w:rsid w:val="00945095"/>
    <w:rsid w:val="00946110"/>
    <w:rsid w:val="009574EC"/>
    <w:rsid w:val="00961803"/>
    <w:rsid w:val="009622CB"/>
    <w:rsid w:val="0096446B"/>
    <w:rsid w:val="00966038"/>
    <w:rsid w:val="00970B29"/>
    <w:rsid w:val="00970CFB"/>
    <w:rsid w:val="009842B0"/>
    <w:rsid w:val="00991528"/>
    <w:rsid w:val="009A7D1E"/>
    <w:rsid w:val="009C103B"/>
    <w:rsid w:val="009C4A73"/>
    <w:rsid w:val="009C679B"/>
    <w:rsid w:val="009C6F32"/>
    <w:rsid w:val="009D501D"/>
    <w:rsid w:val="009D51A1"/>
    <w:rsid w:val="009E1D72"/>
    <w:rsid w:val="009F1FDD"/>
    <w:rsid w:val="009F34A8"/>
    <w:rsid w:val="009F3CB0"/>
    <w:rsid w:val="009F7D2C"/>
    <w:rsid w:val="00A06683"/>
    <w:rsid w:val="00A14C6B"/>
    <w:rsid w:val="00A166EB"/>
    <w:rsid w:val="00A21863"/>
    <w:rsid w:val="00A23358"/>
    <w:rsid w:val="00A312C2"/>
    <w:rsid w:val="00A375B2"/>
    <w:rsid w:val="00A422D9"/>
    <w:rsid w:val="00A42390"/>
    <w:rsid w:val="00A60827"/>
    <w:rsid w:val="00A6277D"/>
    <w:rsid w:val="00A64D90"/>
    <w:rsid w:val="00A91478"/>
    <w:rsid w:val="00A92AF7"/>
    <w:rsid w:val="00A93E50"/>
    <w:rsid w:val="00AA665A"/>
    <w:rsid w:val="00AB0F0A"/>
    <w:rsid w:val="00AB21F7"/>
    <w:rsid w:val="00AC1B88"/>
    <w:rsid w:val="00AC2BE3"/>
    <w:rsid w:val="00AC5A58"/>
    <w:rsid w:val="00AE271D"/>
    <w:rsid w:val="00AE7E59"/>
    <w:rsid w:val="00AF3B72"/>
    <w:rsid w:val="00AF474E"/>
    <w:rsid w:val="00AF4EC4"/>
    <w:rsid w:val="00B0532A"/>
    <w:rsid w:val="00B05F4C"/>
    <w:rsid w:val="00B06720"/>
    <w:rsid w:val="00B10104"/>
    <w:rsid w:val="00B10E84"/>
    <w:rsid w:val="00B138B4"/>
    <w:rsid w:val="00B13BDB"/>
    <w:rsid w:val="00B162B6"/>
    <w:rsid w:val="00B25309"/>
    <w:rsid w:val="00B356A2"/>
    <w:rsid w:val="00B44F03"/>
    <w:rsid w:val="00B4666D"/>
    <w:rsid w:val="00B62D76"/>
    <w:rsid w:val="00B67580"/>
    <w:rsid w:val="00B709A9"/>
    <w:rsid w:val="00B74573"/>
    <w:rsid w:val="00B94BCC"/>
    <w:rsid w:val="00BA0CBB"/>
    <w:rsid w:val="00BA76F3"/>
    <w:rsid w:val="00BB0190"/>
    <w:rsid w:val="00BB1B62"/>
    <w:rsid w:val="00BB3FF0"/>
    <w:rsid w:val="00BB7847"/>
    <w:rsid w:val="00BC1219"/>
    <w:rsid w:val="00BE38C0"/>
    <w:rsid w:val="00BF77B9"/>
    <w:rsid w:val="00BF7937"/>
    <w:rsid w:val="00C01C97"/>
    <w:rsid w:val="00C04EBD"/>
    <w:rsid w:val="00C14D38"/>
    <w:rsid w:val="00C258CD"/>
    <w:rsid w:val="00C3004B"/>
    <w:rsid w:val="00C601AF"/>
    <w:rsid w:val="00C60BA3"/>
    <w:rsid w:val="00C63F89"/>
    <w:rsid w:val="00C813DC"/>
    <w:rsid w:val="00CA5AFC"/>
    <w:rsid w:val="00CA63C1"/>
    <w:rsid w:val="00CA6CB0"/>
    <w:rsid w:val="00CC0FD7"/>
    <w:rsid w:val="00CD2080"/>
    <w:rsid w:val="00CE775E"/>
    <w:rsid w:val="00CF0291"/>
    <w:rsid w:val="00CF10DA"/>
    <w:rsid w:val="00CF771E"/>
    <w:rsid w:val="00D20F9F"/>
    <w:rsid w:val="00D24432"/>
    <w:rsid w:val="00D307E2"/>
    <w:rsid w:val="00D42537"/>
    <w:rsid w:val="00D45E88"/>
    <w:rsid w:val="00D46379"/>
    <w:rsid w:val="00D5497B"/>
    <w:rsid w:val="00D566E2"/>
    <w:rsid w:val="00D57347"/>
    <w:rsid w:val="00D65DFF"/>
    <w:rsid w:val="00D74BAF"/>
    <w:rsid w:val="00D81276"/>
    <w:rsid w:val="00D94D0D"/>
    <w:rsid w:val="00DA4911"/>
    <w:rsid w:val="00DA6063"/>
    <w:rsid w:val="00DB70AF"/>
    <w:rsid w:val="00DD3E67"/>
    <w:rsid w:val="00DE4316"/>
    <w:rsid w:val="00E07EBF"/>
    <w:rsid w:val="00E3390F"/>
    <w:rsid w:val="00E35BA0"/>
    <w:rsid w:val="00E41D7E"/>
    <w:rsid w:val="00E42C98"/>
    <w:rsid w:val="00E50107"/>
    <w:rsid w:val="00E72980"/>
    <w:rsid w:val="00E72ED0"/>
    <w:rsid w:val="00E87592"/>
    <w:rsid w:val="00E94B51"/>
    <w:rsid w:val="00E95B41"/>
    <w:rsid w:val="00E96E8C"/>
    <w:rsid w:val="00EA7860"/>
    <w:rsid w:val="00EB02FB"/>
    <w:rsid w:val="00EB471B"/>
    <w:rsid w:val="00EB4F51"/>
    <w:rsid w:val="00EB7643"/>
    <w:rsid w:val="00ED0123"/>
    <w:rsid w:val="00ED0F56"/>
    <w:rsid w:val="00ED2C73"/>
    <w:rsid w:val="00EE06FB"/>
    <w:rsid w:val="00EE0CF3"/>
    <w:rsid w:val="00EE28AA"/>
    <w:rsid w:val="00F004BE"/>
    <w:rsid w:val="00F1252A"/>
    <w:rsid w:val="00F2095E"/>
    <w:rsid w:val="00F21550"/>
    <w:rsid w:val="00F35DF9"/>
    <w:rsid w:val="00F370E3"/>
    <w:rsid w:val="00F4030F"/>
    <w:rsid w:val="00F41650"/>
    <w:rsid w:val="00F434A9"/>
    <w:rsid w:val="00F45D2B"/>
    <w:rsid w:val="00F51F45"/>
    <w:rsid w:val="00F54373"/>
    <w:rsid w:val="00F54F93"/>
    <w:rsid w:val="00F66C69"/>
    <w:rsid w:val="00F751D1"/>
    <w:rsid w:val="00F76509"/>
    <w:rsid w:val="00F80DFA"/>
    <w:rsid w:val="00F9037C"/>
    <w:rsid w:val="00F9335F"/>
    <w:rsid w:val="00FA048B"/>
    <w:rsid w:val="00FA78E1"/>
    <w:rsid w:val="00FB4AF5"/>
    <w:rsid w:val="00FB65CA"/>
    <w:rsid w:val="00FC5F3F"/>
    <w:rsid w:val="00FC6B4F"/>
    <w:rsid w:val="00FD6C2E"/>
    <w:rsid w:val="00FE73DE"/>
    <w:rsid w:val="00FE7AB5"/>
    <w:rsid w:val="00FF5520"/>
    <w:rsid w:val="00FF7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CB1AE"/>
  <w15:chartTrackingRefBased/>
  <w15:docId w15:val="{B8619B15-7496-4E50-84DB-03BAFB85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Emphasis">
    <w:name w:val="Emphasis"/>
    <w:uiPriority w:val="20"/>
    <w:qFormat/>
    <w:rsid w:val="000619D0"/>
    <w:rPr>
      <w:i/>
      <w:iCs/>
    </w:rPr>
  </w:style>
  <w:style w:type="paragraph" w:styleId="BalloonText">
    <w:name w:val="Balloon Text"/>
    <w:basedOn w:val="Normal"/>
    <w:link w:val="BalloonTextChar"/>
    <w:rsid w:val="00847137"/>
    <w:rPr>
      <w:rFonts w:ascii="Segoe UI" w:hAnsi="Segoe UI" w:cs="Segoe UI"/>
      <w:sz w:val="18"/>
      <w:szCs w:val="18"/>
    </w:rPr>
  </w:style>
  <w:style w:type="character" w:customStyle="1" w:styleId="BalloonTextChar">
    <w:name w:val="Balloon Text Char"/>
    <w:link w:val="BalloonText"/>
    <w:rsid w:val="00847137"/>
    <w:rPr>
      <w:rFonts w:ascii="Segoe UI" w:hAnsi="Segoe UI" w:cs="Segoe UI"/>
      <w:sz w:val="18"/>
      <w:szCs w:val="18"/>
      <w:lang w:eastAsia="en-US"/>
    </w:rPr>
  </w:style>
  <w:style w:type="paragraph" w:customStyle="1" w:styleId="lc">
    <w:name w:val="lc"/>
    <w:basedOn w:val="Normal"/>
    <w:rsid w:val="00A6277D"/>
    <w:pPr>
      <w:ind w:right="270"/>
    </w:pPr>
    <w:rPr>
      <w:rFonts w:ascii="Arial" w:hAnsi="Arial" w:cs="Arial"/>
      <w:color w:val="666666"/>
      <w:sz w:val="18"/>
      <w:szCs w:val="18"/>
      <w:lang w:eastAsia="en-GB"/>
    </w:rPr>
  </w:style>
  <w:style w:type="character" w:styleId="Strong">
    <w:name w:val="Strong"/>
    <w:uiPriority w:val="22"/>
    <w:qFormat/>
    <w:rsid w:val="00A6277D"/>
    <w:rPr>
      <w:b/>
      <w:bCs/>
    </w:rPr>
  </w:style>
  <w:style w:type="character" w:styleId="Hyperlink">
    <w:name w:val="Hyperlink"/>
    <w:uiPriority w:val="99"/>
    <w:unhideWhenUsed/>
    <w:rsid w:val="00AB0F0A"/>
    <w:rPr>
      <w:color w:val="0000FF"/>
      <w:u w:val="single"/>
    </w:rPr>
  </w:style>
  <w:style w:type="paragraph" w:styleId="ListParagraph">
    <w:name w:val="List Paragraph"/>
    <w:basedOn w:val="Normal"/>
    <w:uiPriority w:val="34"/>
    <w:qFormat/>
    <w:rsid w:val="00A312C2"/>
    <w:pPr>
      <w:ind w:left="720"/>
      <w:contextualSpacing/>
    </w:pPr>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9034">
      <w:bodyDiv w:val="1"/>
      <w:marLeft w:val="375"/>
      <w:marRight w:val="375"/>
      <w:marTop w:val="75"/>
      <w:marBottom w:val="75"/>
      <w:divBdr>
        <w:top w:val="none" w:sz="0" w:space="0" w:color="auto"/>
        <w:left w:val="none" w:sz="0" w:space="0" w:color="auto"/>
        <w:bottom w:val="none" w:sz="0" w:space="0" w:color="auto"/>
        <w:right w:val="none" w:sz="0" w:space="0" w:color="auto"/>
      </w:divBdr>
      <w:divsChild>
        <w:div w:id="1155878551">
          <w:marLeft w:val="0"/>
          <w:marRight w:val="0"/>
          <w:marTop w:val="0"/>
          <w:marBottom w:val="0"/>
          <w:divBdr>
            <w:top w:val="none" w:sz="0" w:space="0" w:color="auto"/>
            <w:left w:val="none" w:sz="0" w:space="0" w:color="auto"/>
            <w:bottom w:val="none" w:sz="0" w:space="0" w:color="auto"/>
            <w:right w:val="none" w:sz="0" w:space="0" w:color="auto"/>
          </w:divBdr>
          <w:divsChild>
            <w:div w:id="1672836209">
              <w:marLeft w:val="0"/>
              <w:marRight w:val="0"/>
              <w:marTop w:val="0"/>
              <w:marBottom w:val="0"/>
              <w:divBdr>
                <w:top w:val="none" w:sz="0" w:space="0" w:color="auto"/>
                <w:left w:val="none" w:sz="0" w:space="0" w:color="auto"/>
                <w:bottom w:val="none" w:sz="0" w:space="0" w:color="auto"/>
                <w:right w:val="none" w:sz="0" w:space="0" w:color="auto"/>
              </w:divBdr>
              <w:divsChild>
                <w:div w:id="984092452">
                  <w:marLeft w:val="0"/>
                  <w:marRight w:val="0"/>
                  <w:marTop w:val="0"/>
                  <w:marBottom w:val="0"/>
                  <w:divBdr>
                    <w:top w:val="none" w:sz="0" w:space="0" w:color="auto"/>
                    <w:left w:val="none" w:sz="0" w:space="0" w:color="auto"/>
                    <w:bottom w:val="none" w:sz="0" w:space="0" w:color="auto"/>
                    <w:right w:val="none" w:sz="0" w:space="0" w:color="auto"/>
                  </w:divBdr>
                  <w:divsChild>
                    <w:div w:id="1850362957">
                      <w:marLeft w:val="0"/>
                      <w:marRight w:val="0"/>
                      <w:marTop w:val="0"/>
                      <w:marBottom w:val="0"/>
                      <w:divBdr>
                        <w:top w:val="none" w:sz="0" w:space="0" w:color="auto"/>
                        <w:left w:val="none" w:sz="0" w:space="0" w:color="auto"/>
                        <w:bottom w:val="none" w:sz="0" w:space="0" w:color="auto"/>
                        <w:right w:val="none" w:sz="0" w:space="0" w:color="auto"/>
                      </w:divBdr>
                      <w:divsChild>
                        <w:div w:id="324207017">
                          <w:marLeft w:val="0"/>
                          <w:marRight w:val="0"/>
                          <w:marTop w:val="0"/>
                          <w:marBottom w:val="0"/>
                          <w:divBdr>
                            <w:top w:val="none" w:sz="0" w:space="0" w:color="auto"/>
                            <w:left w:val="none" w:sz="0" w:space="0" w:color="auto"/>
                            <w:bottom w:val="none" w:sz="0" w:space="0" w:color="auto"/>
                            <w:right w:val="none" w:sz="0" w:space="0" w:color="auto"/>
                          </w:divBdr>
                        </w:div>
                        <w:div w:id="6943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161885">
      <w:bodyDiv w:val="1"/>
      <w:marLeft w:val="0"/>
      <w:marRight w:val="0"/>
      <w:marTop w:val="0"/>
      <w:marBottom w:val="0"/>
      <w:divBdr>
        <w:top w:val="none" w:sz="0" w:space="0" w:color="auto"/>
        <w:left w:val="none" w:sz="0" w:space="0" w:color="auto"/>
        <w:bottom w:val="none" w:sz="0" w:space="0" w:color="auto"/>
        <w:right w:val="none" w:sz="0" w:space="0" w:color="auto"/>
      </w:divBdr>
      <w:divsChild>
        <w:div w:id="1663390182">
          <w:marLeft w:val="0"/>
          <w:marRight w:val="0"/>
          <w:marTop w:val="0"/>
          <w:marBottom w:val="0"/>
          <w:divBdr>
            <w:top w:val="none" w:sz="0" w:space="0" w:color="auto"/>
            <w:left w:val="none" w:sz="0" w:space="0" w:color="auto"/>
            <w:bottom w:val="none" w:sz="0" w:space="0" w:color="auto"/>
            <w:right w:val="none" w:sz="0" w:space="0" w:color="auto"/>
          </w:divBdr>
          <w:divsChild>
            <w:div w:id="938830514">
              <w:marLeft w:val="0"/>
              <w:marRight w:val="0"/>
              <w:marTop w:val="0"/>
              <w:marBottom w:val="0"/>
              <w:divBdr>
                <w:top w:val="none" w:sz="0" w:space="0" w:color="auto"/>
                <w:left w:val="none" w:sz="0" w:space="0" w:color="auto"/>
                <w:bottom w:val="none" w:sz="0" w:space="0" w:color="auto"/>
                <w:right w:val="none" w:sz="0" w:space="0" w:color="auto"/>
              </w:divBdr>
              <w:divsChild>
                <w:div w:id="858474649">
                  <w:marLeft w:val="0"/>
                  <w:marRight w:val="0"/>
                  <w:marTop w:val="0"/>
                  <w:marBottom w:val="0"/>
                  <w:divBdr>
                    <w:top w:val="single" w:sz="36" w:space="0" w:color="C40E0C"/>
                    <w:left w:val="none" w:sz="0" w:space="0" w:color="auto"/>
                    <w:bottom w:val="none" w:sz="0" w:space="0" w:color="auto"/>
                    <w:right w:val="none" w:sz="0" w:space="0" w:color="auto"/>
                  </w:divBdr>
                  <w:divsChild>
                    <w:div w:id="1632517115">
                      <w:marLeft w:val="0"/>
                      <w:marRight w:val="0"/>
                      <w:marTop w:val="0"/>
                      <w:marBottom w:val="0"/>
                      <w:divBdr>
                        <w:top w:val="none" w:sz="0" w:space="0" w:color="auto"/>
                        <w:left w:val="none" w:sz="0" w:space="0" w:color="auto"/>
                        <w:bottom w:val="none" w:sz="0" w:space="0" w:color="auto"/>
                        <w:right w:val="none" w:sz="0" w:space="0" w:color="auto"/>
                      </w:divBdr>
                      <w:divsChild>
                        <w:div w:id="1508590806">
                          <w:marLeft w:val="0"/>
                          <w:marRight w:val="0"/>
                          <w:marTop w:val="0"/>
                          <w:marBottom w:val="0"/>
                          <w:divBdr>
                            <w:top w:val="none" w:sz="0" w:space="0" w:color="auto"/>
                            <w:left w:val="none" w:sz="0" w:space="0" w:color="auto"/>
                            <w:bottom w:val="none" w:sz="0" w:space="0" w:color="auto"/>
                            <w:right w:val="none" w:sz="0" w:space="0" w:color="auto"/>
                          </w:divBdr>
                          <w:divsChild>
                            <w:div w:id="1416589292">
                              <w:marLeft w:val="0"/>
                              <w:marRight w:val="0"/>
                              <w:marTop w:val="0"/>
                              <w:marBottom w:val="0"/>
                              <w:divBdr>
                                <w:top w:val="none" w:sz="0" w:space="0" w:color="auto"/>
                                <w:left w:val="none" w:sz="0" w:space="0" w:color="auto"/>
                                <w:bottom w:val="none" w:sz="0" w:space="0" w:color="auto"/>
                                <w:right w:val="none" w:sz="0" w:space="0" w:color="auto"/>
                              </w:divBdr>
                              <w:divsChild>
                                <w:div w:id="603154121">
                                  <w:marLeft w:val="0"/>
                                  <w:marRight w:val="0"/>
                                  <w:marTop w:val="0"/>
                                  <w:marBottom w:val="0"/>
                                  <w:divBdr>
                                    <w:top w:val="none" w:sz="0" w:space="0" w:color="auto"/>
                                    <w:left w:val="none" w:sz="0" w:space="0" w:color="auto"/>
                                    <w:bottom w:val="none" w:sz="0" w:space="0" w:color="auto"/>
                                    <w:right w:val="none" w:sz="0" w:space="0" w:color="auto"/>
                                  </w:divBdr>
                                  <w:divsChild>
                                    <w:div w:id="1339580804">
                                      <w:marLeft w:val="0"/>
                                      <w:marRight w:val="0"/>
                                      <w:marTop w:val="0"/>
                                      <w:marBottom w:val="0"/>
                                      <w:divBdr>
                                        <w:top w:val="none" w:sz="0" w:space="0" w:color="auto"/>
                                        <w:left w:val="none" w:sz="0" w:space="0" w:color="auto"/>
                                        <w:bottom w:val="none" w:sz="0" w:space="0" w:color="auto"/>
                                        <w:right w:val="none" w:sz="0" w:space="0" w:color="auto"/>
                                      </w:divBdr>
                                      <w:divsChild>
                                        <w:div w:id="422803356">
                                          <w:marLeft w:val="0"/>
                                          <w:marRight w:val="0"/>
                                          <w:marTop w:val="0"/>
                                          <w:marBottom w:val="0"/>
                                          <w:divBdr>
                                            <w:top w:val="none" w:sz="0" w:space="0" w:color="auto"/>
                                            <w:left w:val="none" w:sz="0" w:space="0" w:color="auto"/>
                                            <w:bottom w:val="none" w:sz="0" w:space="0" w:color="auto"/>
                                            <w:right w:val="none" w:sz="0" w:space="0" w:color="auto"/>
                                          </w:divBdr>
                                          <w:divsChild>
                                            <w:div w:id="1819305258">
                                              <w:marLeft w:val="0"/>
                                              <w:marRight w:val="0"/>
                                              <w:marTop w:val="0"/>
                                              <w:marBottom w:val="0"/>
                                              <w:divBdr>
                                                <w:top w:val="none" w:sz="0" w:space="0" w:color="auto"/>
                                                <w:left w:val="none" w:sz="0" w:space="0" w:color="auto"/>
                                                <w:bottom w:val="none" w:sz="0" w:space="0" w:color="auto"/>
                                                <w:right w:val="none" w:sz="0" w:space="0" w:color="auto"/>
                                              </w:divBdr>
                                              <w:divsChild>
                                                <w:div w:id="986856188">
                                                  <w:marLeft w:val="0"/>
                                                  <w:marRight w:val="0"/>
                                                  <w:marTop w:val="0"/>
                                                  <w:marBottom w:val="0"/>
                                                  <w:divBdr>
                                                    <w:top w:val="none" w:sz="0" w:space="0" w:color="auto"/>
                                                    <w:left w:val="none" w:sz="0" w:space="0" w:color="auto"/>
                                                    <w:bottom w:val="single" w:sz="6" w:space="0" w:color="D7DEEA"/>
                                                    <w:right w:val="none" w:sz="0" w:space="0" w:color="auto"/>
                                                  </w:divBdr>
                                                  <w:divsChild>
                                                    <w:div w:id="1173842659">
                                                      <w:marLeft w:val="0"/>
                                                      <w:marRight w:val="0"/>
                                                      <w:marTop w:val="0"/>
                                                      <w:marBottom w:val="0"/>
                                                      <w:divBdr>
                                                        <w:top w:val="none" w:sz="0" w:space="0" w:color="auto"/>
                                                        <w:left w:val="none" w:sz="0" w:space="0" w:color="auto"/>
                                                        <w:bottom w:val="none" w:sz="0" w:space="0" w:color="auto"/>
                                                        <w:right w:val="none" w:sz="0" w:space="0" w:color="auto"/>
                                                      </w:divBdr>
                                                      <w:divsChild>
                                                        <w:div w:id="2083136997">
                                                          <w:marLeft w:val="0"/>
                                                          <w:marRight w:val="0"/>
                                                          <w:marTop w:val="0"/>
                                                          <w:marBottom w:val="0"/>
                                                          <w:divBdr>
                                                            <w:top w:val="none" w:sz="0" w:space="0" w:color="auto"/>
                                                            <w:left w:val="none" w:sz="0" w:space="0" w:color="auto"/>
                                                            <w:bottom w:val="none" w:sz="0" w:space="0" w:color="auto"/>
                                                            <w:right w:val="none" w:sz="0" w:space="0" w:color="auto"/>
                                                          </w:divBdr>
                                                          <w:divsChild>
                                                            <w:div w:id="2080706851">
                                                              <w:marLeft w:val="0"/>
                                                              <w:marRight w:val="0"/>
                                                              <w:marTop w:val="0"/>
                                                              <w:marBottom w:val="0"/>
                                                              <w:divBdr>
                                                                <w:top w:val="none" w:sz="0" w:space="0" w:color="auto"/>
                                                                <w:left w:val="none" w:sz="0" w:space="0" w:color="auto"/>
                                                                <w:bottom w:val="none" w:sz="0" w:space="0" w:color="auto"/>
                                                                <w:right w:val="none" w:sz="0" w:space="0" w:color="auto"/>
                                                              </w:divBdr>
                                                              <w:divsChild>
                                                                <w:div w:id="1583637414">
                                                                  <w:marLeft w:val="0"/>
                                                                  <w:marRight w:val="0"/>
                                                                  <w:marTop w:val="0"/>
                                                                  <w:marBottom w:val="0"/>
                                                                  <w:divBdr>
                                                                    <w:top w:val="none" w:sz="0" w:space="0" w:color="auto"/>
                                                                    <w:left w:val="none" w:sz="0" w:space="0" w:color="auto"/>
                                                                    <w:bottom w:val="none" w:sz="0" w:space="0" w:color="auto"/>
                                                                    <w:right w:val="none" w:sz="0" w:space="0" w:color="auto"/>
                                                                  </w:divBdr>
                                                                  <w:divsChild>
                                                                    <w:div w:id="83102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1401969">
      <w:bodyDiv w:val="1"/>
      <w:marLeft w:val="375"/>
      <w:marRight w:val="375"/>
      <w:marTop w:val="75"/>
      <w:marBottom w:val="75"/>
      <w:divBdr>
        <w:top w:val="none" w:sz="0" w:space="0" w:color="auto"/>
        <w:left w:val="none" w:sz="0" w:space="0" w:color="auto"/>
        <w:bottom w:val="none" w:sz="0" w:space="0" w:color="auto"/>
        <w:right w:val="none" w:sz="0" w:space="0" w:color="auto"/>
      </w:divBdr>
      <w:divsChild>
        <w:div w:id="1023897188">
          <w:marLeft w:val="0"/>
          <w:marRight w:val="0"/>
          <w:marTop w:val="0"/>
          <w:marBottom w:val="0"/>
          <w:divBdr>
            <w:top w:val="none" w:sz="0" w:space="0" w:color="auto"/>
            <w:left w:val="none" w:sz="0" w:space="0" w:color="auto"/>
            <w:bottom w:val="none" w:sz="0" w:space="0" w:color="auto"/>
            <w:right w:val="none" w:sz="0" w:space="0" w:color="auto"/>
          </w:divBdr>
          <w:divsChild>
            <w:div w:id="1458446313">
              <w:marLeft w:val="0"/>
              <w:marRight w:val="0"/>
              <w:marTop w:val="0"/>
              <w:marBottom w:val="0"/>
              <w:divBdr>
                <w:top w:val="none" w:sz="0" w:space="0" w:color="auto"/>
                <w:left w:val="none" w:sz="0" w:space="0" w:color="auto"/>
                <w:bottom w:val="none" w:sz="0" w:space="0" w:color="auto"/>
                <w:right w:val="none" w:sz="0" w:space="0" w:color="auto"/>
              </w:divBdr>
              <w:divsChild>
                <w:div w:id="5787509">
                  <w:marLeft w:val="0"/>
                  <w:marRight w:val="0"/>
                  <w:marTop w:val="0"/>
                  <w:marBottom w:val="0"/>
                  <w:divBdr>
                    <w:top w:val="none" w:sz="0" w:space="0" w:color="auto"/>
                    <w:left w:val="none" w:sz="0" w:space="0" w:color="auto"/>
                    <w:bottom w:val="none" w:sz="0" w:space="0" w:color="auto"/>
                    <w:right w:val="none" w:sz="0" w:space="0" w:color="auto"/>
                  </w:divBdr>
                  <w:divsChild>
                    <w:div w:id="818498309">
                      <w:marLeft w:val="0"/>
                      <w:marRight w:val="0"/>
                      <w:marTop w:val="0"/>
                      <w:marBottom w:val="0"/>
                      <w:divBdr>
                        <w:top w:val="none" w:sz="0" w:space="0" w:color="auto"/>
                        <w:left w:val="none" w:sz="0" w:space="0" w:color="auto"/>
                        <w:bottom w:val="none" w:sz="0" w:space="0" w:color="auto"/>
                        <w:right w:val="none" w:sz="0" w:space="0" w:color="auto"/>
                      </w:divBdr>
                      <w:divsChild>
                        <w:div w:id="1419325708">
                          <w:marLeft w:val="0"/>
                          <w:marRight w:val="0"/>
                          <w:marTop w:val="0"/>
                          <w:marBottom w:val="0"/>
                          <w:divBdr>
                            <w:top w:val="none" w:sz="0" w:space="0" w:color="auto"/>
                            <w:left w:val="none" w:sz="0" w:space="0" w:color="auto"/>
                            <w:bottom w:val="none" w:sz="0" w:space="0" w:color="auto"/>
                            <w:right w:val="none" w:sz="0" w:space="0" w:color="auto"/>
                          </w:divBdr>
                        </w:div>
                        <w:div w:id="980428093">
                          <w:marLeft w:val="0"/>
                          <w:marRight w:val="0"/>
                          <w:marTop w:val="0"/>
                          <w:marBottom w:val="0"/>
                          <w:divBdr>
                            <w:top w:val="none" w:sz="0" w:space="0" w:color="auto"/>
                            <w:left w:val="none" w:sz="0" w:space="0" w:color="auto"/>
                            <w:bottom w:val="none" w:sz="0" w:space="0" w:color="auto"/>
                            <w:right w:val="none" w:sz="0" w:space="0" w:color="auto"/>
                          </w:divBdr>
                        </w:div>
                      </w:divsChild>
                    </w:div>
                    <w:div w:id="470177618">
                      <w:marLeft w:val="0"/>
                      <w:marRight w:val="0"/>
                      <w:marTop w:val="0"/>
                      <w:marBottom w:val="0"/>
                      <w:divBdr>
                        <w:top w:val="none" w:sz="0" w:space="0" w:color="auto"/>
                        <w:left w:val="none" w:sz="0" w:space="0" w:color="auto"/>
                        <w:bottom w:val="none" w:sz="0" w:space="0" w:color="auto"/>
                        <w:right w:val="none" w:sz="0" w:space="0" w:color="auto"/>
                      </w:divBdr>
                      <w:divsChild>
                        <w:div w:id="375475562">
                          <w:marLeft w:val="0"/>
                          <w:marRight w:val="0"/>
                          <w:marTop w:val="0"/>
                          <w:marBottom w:val="0"/>
                          <w:divBdr>
                            <w:top w:val="none" w:sz="0" w:space="0" w:color="auto"/>
                            <w:left w:val="none" w:sz="0" w:space="0" w:color="auto"/>
                            <w:bottom w:val="none" w:sz="0" w:space="0" w:color="auto"/>
                            <w:right w:val="none" w:sz="0" w:space="0" w:color="auto"/>
                          </w:divBdr>
                        </w:div>
                        <w:div w:id="21412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595144">
      <w:bodyDiv w:val="1"/>
      <w:marLeft w:val="375"/>
      <w:marRight w:val="375"/>
      <w:marTop w:val="75"/>
      <w:marBottom w:val="75"/>
      <w:divBdr>
        <w:top w:val="none" w:sz="0" w:space="0" w:color="auto"/>
        <w:left w:val="none" w:sz="0" w:space="0" w:color="auto"/>
        <w:bottom w:val="none" w:sz="0" w:space="0" w:color="auto"/>
        <w:right w:val="none" w:sz="0" w:space="0" w:color="auto"/>
      </w:divBdr>
      <w:divsChild>
        <w:div w:id="1855680891">
          <w:marLeft w:val="0"/>
          <w:marRight w:val="0"/>
          <w:marTop w:val="0"/>
          <w:marBottom w:val="0"/>
          <w:divBdr>
            <w:top w:val="none" w:sz="0" w:space="0" w:color="auto"/>
            <w:left w:val="none" w:sz="0" w:space="0" w:color="auto"/>
            <w:bottom w:val="none" w:sz="0" w:space="0" w:color="auto"/>
            <w:right w:val="none" w:sz="0" w:space="0" w:color="auto"/>
          </w:divBdr>
          <w:divsChild>
            <w:div w:id="160658937">
              <w:marLeft w:val="0"/>
              <w:marRight w:val="0"/>
              <w:marTop w:val="0"/>
              <w:marBottom w:val="0"/>
              <w:divBdr>
                <w:top w:val="none" w:sz="0" w:space="0" w:color="auto"/>
                <w:left w:val="none" w:sz="0" w:space="0" w:color="auto"/>
                <w:bottom w:val="none" w:sz="0" w:space="0" w:color="auto"/>
                <w:right w:val="none" w:sz="0" w:space="0" w:color="auto"/>
              </w:divBdr>
              <w:divsChild>
                <w:div w:id="1315380750">
                  <w:marLeft w:val="0"/>
                  <w:marRight w:val="0"/>
                  <w:marTop w:val="0"/>
                  <w:marBottom w:val="0"/>
                  <w:divBdr>
                    <w:top w:val="none" w:sz="0" w:space="0" w:color="auto"/>
                    <w:left w:val="none" w:sz="0" w:space="0" w:color="auto"/>
                    <w:bottom w:val="none" w:sz="0" w:space="0" w:color="auto"/>
                    <w:right w:val="none" w:sz="0" w:space="0" w:color="auto"/>
                  </w:divBdr>
                  <w:divsChild>
                    <w:div w:id="11734946">
                      <w:marLeft w:val="0"/>
                      <w:marRight w:val="0"/>
                      <w:marTop w:val="0"/>
                      <w:marBottom w:val="0"/>
                      <w:divBdr>
                        <w:top w:val="none" w:sz="0" w:space="0" w:color="auto"/>
                        <w:left w:val="none" w:sz="0" w:space="0" w:color="auto"/>
                        <w:bottom w:val="none" w:sz="0" w:space="0" w:color="auto"/>
                        <w:right w:val="none" w:sz="0" w:space="0" w:color="auto"/>
                      </w:divBdr>
                      <w:divsChild>
                        <w:div w:id="448547481">
                          <w:marLeft w:val="0"/>
                          <w:marRight w:val="0"/>
                          <w:marTop w:val="0"/>
                          <w:marBottom w:val="0"/>
                          <w:divBdr>
                            <w:top w:val="none" w:sz="0" w:space="0" w:color="auto"/>
                            <w:left w:val="none" w:sz="0" w:space="0" w:color="auto"/>
                            <w:bottom w:val="none" w:sz="0" w:space="0" w:color="auto"/>
                            <w:right w:val="none" w:sz="0" w:space="0" w:color="auto"/>
                          </w:divBdr>
                          <w:divsChild>
                            <w:div w:id="1964144068">
                              <w:marLeft w:val="0"/>
                              <w:marRight w:val="0"/>
                              <w:marTop w:val="0"/>
                              <w:marBottom w:val="0"/>
                              <w:divBdr>
                                <w:top w:val="none" w:sz="0" w:space="0" w:color="auto"/>
                                <w:left w:val="none" w:sz="0" w:space="0" w:color="auto"/>
                                <w:bottom w:val="none" w:sz="0" w:space="0" w:color="auto"/>
                                <w:right w:val="none" w:sz="0" w:space="0" w:color="auto"/>
                              </w:divBdr>
                            </w:div>
                            <w:div w:id="4376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626271">
      <w:bodyDiv w:val="1"/>
      <w:marLeft w:val="0"/>
      <w:marRight w:val="0"/>
      <w:marTop w:val="0"/>
      <w:marBottom w:val="0"/>
      <w:divBdr>
        <w:top w:val="none" w:sz="0" w:space="0" w:color="auto"/>
        <w:left w:val="none" w:sz="0" w:space="0" w:color="auto"/>
        <w:bottom w:val="none" w:sz="0" w:space="0" w:color="auto"/>
        <w:right w:val="none" w:sz="0" w:space="0" w:color="auto"/>
      </w:divBdr>
      <w:divsChild>
        <w:div w:id="1718117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157808">
      <w:bodyDiv w:val="1"/>
      <w:marLeft w:val="0"/>
      <w:marRight w:val="0"/>
      <w:marTop w:val="0"/>
      <w:marBottom w:val="0"/>
      <w:divBdr>
        <w:top w:val="none" w:sz="0" w:space="0" w:color="auto"/>
        <w:left w:val="none" w:sz="0" w:space="0" w:color="auto"/>
        <w:bottom w:val="none" w:sz="0" w:space="0" w:color="auto"/>
        <w:right w:val="none" w:sz="0" w:space="0" w:color="auto"/>
      </w:divBdr>
      <w:divsChild>
        <w:div w:id="547450466">
          <w:marLeft w:val="0"/>
          <w:marRight w:val="0"/>
          <w:marTop w:val="0"/>
          <w:marBottom w:val="0"/>
          <w:divBdr>
            <w:top w:val="none" w:sz="0" w:space="0" w:color="auto"/>
            <w:left w:val="none" w:sz="0" w:space="0" w:color="auto"/>
            <w:bottom w:val="none" w:sz="0" w:space="0" w:color="auto"/>
            <w:right w:val="none" w:sz="0" w:space="0" w:color="auto"/>
          </w:divBdr>
          <w:divsChild>
            <w:div w:id="1175918394">
              <w:marLeft w:val="0"/>
              <w:marRight w:val="0"/>
              <w:marTop w:val="0"/>
              <w:marBottom w:val="0"/>
              <w:divBdr>
                <w:top w:val="none" w:sz="0" w:space="0" w:color="auto"/>
                <w:left w:val="none" w:sz="0" w:space="0" w:color="auto"/>
                <w:bottom w:val="none" w:sz="0" w:space="0" w:color="auto"/>
                <w:right w:val="none" w:sz="0" w:space="0" w:color="auto"/>
              </w:divBdr>
              <w:divsChild>
                <w:div w:id="1928880787">
                  <w:marLeft w:val="0"/>
                  <w:marRight w:val="0"/>
                  <w:marTop w:val="0"/>
                  <w:marBottom w:val="0"/>
                  <w:divBdr>
                    <w:top w:val="single" w:sz="36" w:space="0" w:color="C40E0C"/>
                    <w:left w:val="none" w:sz="0" w:space="0" w:color="auto"/>
                    <w:bottom w:val="none" w:sz="0" w:space="0" w:color="auto"/>
                    <w:right w:val="none" w:sz="0" w:space="0" w:color="auto"/>
                  </w:divBdr>
                  <w:divsChild>
                    <w:div w:id="282342773">
                      <w:marLeft w:val="0"/>
                      <w:marRight w:val="0"/>
                      <w:marTop w:val="0"/>
                      <w:marBottom w:val="0"/>
                      <w:divBdr>
                        <w:top w:val="none" w:sz="0" w:space="0" w:color="auto"/>
                        <w:left w:val="none" w:sz="0" w:space="0" w:color="auto"/>
                        <w:bottom w:val="none" w:sz="0" w:space="0" w:color="auto"/>
                        <w:right w:val="none" w:sz="0" w:space="0" w:color="auto"/>
                      </w:divBdr>
                      <w:divsChild>
                        <w:div w:id="1481078229">
                          <w:marLeft w:val="0"/>
                          <w:marRight w:val="0"/>
                          <w:marTop w:val="0"/>
                          <w:marBottom w:val="0"/>
                          <w:divBdr>
                            <w:top w:val="none" w:sz="0" w:space="0" w:color="auto"/>
                            <w:left w:val="none" w:sz="0" w:space="0" w:color="auto"/>
                            <w:bottom w:val="none" w:sz="0" w:space="0" w:color="auto"/>
                            <w:right w:val="none" w:sz="0" w:space="0" w:color="auto"/>
                          </w:divBdr>
                          <w:divsChild>
                            <w:div w:id="930820192">
                              <w:marLeft w:val="0"/>
                              <w:marRight w:val="0"/>
                              <w:marTop w:val="0"/>
                              <w:marBottom w:val="0"/>
                              <w:divBdr>
                                <w:top w:val="none" w:sz="0" w:space="0" w:color="auto"/>
                                <w:left w:val="none" w:sz="0" w:space="0" w:color="auto"/>
                                <w:bottom w:val="none" w:sz="0" w:space="0" w:color="auto"/>
                                <w:right w:val="none" w:sz="0" w:space="0" w:color="auto"/>
                              </w:divBdr>
                              <w:divsChild>
                                <w:div w:id="984041945">
                                  <w:marLeft w:val="0"/>
                                  <w:marRight w:val="0"/>
                                  <w:marTop w:val="0"/>
                                  <w:marBottom w:val="0"/>
                                  <w:divBdr>
                                    <w:top w:val="none" w:sz="0" w:space="0" w:color="auto"/>
                                    <w:left w:val="none" w:sz="0" w:space="0" w:color="auto"/>
                                    <w:bottom w:val="none" w:sz="0" w:space="0" w:color="auto"/>
                                    <w:right w:val="none" w:sz="0" w:space="0" w:color="auto"/>
                                  </w:divBdr>
                                  <w:divsChild>
                                    <w:div w:id="2062438907">
                                      <w:marLeft w:val="0"/>
                                      <w:marRight w:val="0"/>
                                      <w:marTop w:val="0"/>
                                      <w:marBottom w:val="0"/>
                                      <w:divBdr>
                                        <w:top w:val="none" w:sz="0" w:space="0" w:color="auto"/>
                                        <w:left w:val="none" w:sz="0" w:space="0" w:color="auto"/>
                                        <w:bottom w:val="none" w:sz="0" w:space="0" w:color="auto"/>
                                        <w:right w:val="none" w:sz="0" w:space="0" w:color="auto"/>
                                      </w:divBdr>
                                      <w:divsChild>
                                        <w:div w:id="1446192444">
                                          <w:marLeft w:val="0"/>
                                          <w:marRight w:val="0"/>
                                          <w:marTop w:val="0"/>
                                          <w:marBottom w:val="0"/>
                                          <w:divBdr>
                                            <w:top w:val="none" w:sz="0" w:space="0" w:color="auto"/>
                                            <w:left w:val="none" w:sz="0" w:space="0" w:color="auto"/>
                                            <w:bottom w:val="none" w:sz="0" w:space="0" w:color="auto"/>
                                            <w:right w:val="none" w:sz="0" w:space="0" w:color="auto"/>
                                          </w:divBdr>
                                          <w:divsChild>
                                            <w:div w:id="1168638361">
                                              <w:marLeft w:val="0"/>
                                              <w:marRight w:val="0"/>
                                              <w:marTop w:val="0"/>
                                              <w:marBottom w:val="0"/>
                                              <w:divBdr>
                                                <w:top w:val="none" w:sz="0" w:space="0" w:color="auto"/>
                                                <w:left w:val="none" w:sz="0" w:space="0" w:color="auto"/>
                                                <w:bottom w:val="none" w:sz="0" w:space="0" w:color="auto"/>
                                                <w:right w:val="none" w:sz="0" w:space="0" w:color="auto"/>
                                              </w:divBdr>
                                              <w:divsChild>
                                                <w:div w:id="443961635">
                                                  <w:marLeft w:val="0"/>
                                                  <w:marRight w:val="0"/>
                                                  <w:marTop w:val="0"/>
                                                  <w:marBottom w:val="0"/>
                                                  <w:divBdr>
                                                    <w:top w:val="none" w:sz="0" w:space="0" w:color="auto"/>
                                                    <w:left w:val="none" w:sz="0" w:space="0" w:color="auto"/>
                                                    <w:bottom w:val="single" w:sz="6" w:space="0" w:color="D7DEEA"/>
                                                    <w:right w:val="none" w:sz="0" w:space="0" w:color="auto"/>
                                                  </w:divBdr>
                                                  <w:divsChild>
                                                    <w:div w:id="115098539">
                                                      <w:marLeft w:val="0"/>
                                                      <w:marRight w:val="0"/>
                                                      <w:marTop w:val="0"/>
                                                      <w:marBottom w:val="0"/>
                                                      <w:divBdr>
                                                        <w:top w:val="none" w:sz="0" w:space="0" w:color="auto"/>
                                                        <w:left w:val="none" w:sz="0" w:space="0" w:color="auto"/>
                                                        <w:bottom w:val="none" w:sz="0" w:space="0" w:color="auto"/>
                                                        <w:right w:val="none" w:sz="0" w:space="0" w:color="auto"/>
                                                      </w:divBdr>
                                                      <w:divsChild>
                                                        <w:div w:id="359429685">
                                                          <w:marLeft w:val="0"/>
                                                          <w:marRight w:val="0"/>
                                                          <w:marTop w:val="0"/>
                                                          <w:marBottom w:val="0"/>
                                                          <w:divBdr>
                                                            <w:top w:val="none" w:sz="0" w:space="0" w:color="auto"/>
                                                            <w:left w:val="none" w:sz="0" w:space="0" w:color="auto"/>
                                                            <w:bottom w:val="none" w:sz="0" w:space="0" w:color="auto"/>
                                                            <w:right w:val="none" w:sz="0" w:space="0" w:color="auto"/>
                                                          </w:divBdr>
                                                          <w:divsChild>
                                                            <w:div w:id="1709062776">
                                                              <w:marLeft w:val="0"/>
                                                              <w:marRight w:val="0"/>
                                                              <w:marTop w:val="0"/>
                                                              <w:marBottom w:val="0"/>
                                                              <w:divBdr>
                                                                <w:top w:val="none" w:sz="0" w:space="0" w:color="auto"/>
                                                                <w:left w:val="none" w:sz="0" w:space="0" w:color="auto"/>
                                                                <w:bottom w:val="none" w:sz="0" w:space="0" w:color="auto"/>
                                                                <w:right w:val="none" w:sz="0" w:space="0" w:color="auto"/>
                                                              </w:divBdr>
                                                              <w:divsChild>
                                                                <w:div w:id="1032462441">
                                                                  <w:marLeft w:val="0"/>
                                                                  <w:marRight w:val="0"/>
                                                                  <w:marTop w:val="0"/>
                                                                  <w:marBottom w:val="0"/>
                                                                  <w:divBdr>
                                                                    <w:top w:val="none" w:sz="0" w:space="0" w:color="auto"/>
                                                                    <w:left w:val="none" w:sz="0" w:space="0" w:color="auto"/>
                                                                    <w:bottom w:val="none" w:sz="0" w:space="0" w:color="auto"/>
                                                                    <w:right w:val="none" w:sz="0" w:space="0" w:color="auto"/>
                                                                  </w:divBdr>
                                                                  <w:divsChild>
                                                                    <w:div w:id="3997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2238278">
      <w:bodyDiv w:val="1"/>
      <w:marLeft w:val="375"/>
      <w:marRight w:val="375"/>
      <w:marTop w:val="75"/>
      <w:marBottom w:val="75"/>
      <w:divBdr>
        <w:top w:val="none" w:sz="0" w:space="0" w:color="auto"/>
        <w:left w:val="none" w:sz="0" w:space="0" w:color="auto"/>
        <w:bottom w:val="none" w:sz="0" w:space="0" w:color="auto"/>
        <w:right w:val="none" w:sz="0" w:space="0" w:color="auto"/>
      </w:divBdr>
      <w:divsChild>
        <w:div w:id="685062445">
          <w:marLeft w:val="0"/>
          <w:marRight w:val="0"/>
          <w:marTop w:val="0"/>
          <w:marBottom w:val="0"/>
          <w:divBdr>
            <w:top w:val="none" w:sz="0" w:space="0" w:color="auto"/>
            <w:left w:val="none" w:sz="0" w:space="0" w:color="auto"/>
            <w:bottom w:val="none" w:sz="0" w:space="0" w:color="auto"/>
            <w:right w:val="none" w:sz="0" w:space="0" w:color="auto"/>
          </w:divBdr>
          <w:divsChild>
            <w:div w:id="1737119127">
              <w:marLeft w:val="0"/>
              <w:marRight w:val="0"/>
              <w:marTop w:val="0"/>
              <w:marBottom w:val="0"/>
              <w:divBdr>
                <w:top w:val="none" w:sz="0" w:space="0" w:color="auto"/>
                <w:left w:val="none" w:sz="0" w:space="0" w:color="auto"/>
                <w:bottom w:val="none" w:sz="0" w:space="0" w:color="auto"/>
                <w:right w:val="none" w:sz="0" w:space="0" w:color="auto"/>
              </w:divBdr>
              <w:divsChild>
                <w:div w:id="1613516201">
                  <w:marLeft w:val="0"/>
                  <w:marRight w:val="0"/>
                  <w:marTop w:val="0"/>
                  <w:marBottom w:val="0"/>
                  <w:divBdr>
                    <w:top w:val="none" w:sz="0" w:space="0" w:color="auto"/>
                    <w:left w:val="none" w:sz="0" w:space="0" w:color="auto"/>
                    <w:bottom w:val="none" w:sz="0" w:space="0" w:color="auto"/>
                    <w:right w:val="none" w:sz="0" w:space="0" w:color="auto"/>
                  </w:divBdr>
                  <w:divsChild>
                    <w:div w:id="1268659576">
                      <w:marLeft w:val="0"/>
                      <w:marRight w:val="0"/>
                      <w:marTop w:val="0"/>
                      <w:marBottom w:val="0"/>
                      <w:divBdr>
                        <w:top w:val="none" w:sz="0" w:space="0" w:color="auto"/>
                        <w:left w:val="none" w:sz="0" w:space="0" w:color="auto"/>
                        <w:bottom w:val="none" w:sz="0" w:space="0" w:color="auto"/>
                        <w:right w:val="none" w:sz="0" w:space="0" w:color="auto"/>
                      </w:divBdr>
                      <w:divsChild>
                        <w:div w:id="122818703">
                          <w:marLeft w:val="0"/>
                          <w:marRight w:val="0"/>
                          <w:marTop w:val="0"/>
                          <w:marBottom w:val="0"/>
                          <w:divBdr>
                            <w:top w:val="none" w:sz="0" w:space="0" w:color="auto"/>
                            <w:left w:val="none" w:sz="0" w:space="0" w:color="auto"/>
                            <w:bottom w:val="none" w:sz="0" w:space="0" w:color="auto"/>
                            <w:right w:val="none" w:sz="0" w:space="0" w:color="auto"/>
                          </w:divBdr>
                        </w:div>
                        <w:div w:id="11570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81C9B-D308-4D0D-ABD5-A3CCE05C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hc_judg2k.dot</Template>
  <TotalTime>0</TotalTime>
  <Pages>17</Pages>
  <Words>7390</Words>
  <Characters>42124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49416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Joe Ury</cp:lastModifiedBy>
  <cp:revision>2</cp:revision>
  <cp:lastPrinted>2017-03-08T08:43:00Z</cp:lastPrinted>
  <dcterms:created xsi:type="dcterms:W3CDTF">2017-03-08T15:03:00Z</dcterms:created>
  <dcterms:modified xsi:type="dcterms:W3CDTF">2017-03-08T15:03:00Z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CaseNum">
    <vt:lpwstr>LU15C03851</vt:lpwstr>
  </property>
  <property fmtid="{D5CDD505-2E9C-101B-9397-08002B2CF9AE}" pid="9" name="NCJudge">
    <vt:lpwstr>THE HONOURABLE MR. JUSTICE COBB</vt:lpwstr>
  </property>
  <property fmtid="{D5CDD505-2E9C-101B-9397-08002B2CF9AE}" pid="10" name="NCJudgeDate">
    <vt:lpwstr>08/03/2017</vt:lpwstr>
  </property>
  <property fmtid="{D5CDD505-2E9C-101B-9397-08002B2CF9AE}" pid="11" name="NCNumber">
    <vt:lpwstr>[2017] EWHC 450 (Fam)</vt:lpwstr>
  </property>
  <property fmtid="{D5CDD505-2E9C-101B-9397-08002B2CF9AE}" pid="12" name="NCCaseTitle">
    <vt:lpwstr>Luton BC v PW, SW, TW</vt:lpwstr>
  </property>
</Properties>
</file>