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1D33" w14:textId="197F9512" w:rsidR="005E2342" w:rsidRDefault="005F66F7" w:rsidP="001D0164">
      <w:pPr>
        <w:jc w:val="center"/>
      </w:pPr>
      <w:r>
        <w:rPr>
          <w:noProof/>
        </w:rPr>
        <w:drawing>
          <wp:inline distT="0" distB="0" distL="0" distR="0" wp14:anchorId="2F472309" wp14:editId="60042155">
            <wp:extent cx="971550" cy="95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58850"/>
                    </a:xfrm>
                    <a:prstGeom prst="rect">
                      <a:avLst/>
                    </a:prstGeom>
                    <a:noFill/>
                    <a:ln>
                      <a:noFill/>
                    </a:ln>
                  </pic:spPr>
                </pic:pic>
              </a:graphicData>
            </a:graphic>
          </wp:inline>
        </w:drawing>
      </w:r>
    </w:p>
    <w:p w14:paraId="5340435B" w14:textId="77777777" w:rsidR="001D0164" w:rsidRPr="00333DA5" w:rsidRDefault="001D0164">
      <w:pPr>
        <w:jc w:val="center"/>
      </w:pPr>
    </w:p>
    <w:p w14:paraId="1B0EE12C" w14:textId="1F18EF39" w:rsidR="005F66F7" w:rsidRPr="005F66F7" w:rsidRDefault="005E2342" w:rsidP="005F66F7">
      <w:pPr>
        <w:pStyle w:val="CoverText"/>
        <w:jc w:val="left"/>
        <w:rPr>
          <w:bCs/>
          <w:szCs w:val="24"/>
        </w:rPr>
      </w:pPr>
      <w:r w:rsidRPr="00333DA5">
        <w:rPr>
          <w:bCs/>
          <w:szCs w:val="24"/>
        </w:rPr>
        <w:t xml:space="preserve">Neutral Citation Number: </w:t>
      </w:r>
      <w:r w:rsidR="005F66F7">
        <w:rPr>
          <w:bCs/>
          <w:szCs w:val="24"/>
        </w:rPr>
        <w:t>[2022] EWFC 78</w:t>
      </w:r>
    </w:p>
    <w:p w14:paraId="6B6773A1" w14:textId="77777777" w:rsidR="005F66F7" w:rsidRPr="00333DA5" w:rsidRDefault="005F66F7">
      <w:pPr>
        <w:pStyle w:val="CoverText"/>
        <w:jc w:val="left"/>
        <w:rPr>
          <w:bCs/>
          <w:szCs w:val="24"/>
          <w:u w:val="none"/>
        </w:rPr>
      </w:pPr>
    </w:p>
    <w:p w14:paraId="600A3CF6" w14:textId="7B5A5ACF" w:rsidR="005E2342" w:rsidRPr="00333DA5" w:rsidRDefault="005E2342">
      <w:pPr>
        <w:pStyle w:val="CoverText"/>
        <w:rPr>
          <w:b/>
          <w:spacing w:val="-3"/>
          <w:szCs w:val="24"/>
        </w:rPr>
      </w:pPr>
      <w:r w:rsidRPr="00333DA5">
        <w:rPr>
          <w:szCs w:val="24"/>
        </w:rPr>
        <w:t xml:space="preserve">Case No: </w:t>
      </w:r>
      <w:r w:rsidR="00B70DFE" w:rsidRPr="00333DA5">
        <w:rPr>
          <w:szCs w:val="24"/>
        </w:rPr>
        <w:t>ZZ20D05011</w:t>
      </w:r>
    </w:p>
    <w:p w14:paraId="03D1A334" w14:textId="0A7AD2A1" w:rsidR="005E2342" w:rsidRPr="00333DA5"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333DA5">
        <w:rPr>
          <w:szCs w:val="24"/>
        </w:rPr>
        <w:t xml:space="preserve">IN THE </w:t>
      </w:r>
      <w:r w:rsidR="00CB5D49" w:rsidRPr="00333DA5">
        <w:rPr>
          <w:szCs w:val="24"/>
        </w:rPr>
        <w:t xml:space="preserve">FAMILY COURT </w:t>
      </w:r>
    </w:p>
    <w:p w14:paraId="24EF114E" w14:textId="0159B1E4" w:rsidR="00CB5D49" w:rsidRPr="00333DA5" w:rsidRDefault="00CB5D4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333DA5">
        <w:rPr>
          <w:szCs w:val="24"/>
        </w:rPr>
        <w:t>Sitting at the ROYAL COURTS OF JUSTICE</w:t>
      </w:r>
    </w:p>
    <w:p w14:paraId="6B4D5BF1" w14:textId="5B61A192" w:rsidR="00E22DFD" w:rsidRPr="00333DA5" w:rsidRDefault="00E22DFD">
      <w:pPr>
        <w:suppressAutoHyphens/>
        <w:rPr>
          <w:b/>
          <w:spacing w:val="-3"/>
          <w:u w:val="single"/>
        </w:rPr>
      </w:pPr>
      <w:r w:rsidRPr="00333DA5">
        <w:rPr>
          <w:b/>
          <w:spacing w:val="-3"/>
          <w:u w:val="single"/>
        </w:rPr>
        <w:t xml:space="preserve">IN THE MATTER OF SECTION 31F </w:t>
      </w:r>
      <w:r w:rsidR="005A6501" w:rsidRPr="00333DA5">
        <w:rPr>
          <w:b/>
          <w:spacing w:val="-3"/>
          <w:u w:val="single"/>
        </w:rPr>
        <w:t>MATRIMONIAL AND FAMILY PROCEEDINGS ACT 1984</w:t>
      </w:r>
    </w:p>
    <w:p w14:paraId="603051CC" w14:textId="77777777" w:rsidR="005E2342" w:rsidRPr="00333DA5" w:rsidRDefault="005E2342">
      <w:pPr>
        <w:suppressAutoHyphens/>
        <w:rPr>
          <w:b/>
          <w:spacing w:val="-3"/>
          <w:u w:val="single"/>
        </w:rPr>
      </w:pPr>
    </w:p>
    <w:p w14:paraId="38BEFA38" w14:textId="77777777" w:rsidR="005E2342" w:rsidRPr="00333DA5" w:rsidRDefault="005E2342">
      <w:pPr>
        <w:pStyle w:val="CoverText"/>
        <w:rPr>
          <w:szCs w:val="24"/>
        </w:rPr>
      </w:pPr>
      <w:r w:rsidRPr="00333DA5">
        <w:rPr>
          <w:szCs w:val="24"/>
        </w:rPr>
        <w:t>Royal Courts of Justice</w:t>
      </w:r>
    </w:p>
    <w:p w14:paraId="1191FA88" w14:textId="77777777" w:rsidR="005E2342" w:rsidRPr="00333DA5" w:rsidRDefault="005E2342">
      <w:pPr>
        <w:pStyle w:val="CoverText"/>
        <w:rPr>
          <w:szCs w:val="24"/>
        </w:rPr>
      </w:pPr>
      <w:r w:rsidRPr="00333DA5">
        <w:rPr>
          <w:szCs w:val="24"/>
        </w:rPr>
        <w:t>Strand, London, WC2A 2LL</w:t>
      </w:r>
    </w:p>
    <w:p w14:paraId="2844F21F" w14:textId="77777777" w:rsidR="005E2342" w:rsidRPr="00333DA5" w:rsidRDefault="005E2342">
      <w:pPr>
        <w:suppressAutoHyphens/>
        <w:jc w:val="right"/>
        <w:rPr>
          <w:spacing w:val="-3"/>
          <w:u w:val="single"/>
        </w:rPr>
      </w:pPr>
    </w:p>
    <w:p w14:paraId="78096A5F" w14:textId="38CCBEF0" w:rsidR="005E2342" w:rsidRPr="00333DA5" w:rsidRDefault="005E2342">
      <w:pPr>
        <w:pStyle w:val="CoverText"/>
        <w:rPr>
          <w:b/>
          <w:szCs w:val="24"/>
        </w:rPr>
      </w:pPr>
      <w:r w:rsidRPr="00333DA5">
        <w:rPr>
          <w:szCs w:val="24"/>
        </w:rPr>
        <w:t xml:space="preserve">Date: </w:t>
      </w:r>
      <w:r w:rsidR="00B70DFE" w:rsidRPr="00333DA5">
        <w:rPr>
          <w:szCs w:val="24"/>
        </w:rPr>
        <w:t>08</w:t>
      </w:r>
      <w:r w:rsidR="005A6501" w:rsidRPr="00333DA5">
        <w:rPr>
          <w:szCs w:val="24"/>
        </w:rPr>
        <w:t>/0</w:t>
      </w:r>
      <w:r w:rsidR="00B70DFE" w:rsidRPr="00333DA5">
        <w:rPr>
          <w:szCs w:val="24"/>
        </w:rPr>
        <w:t>7</w:t>
      </w:r>
      <w:r w:rsidR="005A6501" w:rsidRPr="00333DA5">
        <w:rPr>
          <w:szCs w:val="24"/>
        </w:rPr>
        <w:t>/2022</w:t>
      </w:r>
    </w:p>
    <w:p w14:paraId="1C42B9EC" w14:textId="77777777" w:rsidR="005E2342" w:rsidRPr="00333DA5" w:rsidRDefault="005E2342">
      <w:pPr>
        <w:suppressAutoHyphens/>
        <w:rPr>
          <w:spacing w:val="-3"/>
        </w:rPr>
      </w:pPr>
    </w:p>
    <w:p w14:paraId="46E34C81" w14:textId="446FC33F" w:rsidR="005E2342" w:rsidRPr="00333DA5" w:rsidRDefault="005E2342">
      <w:pPr>
        <w:suppressAutoHyphens/>
        <w:jc w:val="center"/>
        <w:rPr>
          <w:spacing w:val="-3"/>
        </w:rPr>
      </w:pPr>
      <w:r w:rsidRPr="00333DA5">
        <w:rPr>
          <w:b/>
          <w:spacing w:val="-3"/>
        </w:rPr>
        <w:t>Before</w:t>
      </w:r>
      <w:r w:rsidRPr="00333DA5">
        <w:rPr>
          <w:spacing w:val="-3"/>
        </w:rPr>
        <w:t>:</w:t>
      </w:r>
    </w:p>
    <w:p w14:paraId="18FACC6E" w14:textId="77777777" w:rsidR="005E2342" w:rsidRPr="00333DA5" w:rsidRDefault="005E2342">
      <w:pPr>
        <w:suppressAutoHyphens/>
        <w:jc w:val="center"/>
        <w:rPr>
          <w:spacing w:val="-3"/>
        </w:rPr>
      </w:pPr>
    </w:p>
    <w:p w14:paraId="68814A16" w14:textId="5DEDDB8E" w:rsidR="005E2342" w:rsidRPr="00333DA5" w:rsidRDefault="003A40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333DA5">
        <w:rPr>
          <w:szCs w:val="24"/>
        </w:rPr>
        <w:t>THE HONOURABLE MR JUSTICE COBB</w:t>
      </w:r>
    </w:p>
    <w:p w14:paraId="43041BB0" w14:textId="77777777" w:rsidR="005E2342" w:rsidRPr="00333DA5" w:rsidRDefault="005E2342">
      <w:pPr>
        <w:suppressAutoHyphens/>
        <w:jc w:val="center"/>
        <w:rPr>
          <w:spacing w:val="-3"/>
        </w:rPr>
      </w:pPr>
      <w:r w:rsidRPr="00333DA5">
        <w:rPr>
          <w:spacing w:val="-3"/>
        </w:rPr>
        <w:t>- - - - - - - - - - - - - - - - - - - - -</w:t>
      </w:r>
    </w:p>
    <w:p w14:paraId="0FA705C8" w14:textId="0EA22720" w:rsidR="005E2342" w:rsidRPr="00333DA5" w:rsidRDefault="005E2342">
      <w:pPr>
        <w:suppressAutoHyphens/>
        <w:jc w:val="center"/>
        <w:rPr>
          <w:b/>
          <w:spacing w:val="-3"/>
        </w:rPr>
      </w:pPr>
      <w:r w:rsidRPr="00333DA5">
        <w:rPr>
          <w:b/>
          <w:spacing w:val="-3"/>
        </w:rPr>
        <w:t>Between:</w:t>
      </w:r>
    </w:p>
    <w:p w14:paraId="15959124" w14:textId="77777777" w:rsidR="005E2342" w:rsidRPr="00333DA5"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rsidRPr="00333DA5" w14:paraId="33B8C4FB" w14:textId="77777777">
        <w:trPr>
          <w:jc w:val="center"/>
        </w:trPr>
        <w:tc>
          <w:tcPr>
            <w:tcW w:w="1701" w:type="dxa"/>
          </w:tcPr>
          <w:p w14:paraId="25EDD07F" w14:textId="77777777" w:rsidR="005E2342" w:rsidRPr="00333DA5" w:rsidRDefault="005E2342">
            <w:pPr>
              <w:suppressAutoHyphens/>
              <w:rPr>
                <w:b/>
                <w:spacing w:val="-3"/>
              </w:rPr>
            </w:pPr>
          </w:p>
        </w:tc>
        <w:tc>
          <w:tcPr>
            <w:tcW w:w="5333" w:type="dxa"/>
          </w:tcPr>
          <w:p w14:paraId="2F645761" w14:textId="0BAE32DC" w:rsidR="005E2342" w:rsidRPr="00333DA5" w:rsidRDefault="00C86496">
            <w:pPr>
              <w:suppressAutoHyphens/>
              <w:jc w:val="center"/>
              <w:rPr>
                <w:b/>
                <w:spacing w:val="-3"/>
              </w:rPr>
            </w:pPr>
            <w:r w:rsidRPr="00333DA5">
              <w:rPr>
                <w:b/>
                <w:spacing w:val="-3"/>
              </w:rPr>
              <w:t>N</w:t>
            </w:r>
            <w:r w:rsidR="00435715" w:rsidRPr="00333DA5">
              <w:rPr>
                <w:b/>
                <w:spacing w:val="-3"/>
              </w:rPr>
              <w:t>P</w:t>
            </w:r>
          </w:p>
        </w:tc>
        <w:tc>
          <w:tcPr>
            <w:tcW w:w="1707" w:type="dxa"/>
          </w:tcPr>
          <w:p w14:paraId="3778E367" w14:textId="77777777" w:rsidR="005E2342" w:rsidRPr="00333DA5" w:rsidRDefault="004357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333DA5">
              <w:rPr>
                <w:szCs w:val="24"/>
              </w:rPr>
              <w:t>Applicant</w:t>
            </w:r>
          </w:p>
        </w:tc>
      </w:tr>
      <w:tr w:rsidR="005E2342" w:rsidRPr="00333DA5" w14:paraId="2A58D2D4" w14:textId="77777777">
        <w:trPr>
          <w:jc w:val="center"/>
        </w:trPr>
        <w:tc>
          <w:tcPr>
            <w:tcW w:w="1701" w:type="dxa"/>
          </w:tcPr>
          <w:p w14:paraId="52698D80" w14:textId="77777777" w:rsidR="005E2342" w:rsidRPr="00333DA5" w:rsidRDefault="005E2342">
            <w:pPr>
              <w:suppressAutoHyphens/>
              <w:rPr>
                <w:b/>
                <w:spacing w:val="-3"/>
              </w:rPr>
            </w:pPr>
          </w:p>
        </w:tc>
        <w:tc>
          <w:tcPr>
            <w:tcW w:w="5333" w:type="dxa"/>
          </w:tcPr>
          <w:p w14:paraId="366649CF" w14:textId="77777777" w:rsidR="005E2342" w:rsidRPr="00333DA5" w:rsidRDefault="005E2342">
            <w:pPr>
              <w:suppressAutoHyphens/>
              <w:jc w:val="center"/>
              <w:rPr>
                <w:b/>
                <w:spacing w:val="-3"/>
              </w:rPr>
            </w:pPr>
            <w:r w:rsidRPr="00333DA5">
              <w:rPr>
                <w:b/>
                <w:spacing w:val="-3"/>
              </w:rPr>
              <w:t>- and -</w:t>
            </w:r>
          </w:p>
        </w:tc>
        <w:tc>
          <w:tcPr>
            <w:tcW w:w="1707" w:type="dxa"/>
          </w:tcPr>
          <w:p w14:paraId="0D2A49AB" w14:textId="77777777" w:rsidR="005E2342" w:rsidRPr="00333DA5"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tc>
      </w:tr>
      <w:tr w:rsidR="005E2342" w:rsidRPr="00333DA5" w14:paraId="2B41EB32" w14:textId="77777777">
        <w:trPr>
          <w:jc w:val="center"/>
        </w:trPr>
        <w:tc>
          <w:tcPr>
            <w:tcW w:w="1701" w:type="dxa"/>
          </w:tcPr>
          <w:p w14:paraId="2C9CE137" w14:textId="77777777" w:rsidR="005E2342" w:rsidRPr="00333DA5" w:rsidRDefault="005E2342">
            <w:pPr>
              <w:suppressAutoHyphens/>
              <w:rPr>
                <w:b/>
                <w:spacing w:val="-3"/>
              </w:rPr>
            </w:pPr>
          </w:p>
        </w:tc>
        <w:tc>
          <w:tcPr>
            <w:tcW w:w="5333" w:type="dxa"/>
          </w:tcPr>
          <w:p w14:paraId="1978B86D" w14:textId="34E1E4C2" w:rsidR="005E2342" w:rsidRPr="00333DA5" w:rsidRDefault="00C86496">
            <w:pPr>
              <w:suppressAutoHyphens/>
              <w:jc w:val="center"/>
              <w:rPr>
                <w:b/>
                <w:spacing w:val="-3"/>
              </w:rPr>
            </w:pPr>
            <w:r w:rsidRPr="00333DA5">
              <w:rPr>
                <w:b/>
                <w:spacing w:val="-3"/>
              </w:rPr>
              <w:t>T</w:t>
            </w:r>
            <w:r w:rsidR="00435715" w:rsidRPr="00333DA5">
              <w:rPr>
                <w:b/>
                <w:spacing w:val="-3"/>
              </w:rPr>
              <w:t>P</w:t>
            </w:r>
          </w:p>
        </w:tc>
        <w:tc>
          <w:tcPr>
            <w:tcW w:w="1707" w:type="dxa"/>
          </w:tcPr>
          <w:p w14:paraId="4747DEFA" w14:textId="77777777" w:rsidR="005E2342" w:rsidRPr="00333DA5" w:rsidRDefault="004357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333DA5">
              <w:rPr>
                <w:szCs w:val="24"/>
              </w:rPr>
              <w:t>Respondent</w:t>
            </w:r>
          </w:p>
        </w:tc>
      </w:tr>
    </w:tbl>
    <w:p w14:paraId="1AE8B6DB" w14:textId="77777777" w:rsidR="005E2342" w:rsidRPr="00333DA5" w:rsidRDefault="005E2342">
      <w:pPr>
        <w:suppressAutoHyphens/>
        <w:rPr>
          <w:b/>
          <w:spacing w:val="-3"/>
        </w:rPr>
      </w:pPr>
    </w:p>
    <w:p w14:paraId="6CBBB34B" w14:textId="21C5CA5E" w:rsidR="005E2342" w:rsidRPr="00333DA5" w:rsidRDefault="005E2342">
      <w:pPr>
        <w:suppressAutoHyphens/>
        <w:jc w:val="center"/>
        <w:rPr>
          <w:spacing w:val="-3"/>
        </w:rPr>
      </w:pPr>
      <w:r w:rsidRPr="00333DA5">
        <w:rPr>
          <w:spacing w:val="-3"/>
        </w:rPr>
        <w:t>- - - - - - - - - - - - - - - - - - - - -</w:t>
      </w:r>
    </w:p>
    <w:p w14:paraId="3BF12F12" w14:textId="68EAB66F" w:rsidR="00B70DFE" w:rsidRPr="00333DA5" w:rsidRDefault="00B70DFE">
      <w:pPr>
        <w:suppressAutoHyphens/>
        <w:jc w:val="center"/>
        <w:rPr>
          <w:b/>
          <w:bCs/>
          <w:spacing w:val="-3"/>
        </w:rPr>
      </w:pPr>
      <w:r w:rsidRPr="00333DA5">
        <w:rPr>
          <w:b/>
          <w:bCs/>
          <w:spacing w:val="-3"/>
        </w:rPr>
        <w:t xml:space="preserve">NP v TP (Divorce: Application for </w:t>
      </w:r>
      <w:r w:rsidR="00F02DDA" w:rsidRPr="00333DA5">
        <w:rPr>
          <w:b/>
          <w:bCs/>
          <w:spacing w:val="-3"/>
        </w:rPr>
        <w:t>R</w:t>
      </w:r>
      <w:r w:rsidRPr="00333DA5">
        <w:rPr>
          <w:b/>
          <w:bCs/>
          <w:spacing w:val="-3"/>
        </w:rPr>
        <w:t>escission of Order)</w:t>
      </w:r>
    </w:p>
    <w:p w14:paraId="77DA25E0" w14:textId="77777777" w:rsidR="005E2342" w:rsidRPr="00333DA5" w:rsidRDefault="005E2342">
      <w:pPr>
        <w:suppressAutoHyphens/>
        <w:jc w:val="center"/>
        <w:rPr>
          <w:spacing w:val="-3"/>
        </w:rPr>
      </w:pPr>
      <w:r w:rsidRPr="00333DA5">
        <w:rPr>
          <w:spacing w:val="-3"/>
        </w:rPr>
        <w:t>- - - - - - - - - - - - - - - - - - - - -</w:t>
      </w:r>
    </w:p>
    <w:p w14:paraId="06EBF64B" w14:textId="77777777" w:rsidR="005E2342" w:rsidRPr="00333DA5" w:rsidRDefault="005E2342">
      <w:pPr>
        <w:suppressAutoHyphens/>
        <w:jc w:val="center"/>
        <w:rPr>
          <w:spacing w:val="-3"/>
        </w:rPr>
      </w:pPr>
    </w:p>
    <w:p w14:paraId="25544EB9" w14:textId="01FCAC7D" w:rsidR="005E2342" w:rsidRPr="00333DA5" w:rsidRDefault="005A6501">
      <w:pPr>
        <w:suppressAutoHyphens/>
        <w:jc w:val="center"/>
        <w:rPr>
          <w:b/>
          <w:spacing w:val="-3"/>
        </w:rPr>
      </w:pPr>
      <w:r w:rsidRPr="00333DA5">
        <w:rPr>
          <w:b/>
          <w:spacing w:val="-3"/>
        </w:rPr>
        <w:t>Roger Birch</w:t>
      </w:r>
      <w:r w:rsidR="005E2342" w:rsidRPr="00333DA5">
        <w:rPr>
          <w:b/>
          <w:spacing w:val="-3"/>
        </w:rPr>
        <w:t xml:space="preserve"> </w:t>
      </w:r>
      <w:r w:rsidR="005E2342" w:rsidRPr="00333DA5">
        <w:rPr>
          <w:bCs/>
          <w:spacing w:val="-3"/>
        </w:rPr>
        <w:t>(instructed by</w:t>
      </w:r>
      <w:r w:rsidR="005E2342" w:rsidRPr="00333DA5">
        <w:rPr>
          <w:b/>
          <w:spacing w:val="-3"/>
        </w:rPr>
        <w:t xml:space="preserve"> </w:t>
      </w:r>
      <w:r w:rsidRPr="00333DA5">
        <w:rPr>
          <w:b/>
          <w:spacing w:val="-3"/>
        </w:rPr>
        <w:t>Direct Access</w:t>
      </w:r>
      <w:r w:rsidR="005E2342" w:rsidRPr="00333DA5">
        <w:rPr>
          <w:bCs/>
          <w:spacing w:val="-3"/>
        </w:rPr>
        <w:t>) for the</w:t>
      </w:r>
      <w:r w:rsidR="005E2342" w:rsidRPr="00333DA5">
        <w:rPr>
          <w:spacing w:val="-3"/>
        </w:rPr>
        <w:t xml:space="preserve"> </w:t>
      </w:r>
      <w:r w:rsidRPr="00333DA5">
        <w:rPr>
          <w:b/>
          <w:bCs/>
          <w:spacing w:val="-3"/>
        </w:rPr>
        <w:t>Applicant</w:t>
      </w:r>
      <w:r w:rsidRPr="00333DA5">
        <w:rPr>
          <w:spacing w:val="-3"/>
        </w:rPr>
        <w:t xml:space="preserve"> (Husband</w:t>
      </w:r>
      <w:r w:rsidR="00F02DDA" w:rsidRPr="00333DA5">
        <w:rPr>
          <w:spacing w:val="-3"/>
        </w:rPr>
        <w:t>: NP</w:t>
      </w:r>
      <w:r w:rsidRPr="00333DA5">
        <w:rPr>
          <w:spacing w:val="-3"/>
        </w:rPr>
        <w:t>)</w:t>
      </w:r>
      <w:r w:rsidRPr="00333DA5">
        <w:rPr>
          <w:b/>
          <w:spacing w:val="-3"/>
        </w:rPr>
        <w:t xml:space="preserve"> </w:t>
      </w:r>
    </w:p>
    <w:p w14:paraId="2E5CE0E1" w14:textId="3BA96BEE" w:rsidR="005E2342" w:rsidRPr="00333DA5" w:rsidRDefault="00664850">
      <w:pPr>
        <w:suppressAutoHyphens/>
        <w:jc w:val="center"/>
        <w:rPr>
          <w:bCs/>
          <w:spacing w:val="-3"/>
        </w:rPr>
      </w:pPr>
      <w:r w:rsidRPr="00333DA5">
        <w:rPr>
          <w:bCs/>
          <w:spacing w:val="-3"/>
        </w:rPr>
        <w:t>The</w:t>
      </w:r>
      <w:r w:rsidRPr="00333DA5">
        <w:rPr>
          <w:b/>
          <w:spacing w:val="-3"/>
        </w:rPr>
        <w:t xml:space="preserve"> Respondent </w:t>
      </w:r>
      <w:r w:rsidRPr="00333DA5">
        <w:rPr>
          <w:bCs/>
          <w:spacing w:val="-3"/>
        </w:rPr>
        <w:t>(</w:t>
      </w:r>
      <w:r w:rsidR="00F02DDA" w:rsidRPr="00333DA5">
        <w:rPr>
          <w:bCs/>
          <w:spacing w:val="-3"/>
        </w:rPr>
        <w:t>W</w:t>
      </w:r>
      <w:r w:rsidRPr="00333DA5">
        <w:rPr>
          <w:bCs/>
          <w:spacing w:val="-3"/>
        </w:rPr>
        <w:t>ife</w:t>
      </w:r>
      <w:r w:rsidR="00F02DDA" w:rsidRPr="00333DA5">
        <w:rPr>
          <w:bCs/>
          <w:spacing w:val="-3"/>
        </w:rPr>
        <w:t>: TP</w:t>
      </w:r>
      <w:r w:rsidRPr="00333DA5">
        <w:rPr>
          <w:bCs/>
          <w:spacing w:val="-3"/>
        </w:rPr>
        <w:t xml:space="preserve">) in person. </w:t>
      </w:r>
    </w:p>
    <w:p w14:paraId="3C2BF121" w14:textId="77777777" w:rsidR="005E2342" w:rsidRPr="00333DA5" w:rsidRDefault="005E2342">
      <w:pPr>
        <w:suppressAutoHyphens/>
        <w:jc w:val="center"/>
        <w:rPr>
          <w:b/>
          <w:spacing w:val="-3"/>
        </w:rPr>
      </w:pPr>
    </w:p>
    <w:p w14:paraId="7CCE4D36" w14:textId="1B0681AA" w:rsidR="005E2342" w:rsidRPr="00333DA5" w:rsidRDefault="005E2342">
      <w:pPr>
        <w:suppressAutoHyphens/>
        <w:jc w:val="center"/>
        <w:rPr>
          <w:spacing w:val="-3"/>
        </w:rPr>
      </w:pPr>
      <w:r w:rsidRPr="00333DA5">
        <w:rPr>
          <w:spacing w:val="-3"/>
        </w:rPr>
        <w:t xml:space="preserve">Hearing dates: </w:t>
      </w:r>
      <w:r w:rsidR="00294575" w:rsidRPr="00333DA5">
        <w:rPr>
          <w:spacing w:val="-3"/>
        </w:rPr>
        <w:t>17 June 2022</w:t>
      </w:r>
    </w:p>
    <w:p w14:paraId="117502BC" w14:textId="77777777" w:rsidR="005E2342" w:rsidRPr="00333DA5" w:rsidRDefault="005E2342">
      <w:pPr>
        <w:suppressAutoHyphens/>
        <w:jc w:val="center"/>
        <w:rPr>
          <w:spacing w:val="-3"/>
        </w:rPr>
      </w:pPr>
      <w:r w:rsidRPr="00333DA5">
        <w:rPr>
          <w:spacing w:val="-3"/>
        </w:rPr>
        <w:t>- - - - - - - - - - - - - - - - - - - - -</w:t>
      </w:r>
    </w:p>
    <w:p w14:paraId="50F6B259" w14:textId="31930D48" w:rsidR="005E2342" w:rsidRDefault="001D0164" w:rsidP="001D0164">
      <w:pPr>
        <w:pStyle w:val="CoverDesc"/>
      </w:pPr>
      <w:r>
        <w:t>Approved Judgment</w:t>
      </w:r>
    </w:p>
    <w:p w14:paraId="4DD6360B" w14:textId="4CE0F262" w:rsidR="001D0164" w:rsidRDefault="001D0164" w:rsidP="001D0164">
      <w:pPr>
        <w:jc w:val="center"/>
      </w:pPr>
      <w:r>
        <w:t>I direct that no official shorthand note shall be taken of this Judgment and that copies of this version as handed down may be treated as authentic.</w:t>
      </w:r>
    </w:p>
    <w:p w14:paraId="21F21C95" w14:textId="77777777" w:rsidR="001D0164" w:rsidRDefault="001D0164" w:rsidP="001D0164">
      <w:pPr>
        <w:jc w:val="center"/>
      </w:pPr>
    </w:p>
    <w:p w14:paraId="760FD76E" w14:textId="77777777" w:rsidR="001D0164" w:rsidRDefault="001D0164" w:rsidP="001D0164">
      <w:pPr>
        <w:jc w:val="center"/>
      </w:pPr>
    </w:p>
    <w:p w14:paraId="22FA10F8" w14:textId="77777777" w:rsidR="001D0164" w:rsidRDefault="001D0164" w:rsidP="001D0164">
      <w:pPr>
        <w:jc w:val="center"/>
      </w:pPr>
      <w:r>
        <w:t>.............................</w:t>
      </w:r>
    </w:p>
    <w:p w14:paraId="69C10E5A" w14:textId="77777777" w:rsidR="001D0164" w:rsidRDefault="001D0164" w:rsidP="001D0164">
      <w:pPr>
        <w:jc w:val="center"/>
      </w:pPr>
    </w:p>
    <w:p w14:paraId="71714B4F" w14:textId="61DBAD59" w:rsidR="001D0164" w:rsidRDefault="001D0164" w:rsidP="001D0164">
      <w:pPr>
        <w:jc w:val="center"/>
      </w:pPr>
      <w:r>
        <w:t>THE HONOURABLE MR JUSTICE COBB</w:t>
      </w:r>
    </w:p>
    <w:p w14:paraId="000CD5F0" w14:textId="77777777" w:rsidR="001D0164" w:rsidRDefault="001D0164" w:rsidP="001D0164">
      <w:pPr>
        <w:jc w:val="both"/>
      </w:pPr>
    </w:p>
    <w:p w14:paraId="4396238C" w14:textId="242D8161" w:rsidR="001D0164" w:rsidRPr="001D0164" w:rsidRDefault="001D0164" w:rsidP="001D0164">
      <w:pPr>
        <w:jc w:val="both"/>
      </w:pPr>
      <w:r>
        <w:t>This judgment was delivered in private.   The judge has given leave for this version of the judgment to be published on condition that (irrespective of what is contained in the judgment) in any published version of the judgment the anonymity of the children and members of their family must be strictly preserved.   All persons, including representatives of the media, must ensure that this condition is strictly complied with.   Failure to do so will be a contempt of court.</w:t>
      </w:r>
    </w:p>
    <w:p w14:paraId="1B5A7461" w14:textId="77777777" w:rsidR="005E2342" w:rsidRPr="00333DA5" w:rsidRDefault="005E2342">
      <w:pPr>
        <w:sectPr w:rsidR="005E2342" w:rsidRPr="00333DA5">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14:paraId="782F729E" w14:textId="7DC3A4ED" w:rsidR="005E2342" w:rsidRPr="00333DA5" w:rsidRDefault="00D245ED">
      <w:pPr>
        <w:spacing w:after="240"/>
      </w:pPr>
      <w:r w:rsidRPr="00333DA5">
        <w:rPr>
          <w:b/>
        </w:rPr>
        <w:lastRenderedPageBreak/>
        <w:t>The Honourable Mr Justice Cobb</w:t>
      </w:r>
      <w:r w:rsidR="005E2342" w:rsidRPr="00333DA5">
        <w:rPr>
          <w:b/>
        </w:rPr>
        <w:t>:</w:t>
      </w:r>
      <w:r w:rsidR="005E2342" w:rsidRPr="00333DA5">
        <w:t xml:space="preserve"> </w:t>
      </w:r>
    </w:p>
    <w:p w14:paraId="4F4D1F3E" w14:textId="77777777" w:rsidR="005E2342" w:rsidRPr="00333DA5" w:rsidRDefault="005E2342">
      <w:pPr>
        <w:pStyle w:val="ParaHeading"/>
        <w:rPr>
          <w:szCs w:val="24"/>
        </w:rPr>
        <w:sectPr w:rsidR="005E2342" w:rsidRPr="00333DA5">
          <w:headerReference w:type="default" r:id="rId15"/>
          <w:footerReference w:type="default" r:id="rId16"/>
          <w:pgSz w:w="11909" w:h="16834" w:code="9"/>
          <w:pgMar w:top="1440" w:right="1440" w:bottom="1440" w:left="1440" w:header="709" w:footer="709" w:gutter="0"/>
          <w:cols w:space="720"/>
          <w:formProt w:val="0"/>
        </w:sectPr>
      </w:pPr>
    </w:p>
    <w:p w14:paraId="793FB9DE" w14:textId="0DAAFD72" w:rsidR="00924B16" w:rsidRPr="00333DA5" w:rsidRDefault="00924B16" w:rsidP="001D0164">
      <w:pPr>
        <w:pStyle w:val="ParaLevel1"/>
        <w:numPr>
          <w:ilvl w:val="0"/>
          <w:numId w:val="0"/>
        </w:numPr>
        <w:ind w:left="720" w:hanging="720"/>
        <w:rPr>
          <w:i/>
          <w:iCs/>
          <w:szCs w:val="24"/>
        </w:rPr>
      </w:pPr>
      <w:r w:rsidRPr="00333DA5">
        <w:rPr>
          <w:i/>
          <w:iCs/>
          <w:szCs w:val="24"/>
        </w:rPr>
        <w:t>Introduction</w:t>
      </w:r>
    </w:p>
    <w:p w14:paraId="1BEB2698" w14:textId="41FE179E" w:rsidR="00631124" w:rsidRPr="00333DA5" w:rsidRDefault="001C2452" w:rsidP="001D0164">
      <w:pPr>
        <w:pStyle w:val="ParaLevel1"/>
        <w:rPr>
          <w:szCs w:val="24"/>
        </w:rPr>
      </w:pPr>
      <w:r w:rsidRPr="00333DA5">
        <w:rPr>
          <w:szCs w:val="24"/>
        </w:rPr>
        <w:t xml:space="preserve">The application before the court is made by NP, who I shall refer to as </w:t>
      </w:r>
      <w:r w:rsidR="003B2773" w:rsidRPr="00333DA5">
        <w:rPr>
          <w:szCs w:val="24"/>
        </w:rPr>
        <w:t>‘</w:t>
      </w:r>
      <w:r w:rsidRPr="00333DA5">
        <w:rPr>
          <w:szCs w:val="24"/>
        </w:rPr>
        <w:t>the husband</w:t>
      </w:r>
      <w:r w:rsidR="003B2773" w:rsidRPr="00333DA5">
        <w:rPr>
          <w:szCs w:val="24"/>
        </w:rPr>
        <w:t>’</w:t>
      </w:r>
      <w:r w:rsidRPr="00333DA5">
        <w:rPr>
          <w:szCs w:val="24"/>
        </w:rPr>
        <w:t xml:space="preserve">.  </w:t>
      </w:r>
      <w:r w:rsidR="00631124" w:rsidRPr="00333DA5">
        <w:rPr>
          <w:szCs w:val="24"/>
        </w:rPr>
        <w:t xml:space="preserve">His application (20 October 2021) is made </w:t>
      </w:r>
      <w:r w:rsidRPr="00333DA5">
        <w:rPr>
          <w:szCs w:val="24"/>
        </w:rPr>
        <w:t xml:space="preserve">under </w:t>
      </w:r>
      <w:r w:rsidRPr="00333DA5">
        <w:rPr>
          <w:i/>
          <w:iCs/>
          <w:szCs w:val="24"/>
        </w:rPr>
        <w:t>section 31F(6)</w:t>
      </w:r>
      <w:r w:rsidR="006F242E">
        <w:rPr>
          <w:szCs w:val="24"/>
        </w:rPr>
        <w:t xml:space="preserve"> of the</w:t>
      </w:r>
      <w:r w:rsidRPr="00333DA5">
        <w:rPr>
          <w:i/>
          <w:iCs/>
          <w:szCs w:val="24"/>
        </w:rPr>
        <w:t xml:space="preserve"> Matrimonial and Family Proceedings Act 1984</w:t>
      </w:r>
      <w:r w:rsidRPr="00333DA5">
        <w:rPr>
          <w:szCs w:val="24"/>
        </w:rPr>
        <w:t xml:space="preserve"> </w:t>
      </w:r>
      <w:r w:rsidR="00ED0807" w:rsidRPr="00333DA5">
        <w:rPr>
          <w:szCs w:val="24"/>
        </w:rPr>
        <w:t>(‘</w:t>
      </w:r>
      <w:r w:rsidR="00ED0807" w:rsidRPr="00333DA5">
        <w:rPr>
          <w:i/>
          <w:iCs/>
          <w:szCs w:val="24"/>
        </w:rPr>
        <w:t>MFPA 1984</w:t>
      </w:r>
      <w:r w:rsidR="00ED0807" w:rsidRPr="00333DA5">
        <w:rPr>
          <w:szCs w:val="24"/>
        </w:rPr>
        <w:t xml:space="preserve">’) </w:t>
      </w:r>
      <w:r w:rsidR="00631124" w:rsidRPr="00333DA5">
        <w:rPr>
          <w:szCs w:val="24"/>
        </w:rPr>
        <w:t xml:space="preserve">and it appears (though this is not apparent from the face of the application) that he </w:t>
      </w:r>
      <w:r w:rsidRPr="00333DA5">
        <w:rPr>
          <w:szCs w:val="24"/>
        </w:rPr>
        <w:t>seek</w:t>
      </w:r>
      <w:r w:rsidR="00631124" w:rsidRPr="00333DA5">
        <w:rPr>
          <w:szCs w:val="24"/>
        </w:rPr>
        <w:t xml:space="preserve">s </w:t>
      </w:r>
      <w:r w:rsidRPr="00333DA5">
        <w:rPr>
          <w:szCs w:val="24"/>
        </w:rPr>
        <w:t xml:space="preserve">the rescission of </w:t>
      </w:r>
      <w:r w:rsidR="003E4A40" w:rsidRPr="00333DA5">
        <w:rPr>
          <w:szCs w:val="24"/>
        </w:rPr>
        <w:t xml:space="preserve">part of </w:t>
      </w:r>
      <w:r w:rsidRPr="00333DA5">
        <w:rPr>
          <w:szCs w:val="24"/>
        </w:rPr>
        <w:t xml:space="preserve">an order which I made </w:t>
      </w:r>
      <w:r w:rsidR="00440FF0" w:rsidRPr="00333DA5">
        <w:rPr>
          <w:szCs w:val="24"/>
        </w:rPr>
        <w:t>o</w:t>
      </w:r>
      <w:r w:rsidRPr="00333DA5">
        <w:rPr>
          <w:szCs w:val="24"/>
        </w:rPr>
        <w:t xml:space="preserve">n </w:t>
      </w:r>
      <w:r w:rsidR="00440FF0" w:rsidRPr="00333DA5">
        <w:rPr>
          <w:szCs w:val="24"/>
        </w:rPr>
        <w:t xml:space="preserve">16 </w:t>
      </w:r>
      <w:r w:rsidRPr="00333DA5">
        <w:rPr>
          <w:szCs w:val="24"/>
        </w:rPr>
        <w:t>August 2021</w:t>
      </w:r>
      <w:r w:rsidR="003E4A40" w:rsidRPr="00333DA5">
        <w:rPr>
          <w:szCs w:val="24"/>
        </w:rPr>
        <w:t xml:space="preserve"> by which I directed that the stay on TP’s (hereafter ‘the wife’s’) divorce petition issued in this country in February 2020 be lifted</w:t>
      </w:r>
      <w:r w:rsidR="00E965C2" w:rsidRPr="00333DA5">
        <w:rPr>
          <w:szCs w:val="24"/>
        </w:rPr>
        <w:t xml:space="preserve">. I </w:t>
      </w:r>
      <w:r w:rsidR="00DD4E1B" w:rsidRPr="00333DA5">
        <w:rPr>
          <w:szCs w:val="24"/>
        </w:rPr>
        <w:t xml:space="preserve">made this order </w:t>
      </w:r>
      <w:r w:rsidR="003E4A40" w:rsidRPr="00333DA5">
        <w:rPr>
          <w:szCs w:val="24"/>
        </w:rPr>
        <w:t xml:space="preserve">having found as a fact that the </w:t>
      </w:r>
      <w:r w:rsidR="00DD4E1B" w:rsidRPr="00333DA5">
        <w:rPr>
          <w:szCs w:val="24"/>
        </w:rPr>
        <w:t xml:space="preserve">English </w:t>
      </w:r>
      <w:r w:rsidR="003E4A40" w:rsidRPr="00333DA5">
        <w:rPr>
          <w:szCs w:val="24"/>
        </w:rPr>
        <w:t xml:space="preserve">Court </w:t>
      </w:r>
      <w:r w:rsidR="00DD4E1B" w:rsidRPr="00333DA5">
        <w:rPr>
          <w:szCs w:val="24"/>
        </w:rPr>
        <w:t xml:space="preserve">was the court </w:t>
      </w:r>
      <w:r w:rsidR="003E4A40" w:rsidRPr="00333DA5">
        <w:rPr>
          <w:szCs w:val="24"/>
        </w:rPr>
        <w:t xml:space="preserve">first seised of divorce process.  I found then that the divorce petition was “lodged” with the </w:t>
      </w:r>
      <w:r w:rsidR="00E670C7" w:rsidRPr="00333DA5">
        <w:rPr>
          <w:szCs w:val="24"/>
        </w:rPr>
        <w:t>English C</w:t>
      </w:r>
      <w:r w:rsidR="003E4A40" w:rsidRPr="00333DA5">
        <w:rPr>
          <w:szCs w:val="24"/>
        </w:rPr>
        <w:t>ourt on 12 January 2020</w:t>
      </w:r>
      <w:r w:rsidR="006F242E">
        <w:rPr>
          <w:szCs w:val="24"/>
        </w:rPr>
        <w:t>,</w:t>
      </w:r>
      <w:r w:rsidR="003E4A40" w:rsidRPr="00333DA5">
        <w:rPr>
          <w:szCs w:val="24"/>
        </w:rPr>
        <w:t xml:space="preserve"> </w:t>
      </w:r>
      <w:r w:rsidR="00150A27" w:rsidRPr="00333DA5">
        <w:rPr>
          <w:szCs w:val="24"/>
        </w:rPr>
        <w:t xml:space="preserve">several weeks </w:t>
      </w:r>
      <w:r w:rsidR="003E4A40" w:rsidRPr="00333DA5">
        <w:rPr>
          <w:szCs w:val="24"/>
        </w:rPr>
        <w:t xml:space="preserve">before the husband’s petition </w:t>
      </w:r>
      <w:r w:rsidR="00E670C7" w:rsidRPr="00333DA5">
        <w:rPr>
          <w:szCs w:val="24"/>
        </w:rPr>
        <w:t xml:space="preserve">had been lodged </w:t>
      </w:r>
      <w:r w:rsidR="003E4A40" w:rsidRPr="00333DA5">
        <w:rPr>
          <w:szCs w:val="24"/>
        </w:rPr>
        <w:t>in the courts of Bulgaria (4 February 2020).</w:t>
      </w:r>
      <w:r w:rsidR="00440FF0" w:rsidRPr="00333DA5">
        <w:rPr>
          <w:szCs w:val="24"/>
        </w:rPr>
        <w:t xml:space="preserve">  </w:t>
      </w:r>
    </w:p>
    <w:p w14:paraId="4FDA0A82" w14:textId="7082BD2B" w:rsidR="002B5190" w:rsidRPr="00333DA5" w:rsidRDefault="002B5190" w:rsidP="001D0164">
      <w:pPr>
        <w:pStyle w:val="ParaLevel1"/>
        <w:rPr>
          <w:szCs w:val="24"/>
        </w:rPr>
      </w:pPr>
      <w:r w:rsidRPr="00333DA5">
        <w:rPr>
          <w:szCs w:val="24"/>
        </w:rPr>
        <w:t xml:space="preserve">The husband seeks to persuade me </w:t>
      </w:r>
      <w:r w:rsidR="00053368" w:rsidRPr="00333DA5">
        <w:rPr>
          <w:szCs w:val="24"/>
        </w:rPr>
        <w:t xml:space="preserve">at this hearing </w:t>
      </w:r>
      <w:r w:rsidRPr="00333DA5">
        <w:rPr>
          <w:szCs w:val="24"/>
        </w:rPr>
        <w:t xml:space="preserve">that evidence which </w:t>
      </w:r>
      <w:r w:rsidR="00FA7DC2" w:rsidRPr="00333DA5">
        <w:rPr>
          <w:szCs w:val="24"/>
        </w:rPr>
        <w:t xml:space="preserve">has recently come to light, and which </w:t>
      </w:r>
      <w:r w:rsidRPr="00333DA5">
        <w:rPr>
          <w:szCs w:val="24"/>
        </w:rPr>
        <w:t>was not before the court in July 2021 when I made that determination</w:t>
      </w:r>
      <w:r w:rsidR="00053368" w:rsidRPr="00333DA5">
        <w:rPr>
          <w:szCs w:val="24"/>
        </w:rPr>
        <w:t>,</w:t>
      </w:r>
      <w:r w:rsidRPr="00333DA5">
        <w:rPr>
          <w:szCs w:val="24"/>
        </w:rPr>
        <w:t xml:space="preserve"> undermines the factual </w:t>
      </w:r>
      <w:r w:rsidR="00FA7DC2" w:rsidRPr="00333DA5">
        <w:rPr>
          <w:szCs w:val="24"/>
        </w:rPr>
        <w:t>basis of my finding.</w:t>
      </w:r>
    </w:p>
    <w:p w14:paraId="53EE156C" w14:textId="377F466C" w:rsidR="005A3E1B" w:rsidRPr="00333DA5" w:rsidRDefault="007B088A" w:rsidP="001D0164">
      <w:pPr>
        <w:pStyle w:val="ParaLevel1"/>
        <w:rPr>
          <w:szCs w:val="24"/>
        </w:rPr>
      </w:pPr>
      <w:r w:rsidRPr="00333DA5">
        <w:rPr>
          <w:szCs w:val="24"/>
        </w:rPr>
        <w:t xml:space="preserve">The judgment </w:t>
      </w:r>
      <w:r w:rsidR="0086247C" w:rsidRPr="00333DA5">
        <w:rPr>
          <w:szCs w:val="24"/>
        </w:rPr>
        <w:t xml:space="preserve">which explains my earlier order </w:t>
      </w:r>
      <w:r w:rsidRPr="00333DA5">
        <w:rPr>
          <w:szCs w:val="24"/>
        </w:rPr>
        <w:t xml:space="preserve">is reported as </w:t>
      </w:r>
      <w:r w:rsidR="00CD5299" w:rsidRPr="00333DA5">
        <w:rPr>
          <w:i/>
          <w:iCs/>
          <w:szCs w:val="24"/>
        </w:rPr>
        <w:t>P v P (Divorce: Jurisdiction)</w:t>
      </w:r>
      <w:r w:rsidR="00CD5299" w:rsidRPr="00333DA5">
        <w:rPr>
          <w:szCs w:val="24"/>
        </w:rPr>
        <w:t xml:space="preserve"> </w:t>
      </w:r>
      <w:r w:rsidRPr="00333DA5">
        <w:rPr>
          <w:szCs w:val="24"/>
        </w:rPr>
        <w:t xml:space="preserve">[2021] EWHC </w:t>
      </w:r>
      <w:r w:rsidR="00E14681" w:rsidRPr="00333DA5">
        <w:rPr>
          <w:szCs w:val="24"/>
        </w:rPr>
        <w:t>2306</w:t>
      </w:r>
      <w:r w:rsidR="00D14830" w:rsidRPr="00333DA5">
        <w:rPr>
          <w:szCs w:val="24"/>
        </w:rPr>
        <w:t xml:space="preserve"> (the ‘</w:t>
      </w:r>
      <w:r w:rsidR="00D14830" w:rsidRPr="00333DA5">
        <w:rPr>
          <w:i/>
          <w:iCs/>
          <w:szCs w:val="24"/>
        </w:rPr>
        <w:t xml:space="preserve">2021 Divorce </w:t>
      </w:r>
      <w:r w:rsidR="000B0214" w:rsidRPr="00333DA5">
        <w:rPr>
          <w:i/>
          <w:iCs/>
          <w:szCs w:val="24"/>
        </w:rPr>
        <w:t>j</w:t>
      </w:r>
      <w:r w:rsidR="00D14830" w:rsidRPr="00333DA5">
        <w:rPr>
          <w:i/>
          <w:iCs/>
          <w:szCs w:val="24"/>
        </w:rPr>
        <w:t>udgment</w:t>
      </w:r>
      <w:r w:rsidR="00D14830" w:rsidRPr="00333DA5">
        <w:rPr>
          <w:szCs w:val="24"/>
        </w:rPr>
        <w:t>’)</w:t>
      </w:r>
      <w:r w:rsidR="00E14681" w:rsidRPr="00333DA5">
        <w:rPr>
          <w:szCs w:val="24"/>
        </w:rPr>
        <w:t>.</w:t>
      </w:r>
      <w:bookmarkStart w:id="0" w:name="para3"/>
      <w:r w:rsidR="00CD5299" w:rsidRPr="00333DA5">
        <w:rPr>
          <w:szCs w:val="24"/>
        </w:rPr>
        <w:t xml:space="preserve">  </w:t>
      </w:r>
      <w:r w:rsidR="005A3E1B" w:rsidRPr="00333DA5">
        <w:rPr>
          <w:color w:val="000000"/>
          <w:szCs w:val="24"/>
        </w:rPr>
        <w:t xml:space="preserve">I have previously also </w:t>
      </w:r>
      <w:r w:rsidR="006E3521" w:rsidRPr="00333DA5">
        <w:rPr>
          <w:color w:val="000000"/>
          <w:szCs w:val="24"/>
        </w:rPr>
        <w:t xml:space="preserve">given a judgment in these proceedings, under the </w:t>
      </w:r>
      <w:r w:rsidR="00E670C7" w:rsidRPr="00333DA5">
        <w:rPr>
          <w:color w:val="000000"/>
          <w:szCs w:val="24"/>
        </w:rPr>
        <w:t>citation</w:t>
      </w:r>
      <w:r w:rsidR="006E3521" w:rsidRPr="00333DA5">
        <w:rPr>
          <w:color w:val="000000"/>
          <w:szCs w:val="24"/>
        </w:rPr>
        <w:t xml:space="preserve"> </w:t>
      </w:r>
      <w:r w:rsidR="005A3E1B" w:rsidRPr="00333DA5">
        <w:rPr>
          <w:i/>
          <w:iCs/>
          <w:color w:val="000000"/>
          <w:szCs w:val="24"/>
        </w:rPr>
        <w:t>P v P (Re P: Discharge of Passport Order)</w:t>
      </w:r>
      <w:r w:rsidR="005A3E1B" w:rsidRPr="00333DA5">
        <w:rPr>
          <w:color w:val="000000"/>
          <w:szCs w:val="24"/>
        </w:rPr>
        <w:t> </w:t>
      </w:r>
      <w:bookmarkEnd w:id="0"/>
      <w:r w:rsidR="005A3E1B" w:rsidRPr="00333DA5">
        <w:rPr>
          <w:szCs w:val="24"/>
        </w:rPr>
        <w:t>[2020] EWHC 3009 (Fam)</w:t>
      </w:r>
      <w:r w:rsidR="00FF6F24" w:rsidRPr="00333DA5">
        <w:rPr>
          <w:szCs w:val="24"/>
        </w:rPr>
        <w:t xml:space="preserve"> (‘</w:t>
      </w:r>
      <w:r w:rsidR="00FF6F24" w:rsidRPr="00333DA5">
        <w:rPr>
          <w:i/>
          <w:iCs/>
          <w:szCs w:val="24"/>
        </w:rPr>
        <w:t>the 2020 Passport judgment</w:t>
      </w:r>
      <w:r w:rsidR="00FF6F24" w:rsidRPr="00333DA5">
        <w:rPr>
          <w:szCs w:val="24"/>
        </w:rPr>
        <w:t>’)</w:t>
      </w:r>
      <w:r w:rsidR="006E3521" w:rsidRPr="00333DA5">
        <w:rPr>
          <w:color w:val="000000"/>
          <w:szCs w:val="24"/>
        </w:rPr>
        <w:t xml:space="preserve">; </w:t>
      </w:r>
      <w:r w:rsidR="001A39A2" w:rsidRPr="00333DA5">
        <w:rPr>
          <w:color w:val="000000"/>
          <w:szCs w:val="24"/>
        </w:rPr>
        <w:t xml:space="preserve">it would be useful, for an understanding of the </w:t>
      </w:r>
      <w:r w:rsidR="00150A27" w:rsidRPr="00333DA5">
        <w:rPr>
          <w:color w:val="000000"/>
          <w:szCs w:val="24"/>
        </w:rPr>
        <w:t xml:space="preserve">factual </w:t>
      </w:r>
      <w:r w:rsidR="001A39A2" w:rsidRPr="00333DA5">
        <w:rPr>
          <w:color w:val="000000"/>
          <w:szCs w:val="24"/>
        </w:rPr>
        <w:t xml:space="preserve">background to the case, for </w:t>
      </w:r>
      <w:r w:rsidR="006E3521" w:rsidRPr="00333DA5">
        <w:rPr>
          <w:color w:val="000000"/>
          <w:szCs w:val="24"/>
        </w:rPr>
        <w:t xml:space="preserve">reference </w:t>
      </w:r>
      <w:r w:rsidR="001A39A2" w:rsidRPr="00333DA5">
        <w:rPr>
          <w:color w:val="000000"/>
          <w:szCs w:val="24"/>
        </w:rPr>
        <w:t xml:space="preserve">to </w:t>
      </w:r>
      <w:r w:rsidR="005A3E1B" w:rsidRPr="00333DA5">
        <w:rPr>
          <w:color w:val="000000"/>
          <w:szCs w:val="24"/>
        </w:rPr>
        <w:t xml:space="preserve">be made to </w:t>
      </w:r>
      <w:r w:rsidR="001A39A2" w:rsidRPr="00333DA5">
        <w:rPr>
          <w:color w:val="000000"/>
          <w:szCs w:val="24"/>
        </w:rPr>
        <w:t>§</w:t>
      </w:r>
      <w:r w:rsidR="005A3E1B" w:rsidRPr="00333DA5">
        <w:rPr>
          <w:color w:val="000000"/>
          <w:szCs w:val="24"/>
        </w:rPr>
        <w:t>5-</w:t>
      </w:r>
      <w:r w:rsidR="001A39A2" w:rsidRPr="00333DA5">
        <w:rPr>
          <w:color w:val="000000"/>
          <w:szCs w:val="24"/>
        </w:rPr>
        <w:t>§</w:t>
      </w:r>
      <w:r w:rsidR="005A3E1B" w:rsidRPr="00333DA5">
        <w:rPr>
          <w:color w:val="000000"/>
          <w:szCs w:val="24"/>
        </w:rPr>
        <w:t>30</w:t>
      </w:r>
      <w:r w:rsidR="006E3521" w:rsidRPr="00333DA5">
        <w:rPr>
          <w:color w:val="000000"/>
          <w:szCs w:val="24"/>
        </w:rPr>
        <w:t xml:space="preserve"> of that </w:t>
      </w:r>
      <w:r w:rsidR="00543A34" w:rsidRPr="00333DA5">
        <w:rPr>
          <w:i/>
          <w:iCs/>
          <w:color w:val="000000"/>
          <w:szCs w:val="24"/>
        </w:rPr>
        <w:t xml:space="preserve">2020 </w:t>
      </w:r>
      <w:r w:rsidR="001A39A2" w:rsidRPr="00333DA5">
        <w:rPr>
          <w:i/>
          <w:iCs/>
          <w:color w:val="000000"/>
          <w:szCs w:val="24"/>
        </w:rPr>
        <w:t xml:space="preserve">Passport </w:t>
      </w:r>
      <w:r w:rsidR="000B0214" w:rsidRPr="00333DA5">
        <w:rPr>
          <w:i/>
          <w:iCs/>
          <w:color w:val="000000"/>
          <w:szCs w:val="24"/>
        </w:rPr>
        <w:t>j</w:t>
      </w:r>
      <w:r w:rsidR="006E3521" w:rsidRPr="00333DA5">
        <w:rPr>
          <w:i/>
          <w:iCs/>
          <w:color w:val="000000"/>
          <w:szCs w:val="24"/>
        </w:rPr>
        <w:t>udgment</w:t>
      </w:r>
      <w:r w:rsidR="006E3521" w:rsidRPr="00333DA5">
        <w:rPr>
          <w:color w:val="000000"/>
          <w:szCs w:val="24"/>
        </w:rPr>
        <w:t>.</w:t>
      </w:r>
    </w:p>
    <w:p w14:paraId="153DAC47" w14:textId="4F896B0F" w:rsidR="00317250" w:rsidRPr="00333DA5" w:rsidRDefault="00ED3482" w:rsidP="001D0164">
      <w:pPr>
        <w:pStyle w:val="ParaLevel1"/>
        <w:rPr>
          <w:szCs w:val="24"/>
        </w:rPr>
      </w:pPr>
      <w:r w:rsidRPr="00333DA5">
        <w:rPr>
          <w:szCs w:val="24"/>
        </w:rPr>
        <w:t xml:space="preserve">The </w:t>
      </w:r>
      <w:r w:rsidR="00543A34" w:rsidRPr="00333DA5">
        <w:rPr>
          <w:szCs w:val="24"/>
        </w:rPr>
        <w:t xml:space="preserve">hearing of the </w:t>
      </w:r>
      <w:r w:rsidRPr="00333DA5">
        <w:rPr>
          <w:szCs w:val="24"/>
        </w:rPr>
        <w:t xml:space="preserve">application </w:t>
      </w:r>
      <w:r w:rsidR="000B0214" w:rsidRPr="00333DA5">
        <w:rPr>
          <w:szCs w:val="24"/>
        </w:rPr>
        <w:t xml:space="preserve">was </w:t>
      </w:r>
      <w:r w:rsidRPr="00333DA5">
        <w:rPr>
          <w:szCs w:val="24"/>
        </w:rPr>
        <w:t>adjourned once</w:t>
      </w:r>
      <w:r w:rsidR="00543A34" w:rsidRPr="00333DA5">
        <w:rPr>
          <w:szCs w:val="24"/>
        </w:rPr>
        <w:t>,</w:t>
      </w:r>
      <w:r w:rsidRPr="00333DA5">
        <w:rPr>
          <w:szCs w:val="24"/>
        </w:rPr>
        <w:t xml:space="preserve"> as I was satisfied that the wife had not received proper notice, and </w:t>
      </w:r>
      <w:r w:rsidR="000552E1" w:rsidRPr="00333DA5">
        <w:rPr>
          <w:szCs w:val="24"/>
        </w:rPr>
        <w:t xml:space="preserve">I </w:t>
      </w:r>
      <w:r w:rsidR="006A77A1" w:rsidRPr="00333DA5">
        <w:rPr>
          <w:szCs w:val="24"/>
        </w:rPr>
        <w:t xml:space="preserve">wished </w:t>
      </w:r>
      <w:r w:rsidRPr="00333DA5">
        <w:rPr>
          <w:szCs w:val="24"/>
        </w:rPr>
        <w:t xml:space="preserve">to </w:t>
      </w:r>
      <w:r w:rsidR="000552E1" w:rsidRPr="00333DA5">
        <w:rPr>
          <w:szCs w:val="24"/>
        </w:rPr>
        <w:t xml:space="preserve">give her the chance to </w:t>
      </w:r>
      <w:r w:rsidRPr="00333DA5">
        <w:rPr>
          <w:szCs w:val="24"/>
        </w:rPr>
        <w:t xml:space="preserve">re-instruct her former solicitors (Dawson Cornwell) to represent her.  </w:t>
      </w:r>
      <w:r w:rsidR="000552E1" w:rsidRPr="00333DA5">
        <w:rPr>
          <w:szCs w:val="24"/>
        </w:rPr>
        <w:t xml:space="preserve">In fact, </w:t>
      </w:r>
      <w:r w:rsidR="006A77A1" w:rsidRPr="00333DA5">
        <w:rPr>
          <w:szCs w:val="24"/>
        </w:rPr>
        <w:t xml:space="preserve">those solicitors were not </w:t>
      </w:r>
      <w:r w:rsidR="00535E8B" w:rsidRPr="00333DA5">
        <w:rPr>
          <w:szCs w:val="24"/>
        </w:rPr>
        <w:t>instructed,</w:t>
      </w:r>
      <w:r w:rsidR="00C07558" w:rsidRPr="00333DA5">
        <w:rPr>
          <w:szCs w:val="24"/>
        </w:rPr>
        <w:t xml:space="preserve"> and </w:t>
      </w:r>
      <w:r w:rsidR="000552E1" w:rsidRPr="00333DA5">
        <w:rPr>
          <w:szCs w:val="24"/>
        </w:rPr>
        <w:t>the wife represented herself at the hearing</w:t>
      </w:r>
      <w:r w:rsidR="00163075" w:rsidRPr="00333DA5">
        <w:rPr>
          <w:szCs w:val="24"/>
        </w:rPr>
        <w:t xml:space="preserve">; she did so ably, </w:t>
      </w:r>
      <w:r w:rsidR="00C07558" w:rsidRPr="00333DA5">
        <w:rPr>
          <w:szCs w:val="24"/>
        </w:rPr>
        <w:t xml:space="preserve">and I </w:t>
      </w:r>
      <w:proofErr w:type="gramStart"/>
      <w:r w:rsidR="00C07558" w:rsidRPr="00333DA5">
        <w:rPr>
          <w:szCs w:val="24"/>
        </w:rPr>
        <w:t>made due</w:t>
      </w:r>
      <w:proofErr w:type="gramEnd"/>
      <w:r w:rsidR="00C07558" w:rsidRPr="00333DA5">
        <w:rPr>
          <w:szCs w:val="24"/>
        </w:rPr>
        <w:t xml:space="preserve"> allowance for the fact that she was doing so </w:t>
      </w:r>
      <w:r w:rsidR="00163075" w:rsidRPr="00333DA5">
        <w:rPr>
          <w:szCs w:val="24"/>
        </w:rPr>
        <w:t>in her second language</w:t>
      </w:r>
      <w:r w:rsidR="000552E1" w:rsidRPr="00333DA5">
        <w:rPr>
          <w:szCs w:val="24"/>
        </w:rPr>
        <w:t>.</w:t>
      </w:r>
      <w:r w:rsidR="00F71A27" w:rsidRPr="00333DA5">
        <w:rPr>
          <w:szCs w:val="24"/>
        </w:rPr>
        <w:t xml:space="preserve"> The husband was represented by Mr </w:t>
      </w:r>
      <w:r w:rsidR="00163075" w:rsidRPr="00333DA5">
        <w:rPr>
          <w:szCs w:val="24"/>
        </w:rPr>
        <w:t xml:space="preserve">Roger </w:t>
      </w:r>
      <w:r w:rsidR="00F71A27" w:rsidRPr="00333DA5">
        <w:rPr>
          <w:szCs w:val="24"/>
        </w:rPr>
        <w:t>Birch</w:t>
      </w:r>
      <w:r w:rsidR="00163075" w:rsidRPr="00333DA5">
        <w:rPr>
          <w:szCs w:val="24"/>
        </w:rPr>
        <w:t>, of counsel</w:t>
      </w:r>
      <w:r w:rsidR="00F71A27" w:rsidRPr="00333DA5">
        <w:rPr>
          <w:szCs w:val="24"/>
        </w:rPr>
        <w:t>.</w:t>
      </w:r>
    </w:p>
    <w:p w14:paraId="17DC4351" w14:textId="5FDE4FA1" w:rsidR="00ED3482" w:rsidRPr="00333DA5" w:rsidRDefault="00317250" w:rsidP="001D0164">
      <w:pPr>
        <w:pStyle w:val="ParaLevel1"/>
        <w:rPr>
          <w:szCs w:val="24"/>
        </w:rPr>
      </w:pPr>
      <w:r w:rsidRPr="00333DA5">
        <w:rPr>
          <w:szCs w:val="24"/>
        </w:rPr>
        <w:t>The proceedings between NP and TP are extremely contentious</w:t>
      </w:r>
      <w:r w:rsidR="004A10A2" w:rsidRPr="00333DA5">
        <w:rPr>
          <w:szCs w:val="24"/>
        </w:rPr>
        <w:t>.  The</w:t>
      </w:r>
      <w:r w:rsidR="001B5726" w:rsidRPr="00333DA5">
        <w:rPr>
          <w:szCs w:val="24"/>
        </w:rPr>
        <w:t xml:space="preserve"> parties have been litigating </w:t>
      </w:r>
      <w:r w:rsidR="004A10A2" w:rsidRPr="00333DA5">
        <w:rPr>
          <w:szCs w:val="24"/>
        </w:rPr>
        <w:t>for more than 2 years</w:t>
      </w:r>
      <w:r w:rsidR="00B52A3F" w:rsidRPr="00333DA5">
        <w:rPr>
          <w:szCs w:val="24"/>
        </w:rPr>
        <w:t>, in England and Bulgaria,</w:t>
      </w:r>
      <w:r w:rsidR="007036AB" w:rsidRPr="00333DA5">
        <w:rPr>
          <w:szCs w:val="24"/>
        </w:rPr>
        <w:t xml:space="preserve"> principally over issues of jurisdiction</w:t>
      </w:r>
      <w:r w:rsidR="00B52A3F" w:rsidRPr="00333DA5">
        <w:rPr>
          <w:szCs w:val="24"/>
        </w:rPr>
        <w:t xml:space="preserve"> and interim relief</w:t>
      </w:r>
      <w:r w:rsidR="004058A5" w:rsidRPr="00333DA5">
        <w:rPr>
          <w:szCs w:val="24"/>
        </w:rPr>
        <w:t xml:space="preserve"> concerning the dissolution of the marriage and arrangements for their child. There </w:t>
      </w:r>
      <w:r w:rsidR="004A10A2" w:rsidRPr="00333DA5">
        <w:rPr>
          <w:szCs w:val="24"/>
        </w:rPr>
        <w:t xml:space="preserve">is little to show for their </w:t>
      </w:r>
      <w:r w:rsidR="00B52A3F" w:rsidRPr="00333DA5">
        <w:rPr>
          <w:szCs w:val="24"/>
        </w:rPr>
        <w:t xml:space="preserve">efforts. </w:t>
      </w:r>
      <w:r w:rsidR="00DD4CC7" w:rsidRPr="00333DA5">
        <w:rPr>
          <w:szCs w:val="24"/>
        </w:rPr>
        <w:t>Neither party has shown any real restraint in how they have placed material before the court</w:t>
      </w:r>
      <w:r w:rsidR="003365D5" w:rsidRPr="00333DA5">
        <w:rPr>
          <w:szCs w:val="24"/>
        </w:rPr>
        <w:t>;</w:t>
      </w:r>
      <w:r w:rsidR="00DD4CC7" w:rsidRPr="00333DA5">
        <w:rPr>
          <w:szCs w:val="24"/>
        </w:rPr>
        <w:t xml:space="preserve"> </w:t>
      </w:r>
      <w:r w:rsidR="00324E9B" w:rsidRPr="00333DA5">
        <w:rPr>
          <w:szCs w:val="24"/>
        </w:rPr>
        <w:t xml:space="preserve">they have been </w:t>
      </w:r>
      <w:r w:rsidR="00DD4CC7" w:rsidRPr="00333DA5">
        <w:rPr>
          <w:szCs w:val="24"/>
        </w:rPr>
        <w:t xml:space="preserve">indifferent </w:t>
      </w:r>
      <w:r w:rsidR="00D87F29" w:rsidRPr="00333DA5">
        <w:rPr>
          <w:szCs w:val="24"/>
        </w:rPr>
        <w:t xml:space="preserve">to </w:t>
      </w:r>
      <w:r w:rsidR="00C11678" w:rsidRPr="00333DA5">
        <w:rPr>
          <w:szCs w:val="24"/>
        </w:rPr>
        <w:t xml:space="preserve">court-imposed </w:t>
      </w:r>
      <w:r w:rsidR="00D87F29" w:rsidRPr="00333DA5">
        <w:rPr>
          <w:szCs w:val="24"/>
        </w:rPr>
        <w:t>timetable</w:t>
      </w:r>
      <w:r w:rsidR="00C11678" w:rsidRPr="00333DA5">
        <w:rPr>
          <w:szCs w:val="24"/>
        </w:rPr>
        <w:t>s</w:t>
      </w:r>
      <w:r w:rsidR="00D87F29" w:rsidRPr="00333DA5">
        <w:rPr>
          <w:szCs w:val="24"/>
        </w:rPr>
        <w:t xml:space="preserve"> </w:t>
      </w:r>
      <w:r w:rsidR="00C11678" w:rsidRPr="00333DA5">
        <w:rPr>
          <w:szCs w:val="24"/>
        </w:rPr>
        <w:t>and/</w:t>
      </w:r>
      <w:r w:rsidR="00D87F29" w:rsidRPr="00333DA5">
        <w:rPr>
          <w:szCs w:val="24"/>
        </w:rPr>
        <w:t xml:space="preserve">or restrictions on the volume of </w:t>
      </w:r>
      <w:r w:rsidR="00A6611B" w:rsidRPr="00333DA5">
        <w:rPr>
          <w:szCs w:val="24"/>
        </w:rPr>
        <w:t xml:space="preserve">documentary </w:t>
      </w:r>
      <w:r w:rsidR="00D87F29" w:rsidRPr="00333DA5">
        <w:rPr>
          <w:szCs w:val="24"/>
        </w:rPr>
        <w:t>material</w:t>
      </w:r>
      <w:r w:rsidR="00C11678" w:rsidRPr="00333DA5">
        <w:rPr>
          <w:szCs w:val="24"/>
        </w:rPr>
        <w:t xml:space="preserve"> </w:t>
      </w:r>
      <w:proofErr w:type="gramStart"/>
      <w:r w:rsidR="00C11678" w:rsidRPr="00333DA5">
        <w:rPr>
          <w:szCs w:val="24"/>
        </w:rPr>
        <w:t>lodged</w:t>
      </w:r>
      <w:r w:rsidR="00D87F29" w:rsidRPr="00333DA5">
        <w:rPr>
          <w:szCs w:val="24"/>
        </w:rPr>
        <w:t>, and</w:t>
      </w:r>
      <w:proofErr w:type="gramEnd"/>
      <w:r w:rsidR="00D87F29" w:rsidRPr="00333DA5">
        <w:rPr>
          <w:szCs w:val="24"/>
        </w:rPr>
        <w:t xml:space="preserve"> </w:t>
      </w:r>
      <w:r w:rsidR="00C11678" w:rsidRPr="00333DA5">
        <w:rPr>
          <w:szCs w:val="24"/>
        </w:rPr>
        <w:t xml:space="preserve">have shown </w:t>
      </w:r>
      <w:r w:rsidR="00D87F29" w:rsidRPr="00333DA5">
        <w:rPr>
          <w:szCs w:val="24"/>
        </w:rPr>
        <w:t>questionable focus on the</w:t>
      </w:r>
      <w:r w:rsidR="001B5726" w:rsidRPr="00333DA5">
        <w:rPr>
          <w:szCs w:val="24"/>
        </w:rPr>
        <w:t xml:space="preserve"> </w:t>
      </w:r>
      <w:r w:rsidR="00B52A3F" w:rsidRPr="00333DA5">
        <w:rPr>
          <w:szCs w:val="24"/>
        </w:rPr>
        <w:t xml:space="preserve">actual </w:t>
      </w:r>
      <w:r w:rsidR="001B5726" w:rsidRPr="00333DA5">
        <w:rPr>
          <w:szCs w:val="24"/>
        </w:rPr>
        <w:t xml:space="preserve">issues.  The hearing </w:t>
      </w:r>
      <w:r w:rsidR="003365D5" w:rsidRPr="00333DA5">
        <w:rPr>
          <w:szCs w:val="24"/>
        </w:rPr>
        <w:t xml:space="preserve">of the husband’s application </w:t>
      </w:r>
      <w:r w:rsidR="00A6611B" w:rsidRPr="00333DA5">
        <w:rPr>
          <w:szCs w:val="24"/>
        </w:rPr>
        <w:t xml:space="preserve">was </w:t>
      </w:r>
      <w:r w:rsidR="001B5726" w:rsidRPr="00333DA5">
        <w:rPr>
          <w:szCs w:val="24"/>
        </w:rPr>
        <w:t xml:space="preserve">given a time estimate of </w:t>
      </w:r>
      <w:r w:rsidR="00ED3482" w:rsidRPr="00333DA5">
        <w:rPr>
          <w:szCs w:val="24"/>
        </w:rPr>
        <w:t xml:space="preserve">2 hours.  </w:t>
      </w:r>
      <w:r w:rsidR="00EB29F8" w:rsidRPr="00333DA5">
        <w:rPr>
          <w:szCs w:val="24"/>
        </w:rPr>
        <w:t>I heard oral submissions</w:t>
      </w:r>
      <w:r w:rsidR="003365D5" w:rsidRPr="00333DA5">
        <w:rPr>
          <w:szCs w:val="24"/>
        </w:rPr>
        <w:t>,</w:t>
      </w:r>
      <w:r w:rsidR="00EB29F8" w:rsidRPr="00333DA5">
        <w:rPr>
          <w:szCs w:val="24"/>
        </w:rPr>
        <w:t xml:space="preserve"> and </w:t>
      </w:r>
      <w:r w:rsidR="003365D5" w:rsidRPr="00333DA5">
        <w:rPr>
          <w:szCs w:val="24"/>
        </w:rPr>
        <w:t xml:space="preserve">both before and after the hearing </w:t>
      </w:r>
      <w:r w:rsidR="00F71A27" w:rsidRPr="00333DA5">
        <w:rPr>
          <w:szCs w:val="24"/>
        </w:rPr>
        <w:t xml:space="preserve">have </w:t>
      </w:r>
      <w:r w:rsidR="003365D5" w:rsidRPr="00333DA5">
        <w:rPr>
          <w:szCs w:val="24"/>
        </w:rPr>
        <w:t xml:space="preserve">considered the </w:t>
      </w:r>
      <w:r w:rsidR="008F72BB" w:rsidRPr="00333DA5">
        <w:rPr>
          <w:szCs w:val="24"/>
        </w:rPr>
        <w:t xml:space="preserve">1,000 </w:t>
      </w:r>
      <w:r w:rsidR="003365D5" w:rsidRPr="00333DA5">
        <w:rPr>
          <w:szCs w:val="24"/>
        </w:rPr>
        <w:t xml:space="preserve">or more </w:t>
      </w:r>
      <w:r w:rsidR="008F72BB" w:rsidRPr="00333DA5">
        <w:rPr>
          <w:szCs w:val="24"/>
        </w:rPr>
        <w:t>pages</w:t>
      </w:r>
      <w:r w:rsidR="00F71A27" w:rsidRPr="00333DA5">
        <w:rPr>
          <w:szCs w:val="24"/>
        </w:rPr>
        <w:t xml:space="preserve"> of </w:t>
      </w:r>
      <w:r w:rsidR="00C11678" w:rsidRPr="00333DA5">
        <w:rPr>
          <w:szCs w:val="24"/>
        </w:rPr>
        <w:t xml:space="preserve">submissions and evidence </w:t>
      </w:r>
      <w:proofErr w:type="gramStart"/>
      <w:r w:rsidR="00C11678" w:rsidRPr="00333DA5">
        <w:rPr>
          <w:szCs w:val="24"/>
        </w:rPr>
        <w:t>in order to</w:t>
      </w:r>
      <w:proofErr w:type="gramEnd"/>
      <w:r w:rsidR="00C11678" w:rsidRPr="00333DA5">
        <w:rPr>
          <w:szCs w:val="24"/>
        </w:rPr>
        <w:t xml:space="preserve"> reach a view.</w:t>
      </w:r>
      <w:r w:rsidR="008F72BB" w:rsidRPr="00333DA5">
        <w:rPr>
          <w:szCs w:val="24"/>
        </w:rPr>
        <w:t xml:space="preserve">  </w:t>
      </w:r>
    </w:p>
    <w:p w14:paraId="1D774577" w14:textId="55F94B21" w:rsidR="00D350B0" w:rsidRPr="00333DA5" w:rsidRDefault="00050704" w:rsidP="001D0164">
      <w:pPr>
        <w:pStyle w:val="ParaLevel1"/>
        <w:numPr>
          <w:ilvl w:val="0"/>
          <w:numId w:val="0"/>
        </w:numPr>
        <w:rPr>
          <w:szCs w:val="24"/>
        </w:rPr>
      </w:pPr>
      <w:r w:rsidRPr="00333DA5">
        <w:rPr>
          <w:i/>
          <w:iCs/>
          <w:szCs w:val="24"/>
        </w:rPr>
        <w:t xml:space="preserve">The 2021 Divorce </w:t>
      </w:r>
      <w:r w:rsidR="00D350B0" w:rsidRPr="00333DA5">
        <w:rPr>
          <w:i/>
          <w:iCs/>
          <w:szCs w:val="24"/>
        </w:rPr>
        <w:t>Judgment</w:t>
      </w:r>
      <w:r w:rsidRPr="00333DA5">
        <w:rPr>
          <w:i/>
          <w:iCs/>
          <w:szCs w:val="24"/>
        </w:rPr>
        <w:t>:</w:t>
      </w:r>
      <w:r w:rsidR="00D350B0" w:rsidRPr="00333DA5">
        <w:rPr>
          <w:szCs w:val="24"/>
        </w:rPr>
        <w:t xml:space="preserve"> </w:t>
      </w:r>
      <w:r w:rsidR="00D350B0" w:rsidRPr="00333DA5">
        <w:rPr>
          <w:i/>
          <w:iCs/>
          <w:szCs w:val="24"/>
        </w:rPr>
        <w:t>[2021] EWHC 2306</w:t>
      </w:r>
      <w:r w:rsidR="00D350B0" w:rsidRPr="00333DA5">
        <w:rPr>
          <w:szCs w:val="24"/>
        </w:rPr>
        <w:t>.</w:t>
      </w:r>
    </w:p>
    <w:p w14:paraId="041DA26C" w14:textId="158DF12B" w:rsidR="00D350B0" w:rsidRPr="00333DA5" w:rsidRDefault="00D350B0" w:rsidP="001D0164">
      <w:pPr>
        <w:pStyle w:val="ParaLevel1"/>
        <w:rPr>
          <w:szCs w:val="24"/>
        </w:rPr>
      </w:pPr>
      <w:r w:rsidRPr="00333DA5">
        <w:rPr>
          <w:szCs w:val="24"/>
        </w:rPr>
        <w:t xml:space="preserve">To set a context for my decision, it is </w:t>
      </w:r>
      <w:r w:rsidR="008432CE" w:rsidRPr="00333DA5">
        <w:rPr>
          <w:szCs w:val="24"/>
        </w:rPr>
        <w:t xml:space="preserve">right </w:t>
      </w:r>
      <w:r w:rsidR="00E82C16" w:rsidRPr="00333DA5">
        <w:rPr>
          <w:szCs w:val="24"/>
        </w:rPr>
        <w:t xml:space="preserve">to return </w:t>
      </w:r>
      <w:r w:rsidR="008432CE" w:rsidRPr="00333DA5">
        <w:rPr>
          <w:szCs w:val="24"/>
        </w:rPr>
        <w:t xml:space="preserve">first </w:t>
      </w:r>
      <w:r w:rsidR="00E82C16" w:rsidRPr="00333DA5">
        <w:rPr>
          <w:szCs w:val="24"/>
        </w:rPr>
        <w:t xml:space="preserve">to </w:t>
      </w:r>
      <w:r w:rsidR="00050704" w:rsidRPr="00333DA5">
        <w:rPr>
          <w:szCs w:val="24"/>
        </w:rPr>
        <w:t xml:space="preserve">the </w:t>
      </w:r>
      <w:r w:rsidR="00050704" w:rsidRPr="00333DA5">
        <w:rPr>
          <w:i/>
          <w:iCs/>
          <w:szCs w:val="24"/>
        </w:rPr>
        <w:t xml:space="preserve">2021 Divorce </w:t>
      </w:r>
      <w:r w:rsidR="00E82C16" w:rsidRPr="00333DA5">
        <w:rPr>
          <w:i/>
          <w:iCs/>
          <w:szCs w:val="24"/>
        </w:rPr>
        <w:t>judgement</w:t>
      </w:r>
      <w:r w:rsidR="00E82C16" w:rsidRPr="00333DA5">
        <w:rPr>
          <w:szCs w:val="24"/>
        </w:rPr>
        <w:t xml:space="preserve"> </w:t>
      </w:r>
      <w:r w:rsidR="00050704" w:rsidRPr="00333DA5">
        <w:rPr>
          <w:szCs w:val="24"/>
        </w:rPr>
        <w:t xml:space="preserve">which I </w:t>
      </w:r>
      <w:r w:rsidR="00E82C16" w:rsidRPr="00333DA5">
        <w:rPr>
          <w:szCs w:val="24"/>
        </w:rPr>
        <w:t xml:space="preserve">delivered on 16 August 2021. That judgment set out my reasons for finding that the </w:t>
      </w:r>
      <w:r w:rsidR="00013C92" w:rsidRPr="00333DA5">
        <w:rPr>
          <w:szCs w:val="24"/>
        </w:rPr>
        <w:t>wife</w:t>
      </w:r>
      <w:r w:rsidR="00E82C16" w:rsidRPr="00333DA5">
        <w:rPr>
          <w:szCs w:val="24"/>
        </w:rPr>
        <w:t xml:space="preserve"> had lodged her petition for divorce first in time, and that the courts of England and Wales were therefore first ‘seised’.</w:t>
      </w:r>
    </w:p>
    <w:p w14:paraId="73652097" w14:textId="356FF84A" w:rsidR="00E82C16" w:rsidRPr="00333DA5" w:rsidRDefault="00E82C16" w:rsidP="001D0164">
      <w:pPr>
        <w:pStyle w:val="ParaLevel1"/>
        <w:rPr>
          <w:szCs w:val="24"/>
          <w:lang w:eastAsia="en-GB"/>
        </w:rPr>
      </w:pPr>
      <w:bookmarkStart w:id="1" w:name="para16"/>
      <w:r w:rsidRPr="00333DA5">
        <w:rPr>
          <w:szCs w:val="24"/>
        </w:rPr>
        <w:lastRenderedPageBreak/>
        <w:t xml:space="preserve">In that judgment, I had </w:t>
      </w:r>
      <w:r w:rsidR="001F3155" w:rsidRPr="00333DA5">
        <w:rPr>
          <w:szCs w:val="24"/>
        </w:rPr>
        <w:t>re</w:t>
      </w:r>
      <w:r w:rsidR="00EB0044" w:rsidRPr="00333DA5">
        <w:rPr>
          <w:szCs w:val="24"/>
        </w:rPr>
        <w:t xml:space="preserve">produced </w:t>
      </w:r>
      <w:r w:rsidR="005B6D73" w:rsidRPr="00333DA5">
        <w:rPr>
          <w:szCs w:val="24"/>
        </w:rPr>
        <w:t>§</w:t>
      </w:r>
      <w:r w:rsidR="001F3155" w:rsidRPr="00333DA5">
        <w:rPr>
          <w:szCs w:val="24"/>
        </w:rPr>
        <w:t xml:space="preserve">13 of </w:t>
      </w:r>
      <w:r w:rsidR="00050704" w:rsidRPr="00333DA5">
        <w:rPr>
          <w:szCs w:val="24"/>
        </w:rPr>
        <w:t xml:space="preserve">the </w:t>
      </w:r>
      <w:r w:rsidR="00050704" w:rsidRPr="00333DA5">
        <w:rPr>
          <w:i/>
          <w:iCs/>
          <w:szCs w:val="24"/>
        </w:rPr>
        <w:t>2020 Passport judgment</w:t>
      </w:r>
      <w:r w:rsidR="00050704" w:rsidRPr="00333DA5">
        <w:rPr>
          <w:szCs w:val="24"/>
        </w:rPr>
        <w:t xml:space="preserve"> </w:t>
      </w:r>
      <w:bookmarkEnd w:id="1"/>
      <w:r w:rsidR="00EB0044" w:rsidRPr="00333DA5">
        <w:rPr>
          <w:szCs w:val="24"/>
        </w:rPr>
        <w:t>which, for context, I do again here</w:t>
      </w:r>
      <w:r w:rsidRPr="00333DA5">
        <w:rPr>
          <w:szCs w:val="24"/>
        </w:rPr>
        <w:t>:</w:t>
      </w:r>
    </w:p>
    <w:p w14:paraId="09A048A1" w14:textId="06BEEE3C" w:rsidR="00E82C16" w:rsidRPr="00333DA5" w:rsidRDefault="00E82C16" w:rsidP="001D0164">
      <w:pPr>
        <w:pStyle w:val="ParaLevel1"/>
        <w:numPr>
          <w:ilvl w:val="0"/>
          <w:numId w:val="0"/>
        </w:numPr>
        <w:ind w:left="1701" w:right="1505"/>
        <w:rPr>
          <w:szCs w:val="24"/>
        </w:rPr>
      </w:pPr>
      <w:r w:rsidRPr="00333DA5">
        <w:rPr>
          <w:szCs w:val="24"/>
        </w:rPr>
        <w:t>“</w:t>
      </w:r>
      <w:bookmarkStart w:id="2" w:name="para13"/>
      <w:r w:rsidRPr="00333DA5">
        <w:rPr>
          <w:szCs w:val="24"/>
        </w:rPr>
        <w:t>[13] Litigation between these parties began in earnest in early January 2020, when the mother</w:t>
      </w:r>
      <w:r w:rsidR="00013C92" w:rsidRPr="00333DA5">
        <w:rPr>
          <w:rStyle w:val="FootnoteReference"/>
          <w:szCs w:val="24"/>
        </w:rPr>
        <w:footnoteReference w:id="2"/>
      </w:r>
      <w:r w:rsidR="00013C92" w:rsidRPr="00333DA5">
        <w:rPr>
          <w:szCs w:val="24"/>
        </w:rPr>
        <w:t xml:space="preserve"> </w:t>
      </w:r>
      <w:r w:rsidRPr="00333DA5">
        <w:rPr>
          <w:szCs w:val="24"/>
        </w:rPr>
        <w:t xml:space="preserve"> applied (on-line) for a divorce in the Court in England; her petition was issued on 29 January 2020. On 4 February 2020, the father applied for a divorce (and child arrangements and financial relief) through the Bulgarian Court. Confusingly, on 21 February the English Court issued a second divorce petition on the mother's application (bearing the same case number). The mother claims that the Bulgarian divorce proceedings have not been served on her, a fact disputed by the father who points out that the mother applied successfully on 16 March 2020 within the Bulgarian proceedings for those proceedings to be transferred to her local court. The father has confirmed, by an Answer filed in England on 16 March, his intention to defend the English divorce proceedings </w:t>
      </w:r>
      <w:proofErr w:type="gramStart"/>
      <w:r w:rsidRPr="00333DA5">
        <w:rPr>
          <w:szCs w:val="24"/>
        </w:rPr>
        <w:t>on the basis of</w:t>
      </w:r>
      <w:proofErr w:type="gramEnd"/>
      <w:r w:rsidRPr="00333DA5">
        <w:rPr>
          <w:szCs w:val="24"/>
        </w:rPr>
        <w:t xml:space="preserve"> the divorce proceedings in Bulgaria; the English divorce proceedings have therefore currently been stayed.</w:t>
      </w:r>
      <w:bookmarkEnd w:id="2"/>
      <w:r w:rsidRPr="00333DA5">
        <w:rPr>
          <w:szCs w:val="24"/>
        </w:rPr>
        <w:t>”</w:t>
      </w:r>
    </w:p>
    <w:p w14:paraId="1E9EF55B" w14:textId="564CFA58" w:rsidR="00E82C16" w:rsidRPr="00333DA5" w:rsidRDefault="00FC5FA7" w:rsidP="001D0164">
      <w:pPr>
        <w:pStyle w:val="ParaLevel1"/>
        <w:rPr>
          <w:szCs w:val="24"/>
        </w:rPr>
      </w:pPr>
      <w:r w:rsidRPr="00333DA5">
        <w:rPr>
          <w:szCs w:val="24"/>
        </w:rPr>
        <w:t xml:space="preserve">For reasons which I summarised at </w:t>
      </w:r>
      <w:r w:rsidR="00055C91" w:rsidRPr="00333DA5">
        <w:rPr>
          <w:szCs w:val="24"/>
        </w:rPr>
        <w:t xml:space="preserve">§18 of the </w:t>
      </w:r>
      <w:r w:rsidR="00055C91" w:rsidRPr="00333DA5">
        <w:rPr>
          <w:i/>
          <w:iCs/>
          <w:szCs w:val="24"/>
        </w:rPr>
        <w:t xml:space="preserve">2021 Divorce </w:t>
      </w:r>
      <w:r w:rsidR="00EB0044" w:rsidRPr="00333DA5">
        <w:rPr>
          <w:i/>
          <w:iCs/>
          <w:szCs w:val="24"/>
        </w:rPr>
        <w:t>j</w:t>
      </w:r>
      <w:r w:rsidR="00055C91" w:rsidRPr="00333DA5">
        <w:rPr>
          <w:i/>
          <w:iCs/>
          <w:szCs w:val="24"/>
        </w:rPr>
        <w:t>udgment</w:t>
      </w:r>
      <w:r w:rsidRPr="00333DA5">
        <w:rPr>
          <w:szCs w:val="24"/>
        </w:rPr>
        <w:t xml:space="preserve">, this is a ‘legacy’ case to which the provisions of </w:t>
      </w:r>
      <w:r w:rsidR="00EB0044" w:rsidRPr="00333DA5">
        <w:rPr>
          <w:i/>
          <w:iCs/>
          <w:szCs w:val="24"/>
        </w:rPr>
        <w:t>Council Regulation 2201/2003</w:t>
      </w:r>
      <w:r w:rsidR="00EB0044" w:rsidRPr="00333DA5">
        <w:rPr>
          <w:szCs w:val="24"/>
        </w:rPr>
        <w:t xml:space="preserve"> (‘</w:t>
      </w:r>
      <w:r w:rsidRPr="00333DA5">
        <w:rPr>
          <w:i/>
          <w:iCs/>
          <w:szCs w:val="24"/>
        </w:rPr>
        <w:t>BIIR</w:t>
      </w:r>
      <w:r w:rsidR="00EB0044" w:rsidRPr="00333DA5">
        <w:rPr>
          <w:szCs w:val="24"/>
        </w:rPr>
        <w:t>’)</w:t>
      </w:r>
      <w:r w:rsidRPr="00333DA5">
        <w:rPr>
          <w:szCs w:val="24"/>
        </w:rPr>
        <w:t xml:space="preserve"> continue to apply. At §24 of the </w:t>
      </w:r>
      <w:r w:rsidR="00A05FC6" w:rsidRPr="00333DA5">
        <w:rPr>
          <w:i/>
          <w:iCs/>
          <w:szCs w:val="24"/>
        </w:rPr>
        <w:t xml:space="preserve">2021 Divorce </w:t>
      </w:r>
      <w:r w:rsidR="00EB0044" w:rsidRPr="00333DA5">
        <w:rPr>
          <w:i/>
          <w:iCs/>
          <w:szCs w:val="24"/>
        </w:rPr>
        <w:t>j</w:t>
      </w:r>
      <w:r w:rsidR="00A05FC6" w:rsidRPr="00333DA5">
        <w:rPr>
          <w:i/>
          <w:iCs/>
          <w:szCs w:val="24"/>
        </w:rPr>
        <w:t>udgment</w:t>
      </w:r>
      <w:r w:rsidRPr="00333DA5">
        <w:rPr>
          <w:szCs w:val="24"/>
        </w:rPr>
        <w:t xml:space="preserve">, I set out </w:t>
      </w:r>
      <w:r w:rsidRPr="00333DA5">
        <w:rPr>
          <w:i/>
          <w:iCs/>
          <w:szCs w:val="24"/>
        </w:rPr>
        <w:t>Article 16 BIIR</w:t>
      </w:r>
      <w:r w:rsidRPr="00333DA5">
        <w:rPr>
          <w:szCs w:val="24"/>
        </w:rPr>
        <w:t>.  Given its significance to the instant issue, I repeat it again here:</w:t>
      </w:r>
    </w:p>
    <w:p w14:paraId="67894624" w14:textId="77777777" w:rsidR="00FC5FA7" w:rsidRPr="00333DA5" w:rsidRDefault="00FC5FA7" w:rsidP="001D0164">
      <w:pPr>
        <w:pStyle w:val="ParaLevel1"/>
        <w:numPr>
          <w:ilvl w:val="0"/>
          <w:numId w:val="0"/>
        </w:numPr>
        <w:ind w:left="1701" w:right="1505"/>
        <w:rPr>
          <w:szCs w:val="24"/>
          <w:lang w:eastAsia="en-GB"/>
        </w:rPr>
      </w:pPr>
      <w:bookmarkStart w:id="3" w:name="para24"/>
      <w:r w:rsidRPr="00333DA5">
        <w:rPr>
          <w:szCs w:val="24"/>
        </w:rPr>
        <w:t>“A court shall be deemed to be seised:</w:t>
      </w:r>
    </w:p>
    <w:p w14:paraId="1854BBE8" w14:textId="77777777" w:rsidR="00FC5FA7" w:rsidRPr="00333DA5" w:rsidRDefault="00FC5FA7" w:rsidP="001D0164">
      <w:pPr>
        <w:pStyle w:val="ParaLevel1"/>
        <w:numPr>
          <w:ilvl w:val="0"/>
          <w:numId w:val="0"/>
        </w:numPr>
        <w:ind w:left="1701" w:right="1505"/>
        <w:rPr>
          <w:szCs w:val="24"/>
        </w:rPr>
      </w:pPr>
      <w:r w:rsidRPr="00333DA5">
        <w:rPr>
          <w:szCs w:val="24"/>
        </w:rPr>
        <w:t xml:space="preserve">(a) at the time when the document instituting the proceedings or an equivalent document </w:t>
      </w:r>
      <w:r w:rsidRPr="00333DA5">
        <w:rPr>
          <w:szCs w:val="24"/>
          <w:u w:val="single"/>
        </w:rPr>
        <w:t>is lodged with the court</w:t>
      </w:r>
      <w:r w:rsidRPr="00333DA5">
        <w:rPr>
          <w:szCs w:val="24"/>
        </w:rPr>
        <w:t xml:space="preserve">, </w:t>
      </w:r>
      <w:r w:rsidRPr="00333DA5">
        <w:rPr>
          <w:szCs w:val="24"/>
          <w:u w:val="single"/>
        </w:rPr>
        <w:t xml:space="preserve">provided that the applicant has not subsequently failed to take the steps he was required to take to have service effected on the </w:t>
      </w:r>
      <w:proofErr w:type="gramStart"/>
      <w:r w:rsidRPr="00333DA5">
        <w:rPr>
          <w:szCs w:val="24"/>
          <w:u w:val="single"/>
        </w:rPr>
        <w:t>respondent</w:t>
      </w:r>
      <w:r w:rsidRPr="00333DA5">
        <w:rPr>
          <w:szCs w:val="24"/>
        </w:rPr>
        <w:t>;</w:t>
      </w:r>
      <w:proofErr w:type="gramEnd"/>
    </w:p>
    <w:p w14:paraId="05B96B2F" w14:textId="77777777" w:rsidR="00FC5FA7" w:rsidRPr="00333DA5" w:rsidRDefault="00FC5FA7" w:rsidP="001D0164">
      <w:pPr>
        <w:pStyle w:val="ParaLevel1"/>
        <w:numPr>
          <w:ilvl w:val="0"/>
          <w:numId w:val="0"/>
        </w:numPr>
        <w:ind w:left="1701" w:right="1505"/>
        <w:rPr>
          <w:szCs w:val="24"/>
        </w:rPr>
      </w:pPr>
      <w:r w:rsidRPr="00333DA5">
        <w:rPr>
          <w:szCs w:val="24"/>
        </w:rPr>
        <w:t>or</w:t>
      </w:r>
    </w:p>
    <w:p w14:paraId="35518A85" w14:textId="77777777" w:rsidR="00FC5FA7" w:rsidRPr="00333DA5" w:rsidRDefault="00FC5FA7" w:rsidP="001D0164">
      <w:pPr>
        <w:pStyle w:val="ParaLevel1"/>
        <w:numPr>
          <w:ilvl w:val="0"/>
          <w:numId w:val="0"/>
        </w:numPr>
        <w:ind w:left="1701" w:right="1505"/>
        <w:rPr>
          <w:szCs w:val="24"/>
        </w:rPr>
      </w:pPr>
      <w:r w:rsidRPr="00333DA5">
        <w:rPr>
          <w:szCs w:val="24"/>
        </w:rPr>
        <w:t xml:space="preserve">(b) if the document </w:t>
      </w:r>
      <w:proofErr w:type="gramStart"/>
      <w:r w:rsidRPr="00333DA5">
        <w:rPr>
          <w:szCs w:val="24"/>
        </w:rPr>
        <w:t>has to</w:t>
      </w:r>
      <w:proofErr w:type="gramEnd"/>
      <w:r w:rsidRPr="00333DA5">
        <w:rPr>
          <w:szCs w:val="24"/>
        </w:rPr>
        <w:t xml:space="preserve"> be served before being lodged with the court, at the time when it is received by the authority responsible for service, provided that the applicant has not subsequently failed to take the steps he was required to take to have the document lodged with the court.”</w:t>
      </w:r>
    </w:p>
    <w:bookmarkEnd w:id="3"/>
    <w:p w14:paraId="7C788CA4" w14:textId="3EC7B6BD" w:rsidR="00FC5FA7" w:rsidRPr="00333DA5" w:rsidRDefault="00FC5FA7" w:rsidP="001D0164">
      <w:pPr>
        <w:pStyle w:val="ParaLevel1"/>
        <w:numPr>
          <w:ilvl w:val="0"/>
          <w:numId w:val="0"/>
        </w:numPr>
        <w:ind w:left="720"/>
        <w:rPr>
          <w:szCs w:val="24"/>
        </w:rPr>
      </w:pPr>
      <w:r w:rsidRPr="00333DA5">
        <w:rPr>
          <w:szCs w:val="24"/>
        </w:rPr>
        <w:t xml:space="preserve">I have added underlining to </w:t>
      </w:r>
      <w:r w:rsidR="00CF468A" w:rsidRPr="00333DA5">
        <w:rPr>
          <w:szCs w:val="24"/>
        </w:rPr>
        <w:t xml:space="preserve">give </w:t>
      </w:r>
      <w:r w:rsidRPr="00333DA5">
        <w:rPr>
          <w:szCs w:val="24"/>
        </w:rPr>
        <w:t>emphasis to the key provisions.</w:t>
      </w:r>
    </w:p>
    <w:p w14:paraId="2224E320" w14:textId="48E41B35" w:rsidR="002F2E98" w:rsidRPr="00333DA5" w:rsidRDefault="002F2E98" w:rsidP="001D0164">
      <w:pPr>
        <w:pStyle w:val="ParaLevel1"/>
        <w:rPr>
          <w:szCs w:val="24"/>
        </w:rPr>
      </w:pPr>
      <w:r w:rsidRPr="00333DA5">
        <w:rPr>
          <w:szCs w:val="24"/>
        </w:rPr>
        <w:t xml:space="preserve">Additionally, </w:t>
      </w:r>
      <w:r w:rsidR="0001326D" w:rsidRPr="00333DA5">
        <w:rPr>
          <w:szCs w:val="24"/>
        </w:rPr>
        <w:t xml:space="preserve">at §25 of the </w:t>
      </w:r>
      <w:r w:rsidR="0001326D" w:rsidRPr="00333DA5">
        <w:rPr>
          <w:i/>
          <w:iCs/>
          <w:szCs w:val="24"/>
        </w:rPr>
        <w:t>2021 Divorce judgment</w:t>
      </w:r>
      <w:r w:rsidR="0001326D" w:rsidRPr="00333DA5">
        <w:rPr>
          <w:szCs w:val="24"/>
        </w:rPr>
        <w:t xml:space="preserve">, </w:t>
      </w:r>
      <w:r w:rsidRPr="00333DA5">
        <w:rPr>
          <w:szCs w:val="24"/>
        </w:rPr>
        <w:t xml:space="preserve">I referenced </w:t>
      </w:r>
      <w:r w:rsidRPr="00333DA5">
        <w:rPr>
          <w:i/>
          <w:iCs/>
          <w:szCs w:val="24"/>
        </w:rPr>
        <w:t>Article 19</w:t>
      </w:r>
      <w:r w:rsidRPr="00333DA5">
        <w:rPr>
          <w:szCs w:val="24"/>
        </w:rPr>
        <w:t xml:space="preserve"> of </w:t>
      </w:r>
      <w:r w:rsidRPr="00333DA5">
        <w:rPr>
          <w:i/>
          <w:iCs/>
          <w:szCs w:val="24"/>
        </w:rPr>
        <w:t>BIIR</w:t>
      </w:r>
      <w:r w:rsidR="00C76A32" w:rsidRPr="00333DA5">
        <w:rPr>
          <w:szCs w:val="24"/>
        </w:rPr>
        <w:t xml:space="preserve">, and then the decision of the CJEU in </w:t>
      </w:r>
      <w:bookmarkStart w:id="4" w:name="para26"/>
      <w:r w:rsidR="00C76A32" w:rsidRPr="00333DA5">
        <w:rPr>
          <w:rStyle w:val="Emphasis"/>
          <w:color w:val="000000"/>
          <w:szCs w:val="24"/>
        </w:rPr>
        <w:t>MH v MH</w:t>
      </w:r>
      <w:r w:rsidR="00C76A32" w:rsidRPr="00333DA5">
        <w:rPr>
          <w:color w:val="000000"/>
          <w:szCs w:val="24"/>
        </w:rPr>
        <w:t> (Case C-173/16) </w:t>
      </w:r>
      <w:bookmarkEnd w:id="4"/>
      <w:r w:rsidR="00C76A32" w:rsidRPr="00333DA5">
        <w:rPr>
          <w:szCs w:val="24"/>
        </w:rPr>
        <w:t>[2017] ILPr 23</w:t>
      </w:r>
      <w:r w:rsidR="00C76A32" w:rsidRPr="00333DA5">
        <w:rPr>
          <w:color w:val="000000"/>
          <w:szCs w:val="24"/>
        </w:rPr>
        <w:t>, </w:t>
      </w:r>
      <w:r w:rsidR="00C76A32" w:rsidRPr="00333DA5">
        <w:rPr>
          <w:szCs w:val="24"/>
        </w:rPr>
        <w:t>EU:C:2016:542</w:t>
      </w:r>
      <w:r w:rsidR="00C76A32" w:rsidRPr="00333DA5">
        <w:rPr>
          <w:color w:val="000000"/>
          <w:szCs w:val="24"/>
        </w:rPr>
        <w:t xml:space="preserve">, 503.  </w:t>
      </w:r>
      <w:r w:rsidR="00DC5D06" w:rsidRPr="00333DA5">
        <w:rPr>
          <w:color w:val="000000"/>
          <w:szCs w:val="24"/>
        </w:rPr>
        <w:t xml:space="preserve">I </w:t>
      </w:r>
      <w:r w:rsidR="00E56518" w:rsidRPr="00333DA5">
        <w:rPr>
          <w:color w:val="000000"/>
          <w:szCs w:val="24"/>
        </w:rPr>
        <w:t xml:space="preserve">went on to </w:t>
      </w:r>
      <w:r w:rsidR="000D32CA" w:rsidRPr="00333DA5">
        <w:rPr>
          <w:color w:val="000000"/>
          <w:szCs w:val="24"/>
        </w:rPr>
        <w:t>reproduce</w:t>
      </w:r>
      <w:r w:rsidR="00E56518" w:rsidRPr="00333DA5">
        <w:rPr>
          <w:color w:val="000000"/>
          <w:szCs w:val="24"/>
        </w:rPr>
        <w:t xml:space="preserve"> </w:t>
      </w:r>
      <w:r w:rsidR="000D32CA" w:rsidRPr="00333DA5">
        <w:rPr>
          <w:color w:val="000000"/>
          <w:szCs w:val="24"/>
        </w:rPr>
        <w:t xml:space="preserve">paragraphs </w:t>
      </w:r>
      <w:r w:rsidR="00CF468A" w:rsidRPr="00333DA5">
        <w:rPr>
          <w:color w:val="000000"/>
          <w:szCs w:val="24"/>
        </w:rPr>
        <w:t>§</w:t>
      </w:r>
      <w:r w:rsidR="00DC5D06" w:rsidRPr="00333DA5">
        <w:rPr>
          <w:color w:val="000000"/>
          <w:szCs w:val="24"/>
        </w:rPr>
        <w:t>25</w:t>
      </w:r>
      <w:r w:rsidR="000D32CA" w:rsidRPr="00333DA5">
        <w:rPr>
          <w:color w:val="000000"/>
          <w:szCs w:val="24"/>
        </w:rPr>
        <w:t>,</w:t>
      </w:r>
      <w:r w:rsidR="00DC5D06" w:rsidRPr="00333DA5">
        <w:rPr>
          <w:color w:val="000000"/>
          <w:szCs w:val="24"/>
        </w:rPr>
        <w:t xml:space="preserve"> </w:t>
      </w:r>
      <w:r w:rsidR="00CF468A" w:rsidRPr="00333DA5">
        <w:rPr>
          <w:color w:val="000000"/>
          <w:szCs w:val="24"/>
        </w:rPr>
        <w:t>§</w:t>
      </w:r>
      <w:r w:rsidR="00DC5D06" w:rsidRPr="00333DA5">
        <w:rPr>
          <w:color w:val="000000"/>
          <w:szCs w:val="24"/>
        </w:rPr>
        <w:t xml:space="preserve">26 </w:t>
      </w:r>
      <w:r w:rsidR="000D32CA" w:rsidRPr="00333DA5">
        <w:rPr>
          <w:color w:val="000000"/>
          <w:szCs w:val="24"/>
        </w:rPr>
        <w:t xml:space="preserve">and </w:t>
      </w:r>
      <w:r w:rsidR="00CF468A" w:rsidRPr="00333DA5">
        <w:rPr>
          <w:color w:val="000000"/>
          <w:szCs w:val="24"/>
        </w:rPr>
        <w:t>§</w:t>
      </w:r>
      <w:r w:rsidR="000D32CA" w:rsidRPr="00333DA5">
        <w:rPr>
          <w:color w:val="000000"/>
          <w:szCs w:val="24"/>
        </w:rPr>
        <w:t xml:space="preserve">29 </w:t>
      </w:r>
      <w:r w:rsidR="00DC5D06" w:rsidRPr="00333DA5">
        <w:rPr>
          <w:color w:val="000000"/>
          <w:szCs w:val="24"/>
        </w:rPr>
        <w:t xml:space="preserve">of </w:t>
      </w:r>
      <w:r w:rsidR="00E56518" w:rsidRPr="00333DA5">
        <w:rPr>
          <w:i/>
          <w:iCs/>
          <w:color w:val="000000"/>
          <w:szCs w:val="24"/>
        </w:rPr>
        <w:t>MH v MH</w:t>
      </w:r>
      <w:r w:rsidR="00DC5D06" w:rsidRPr="00333DA5">
        <w:rPr>
          <w:color w:val="000000"/>
          <w:szCs w:val="24"/>
        </w:rPr>
        <w:t xml:space="preserve">, and repeat </w:t>
      </w:r>
      <w:r w:rsidR="000D32CA" w:rsidRPr="00333DA5">
        <w:rPr>
          <w:color w:val="000000"/>
          <w:szCs w:val="24"/>
        </w:rPr>
        <w:t xml:space="preserve">those paragraphs </w:t>
      </w:r>
      <w:r w:rsidR="00DC5D06" w:rsidRPr="00333DA5">
        <w:rPr>
          <w:color w:val="000000"/>
          <w:szCs w:val="24"/>
        </w:rPr>
        <w:t>here</w:t>
      </w:r>
      <w:r w:rsidR="00CF468A" w:rsidRPr="00333DA5">
        <w:rPr>
          <w:color w:val="000000"/>
          <w:szCs w:val="24"/>
        </w:rPr>
        <w:t xml:space="preserve">, again </w:t>
      </w:r>
      <w:r w:rsidR="00DC5D06" w:rsidRPr="00333DA5">
        <w:rPr>
          <w:color w:val="000000"/>
          <w:szCs w:val="24"/>
        </w:rPr>
        <w:t>for ease of reference:</w:t>
      </w:r>
    </w:p>
    <w:p w14:paraId="6148D3A4" w14:textId="37CF9866" w:rsidR="00DC5D06" w:rsidRPr="00333DA5" w:rsidRDefault="000D32CA" w:rsidP="001D0164">
      <w:pPr>
        <w:pStyle w:val="ParaLevel1"/>
        <w:numPr>
          <w:ilvl w:val="0"/>
          <w:numId w:val="0"/>
        </w:numPr>
        <w:ind w:left="1701" w:right="1505"/>
        <w:rPr>
          <w:szCs w:val="24"/>
          <w:lang w:eastAsia="en-GB"/>
        </w:rPr>
      </w:pPr>
      <w:r w:rsidRPr="00333DA5">
        <w:rPr>
          <w:szCs w:val="24"/>
        </w:rPr>
        <w:lastRenderedPageBreak/>
        <w:t xml:space="preserve">[25] </w:t>
      </w:r>
      <w:r w:rsidR="00DC5D06" w:rsidRPr="00333DA5">
        <w:rPr>
          <w:szCs w:val="24"/>
        </w:rPr>
        <w:t>“The EU legislature adopted a uniform concept of the time when a court is seised, which is determined by the performance of a single act, namely, depending on the procedural system under consideration, the lodging of the document instituting the proceedings or the service of that document, but which nevertheless takes into consideration whether the second act was in fact subsequently performed. Thus, pursuant to </w:t>
      </w:r>
      <w:r w:rsidR="00DC5D06" w:rsidRPr="00333DA5">
        <w:rPr>
          <w:i/>
          <w:iCs/>
          <w:szCs w:val="24"/>
        </w:rPr>
        <w:t>Article 16(1)(a)</w:t>
      </w:r>
      <w:r w:rsidR="00DC5D06" w:rsidRPr="00333DA5">
        <w:rPr>
          <w:szCs w:val="24"/>
        </w:rPr>
        <w:t> of </w:t>
      </w:r>
      <w:r w:rsidR="00DC5D06" w:rsidRPr="00333DA5">
        <w:rPr>
          <w:i/>
          <w:iCs/>
          <w:szCs w:val="24"/>
        </w:rPr>
        <w:t>Regulation No 2201/2003</w:t>
      </w:r>
      <w:r w:rsidR="00DC5D06" w:rsidRPr="00333DA5">
        <w:rPr>
          <w:szCs w:val="24"/>
        </w:rPr>
        <w:t>, the time when the court is seised is the time when the document instituting the proceedings or an equivalent document is lodged with the court, provided that the applicant has not subsequently failed to take the steps he was required to take to have service effected on the respondent (order of 16 July 2015 in P, C-507/14, not published, EU:C:2015:512, paragraph 32).</w:t>
      </w:r>
    </w:p>
    <w:p w14:paraId="41EC2E7E" w14:textId="4E91EA5B" w:rsidR="00DC5D06" w:rsidRPr="00333DA5" w:rsidRDefault="000D32CA" w:rsidP="001D0164">
      <w:pPr>
        <w:pStyle w:val="ParaLevel1"/>
        <w:numPr>
          <w:ilvl w:val="0"/>
          <w:numId w:val="0"/>
        </w:numPr>
        <w:ind w:left="1701" w:right="1505"/>
        <w:rPr>
          <w:szCs w:val="24"/>
        </w:rPr>
      </w:pPr>
      <w:r w:rsidRPr="00333DA5">
        <w:rPr>
          <w:szCs w:val="24"/>
        </w:rPr>
        <w:t xml:space="preserve">[26] </w:t>
      </w:r>
      <w:r w:rsidR="00DC5D06" w:rsidRPr="00333DA5">
        <w:rPr>
          <w:szCs w:val="24"/>
        </w:rPr>
        <w:t>The Court stated that, for the court to be deemed seised, </w:t>
      </w:r>
      <w:r w:rsidR="00DC5D06" w:rsidRPr="00333DA5">
        <w:rPr>
          <w:i/>
          <w:iCs/>
          <w:szCs w:val="24"/>
        </w:rPr>
        <w:t>Article</w:t>
      </w:r>
      <w:r w:rsidR="00CF468A" w:rsidRPr="00333DA5">
        <w:rPr>
          <w:i/>
          <w:iCs/>
          <w:szCs w:val="24"/>
        </w:rPr>
        <w:t xml:space="preserve"> </w:t>
      </w:r>
      <w:r w:rsidR="00DC5D06" w:rsidRPr="00333DA5">
        <w:rPr>
          <w:i/>
          <w:iCs/>
          <w:szCs w:val="24"/>
        </w:rPr>
        <w:t>16(1)(a)</w:t>
      </w:r>
      <w:r w:rsidR="00DC5D06" w:rsidRPr="00333DA5">
        <w:rPr>
          <w:szCs w:val="24"/>
        </w:rPr>
        <w:t> of </w:t>
      </w:r>
      <w:r w:rsidR="00DC5D06" w:rsidRPr="00333DA5">
        <w:rPr>
          <w:i/>
          <w:iCs/>
          <w:szCs w:val="24"/>
        </w:rPr>
        <w:t>Regulation No 2201/2003</w:t>
      </w:r>
      <w:r w:rsidR="00DC5D06" w:rsidRPr="00333DA5">
        <w:rPr>
          <w:szCs w:val="24"/>
        </w:rPr>
        <w:t> requires the satisfaction not of two conditions, namely that the document instituting the proceedings or an equivalent document must have been lodged and service thereof must have been effected on the respondent, but merely of one — that of lodging the document instituting proceedings or an equivalent document. Pursuant to that provision, </w:t>
      </w:r>
      <w:r w:rsidR="00DC5D06" w:rsidRPr="00333DA5">
        <w:rPr>
          <w:szCs w:val="24"/>
          <w:u w:val="single"/>
        </w:rPr>
        <w:t>the lodging of the document of itself renders the court seised, provided that the applicant has not subsequently failed to take the steps he was required to take to have service effected on the respondent</w:t>
      </w:r>
      <w:r w:rsidR="00DC5D06" w:rsidRPr="00333DA5">
        <w:rPr>
          <w:szCs w:val="24"/>
        </w:rPr>
        <w:t> (order of 16 July 2015 in P, C-507/14, not published, EU:C:2015:512, paragraph 37)” (Emphasis by underlining added).</w:t>
      </w:r>
    </w:p>
    <w:p w14:paraId="592FEA3E" w14:textId="75754484" w:rsidR="006417A1" w:rsidRPr="00333DA5" w:rsidRDefault="006417A1" w:rsidP="001D0164">
      <w:pPr>
        <w:pStyle w:val="ParaLevel1"/>
        <w:numPr>
          <w:ilvl w:val="0"/>
          <w:numId w:val="0"/>
        </w:numPr>
        <w:ind w:left="1701" w:right="1505"/>
        <w:rPr>
          <w:szCs w:val="24"/>
        </w:rPr>
      </w:pPr>
      <w:r w:rsidRPr="00333DA5">
        <w:rPr>
          <w:szCs w:val="24"/>
        </w:rPr>
        <w:t>….</w:t>
      </w:r>
    </w:p>
    <w:p w14:paraId="3F2A2DCA" w14:textId="1C3ADF0F" w:rsidR="00303A30" w:rsidRPr="00333DA5" w:rsidRDefault="000D32CA" w:rsidP="001D0164">
      <w:pPr>
        <w:shd w:val="clear" w:color="auto" w:fill="FFFFFF"/>
        <w:ind w:left="1701" w:right="1505"/>
        <w:jc w:val="both"/>
        <w:rPr>
          <w:color w:val="000000"/>
          <w:lang w:eastAsia="en-GB"/>
        </w:rPr>
      </w:pPr>
      <w:bookmarkStart w:id="5" w:name="para27"/>
      <w:r w:rsidRPr="00333DA5">
        <w:rPr>
          <w:color w:val="000000"/>
        </w:rPr>
        <w:t xml:space="preserve">[29] </w:t>
      </w:r>
      <w:r w:rsidR="00303A30" w:rsidRPr="00333DA5">
        <w:rPr>
          <w:color w:val="000000"/>
        </w:rPr>
        <w:t>“</w:t>
      </w:r>
      <w:r w:rsidR="00303A30" w:rsidRPr="00333DA5">
        <w:rPr>
          <w:i/>
          <w:iCs/>
          <w:color w:val="000000"/>
        </w:rPr>
        <w:t>Article 16(1)(a)</w:t>
      </w:r>
      <w:r w:rsidR="00303A30" w:rsidRPr="00333DA5">
        <w:rPr>
          <w:color w:val="000000"/>
        </w:rPr>
        <w:t> of </w:t>
      </w:r>
      <w:r w:rsidR="00303A30" w:rsidRPr="00333DA5">
        <w:rPr>
          <w:i/>
          <w:iCs/>
          <w:color w:val="000000"/>
        </w:rPr>
        <w:t>Council Regulation (EC) No 2201/2003</w:t>
      </w:r>
      <w:r w:rsidR="00303A30" w:rsidRPr="00333DA5">
        <w:rPr>
          <w:color w:val="000000"/>
        </w:rPr>
        <w:t> of 27 November 2003 concerning jurisdiction and the recognition and enforcement of judgments in matrimonial matters and the matters of parental responsibility, repealing Regulation (EC) No 1347/2000, must be interpreted to the effect that the ‘time when the document instituting the proceedings or an equivalent document is lodged with the court’, within the meaning of that provision, </w:t>
      </w:r>
      <w:r w:rsidR="00303A30" w:rsidRPr="00333DA5">
        <w:rPr>
          <w:color w:val="000000"/>
          <w:u w:val="single"/>
        </w:rPr>
        <w:t>is the time when that document is lodged with the court concerned, even if under national law lodging that document does not of itself immediately initiate proceedings.</w:t>
      </w:r>
      <w:r w:rsidR="00303A30" w:rsidRPr="00333DA5">
        <w:rPr>
          <w:color w:val="000000"/>
        </w:rPr>
        <w:t>”</w:t>
      </w:r>
    </w:p>
    <w:bookmarkEnd w:id="5"/>
    <w:p w14:paraId="4958F706" w14:textId="4891CDF2" w:rsidR="00303A30" w:rsidRPr="00333DA5" w:rsidRDefault="009552BD" w:rsidP="001D0164">
      <w:pPr>
        <w:pStyle w:val="ParaLevel1"/>
        <w:rPr>
          <w:color w:val="000000"/>
          <w:szCs w:val="24"/>
        </w:rPr>
      </w:pPr>
      <w:r w:rsidRPr="00333DA5">
        <w:rPr>
          <w:szCs w:val="24"/>
        </w:rPr>
        <w:t xml:space="preserve">I went on to consider the judgment of the Court of Appeal in </w:t>
      </w:r>
      <w:bookmarkStart w:id="6" w:name="para29"/>
      <w:r w:rsidRPr="00333DA5">
        <w:rPr>
          <w:i/>
          <w:iCs/>
          <w:color w:val="000000"/>
          <w:szCs w:val="24"/>
        </w:rPr>
        <w:t>Thum v Thum</w:t>
      </w:r>
      <w:r w:rsidRPr="00333DA5">
        <w:rPr>
          <w:color w:val="000000"/>
          <w:szCs w:val="24"/>
        </w:rPr>
        <w:t> </w:t>
      </w:r>
      <w:bookmarkEnd w:id="6"/>
      <w:r w:rsidRPr="00333DA5">
        <w:rPr>
          <w:szCs w:val="24"/>
        </w:rPr>
        <w:t>[2018] EWCA Civ 624</w:t>
      </w:r>
      <w:r w:rsidRPr="00333DA5">
        <w:rPr>
          <w:color w:val="000000"/>
          <w:szCs w:val="24"/>
        </w:rPr>
        <w:t xml:space="preserve">, specifically at </w:t>
      </w:r>
      <w:r w:rsidR="00CF468A" w:rsidRPr="00333DA5">
        <w:rPr>
          <w:color w:val="000000"/>
          <w:szCs w:val="24"/>
        </w:rPr>
        <w:t>§</w:t>
      </w:r>
      <w:r w:rsidRPr="00333DA5">
        <w:rPr>
          <w:color w:val="000000"/>
          <w:szCs w:val="24"/>
        </w:rPr>
        <w:t xml:space="preserve">55.  I return to this </w:t>
      </w:r>
      <w:r w:rsidR="00D411D3" w:rsidRPr="00333DA5">
        <w:rPr>
          <w:color w:val="000000"/>
          <w:szCs w:val="24"/>
        </w:rPr>
        <w:t xml:space="preserve">decision </w:t>
      </w:r>
      <w:r w:rsidR="00CF468A" w:rsidRPr="00333DA5">
        <w:rPr>
          <w:color w:val="000000"/>
          <w:szCs w:val="24"/>
        </w:rPr>
        <w:t>at §</w:t>
      </w:r>
      <w:r w:rsidR="00301BB8" w:rsidRPr="00333DA5">
        <w:rPr>
          <w:color w:val="000000"/>
          <w:szCs w:val="24"/>
        </w:rPr>
        <w:t>2</w:t>
      </w:r>
      <w:r w:rsidR="00565F6E">
        <w:rPr>
          <w:color w:val="000000"/>
          <w:szCs w:val="24"/>
        </w:rPr>
        <w:t>5</w:t>
      </w:r>
      <w:r w:rsidR="00CF468A" w:rsidRPr="00333DA5">
        <w:rPr>
          <w:color w:val="000000"/>
          <w:szCs w:val="24"/>
        </w:rPr>
        <w:t xml:space="preserve"> </w:t>
      </w:r>
      <w:r w:rsidR="00301BB8" w:rsidRPr="00333DA5">
        <w:rPr>
          <w:color w:val="000000"/>
          <w:szCs w:val="24"/>
        </w:rPr>
        <w:t>below</w:t>
      </w:r>
      <w:r w:rsidRPr="00333DA5">
        <w:rPr>
          <w:color w:val="000000"/>
          <w:szCs w:val="24"/>
        </w:rPr>
        <w:t>.</w:t>
      </w:r>
    </w:p>
    <w:p w14:paraId="506C8CD3" w14:textId="7A3B26E7" w:rsidR="00EC49C1" w:rsidRPr="00333DA5" w:rsidRDefault="00EC49C1" w:rsidP="001D0164">
      <w:pPr>
        <w:pStyle w:val="ParaLevel1"/>
        <w:rPr>
          <w:color w:val="000000"/>
          <w:szCs w:val="24"/>
        </w:rPr>
      </w:pPr>
      <w:r w:rsidRPr="00333DA5">
        <w:rPr>
          <w:szCs w:val="24"/>
        </w:rPr>
        <w:t>A</w:t>
      </w:r>
      <w:r w:rsidR="00404FD7" w:rsidRPr="00333DA5">
        <w:rPr>
          <w:szCs w:val="24"/>
        </w:rPr>
        <w:t xml:space="preserve">t </w:t>
      </w:r>
      <w:r w:rsidR="00BE7765" w:rsidRPr="00333DA5">
        <w:rPr>
          <w:szCs w:val="24"/>
        </w:rPr>
        <w:t>§</w:t>
      </w:r>
      <w:r w:rsidR="00404FD7" w:rsidRPr="00333DA5">
        <w:rPr>
          <w:szCs w:val="24"/>
        </w:rPr>
        <w:t xml:space="preserve">30 of the </w:t>
      </w:r>
      <w:r w:rsidR="00BE7765" w:rsidRPr="00333DA5">
        <w:rPr>
          <w:i/>
          <w:iCs/>
          <w:szCs w:val="24"/>
        </w:rPr>
        <w:t xml:space="preserve">2021 Divorce </w:t>
      </w:r>
      <w:r w:rsidR="00CF468A" w:rsidRPr="00333DA5">
        <w:rPr>
          <w:i/>
          <w:iCs/>
          <w:szCs w:val="24"/>
        </w:rPr>
        <w:t>j</w:t>
      </w:r>
      <w:r w:rsidR="00BE7765" w:rsidRPr="00333DA5">
        <w:rPr>
          <w:i/>
          <w:iCs/>
          <w:szCs w:val="24"/>
        </w:rPr>
        <w:t>udgment</w:t>
      </w:r>
      <w:r w:rsidR="00404FD7" w:rsidRPr="00333DA5">
        <w:rPr>
          <w:szCs w:val="24"/>
        </w:rPr>
        <w:t xml:space="preserve">, I cited the extensive passage in the judgment of </w:t>
      </w:r>
      <w:bookmarkStart w:id="7" w:name="para30"/>
      <w:r w:rsidR="003336B3" w:rsidRPr="00333DA5">
        <w:rPr>
          <w:szCs w:val="24"/>
        </w:rPr>
        <w:t>Judge Kostadinova</w:t>
      </w:r>
      <w:bookmarkEnd w:id="7"/>
      <w:r w:rsidR="003336B3" w:rsidRPr="00333DA5">
        <w:rPr>
          <w:szCs w:val="24"/>
        </w:rPr>
        <w:t xml:space="preserve"> of the Plovdiv Family Court in Bulgaria, and her finding</w:t>
      </w:r>
      <w:r w:rsidR="00CF468A" w:rsidRPr="00333DA5">
        <w:rPr>
          <w:szCs w:val="24"/>
        </w:rPr>
        <w:t>, confirmatory of my earlier finding,</w:t>
      </w:r>
      <w:r w:rsidR="003336B3" w:rsidRPr="00333DA5">
        <w:rPr>
          <w:szCs w:val="24"/>
        </w:rPr>
        <w:t xml:space="preserve"> that </w:t>
      </w:r>
      <w:r w:rsidRPr="00333DA5">
        <w:rPr>
          <w:szCs w:val="24"/>
        </w:rPr>
        <w:t>the English Court was the court first seised.</w:t>
      </w:r>
      <w:r w:rsidR="0089226A" w:rsidRPr="00333DA5">
        <w:rPr>
          <w:szCs w:val="24"/>
        </w:rPr>
        <w:t xml:space="preserve">  I </w:t>
      </w:r>
      <w:r w:rsidR="0089226A" w:rsidRPr="00333DA5">
        <w:rPr>
          <w:szCs w:val="24"/>
        </w:rPr>
        <w:lastRenderedPageBreak/>
        <w:t xml:space="preserve">repeat now what I said then – namely </w:t>
      </w:r>
      <w:r w:rsidR="00F76769" w:rsidRPr="00333DA5">
        <w:rPr>
          <w:szCs w:val="24"/>
        </w:rPr>
        <w:t>my admiration for the “</w:t>
      </w:r>
      <w:bookmarkStart w:id="8" w:name="para31"/>
      <w:r w:rsidR="00F76769" w:rsidRPr="00333DA5">
        <w:rPr>
          <w:szCs w:val="24"/>
        </w:rPr>
        <w:t>very careful, thorough, and legally impeccable analysis of the current situation” which the Bulgarian Judge had brought to the issue.</w:t>
      </w:r>
      <w:bookmarkEnd w:id="8"/>
    </w:p>
    <w:p w14:paraId="358F6E49" w14:textId="17AAF461" w:rsidR="00EC49C1" w:rsidRPr="00333DA5" w:rsidRDefault="00EC49C1" w:rsidP="001D0164">
      <w:pPr>
        <w:pStyle w:val="ParaLevel1"/>
        <w:rPr>
          <w:szCs w:val="24"/>
          <w:lang w:eastAsia="en-GB"/>
        </w:rPr>
      </w:pPr>
      <w:bookmarkStart w:id="9" w:name="para33"/>
      <w:r w:rsidRPr="00333DA5">
        <w:rPr>
          <w:szCs w:val="24"/>
        </w:rPr>
        <w:t xml:space="preserve">I </w:t>
      </w:r>
      <w:r w:rsidR="00FA302B">
        <w:rPr>
          <w:szCs w:val="24"/>
        </w:rPr>
        <w:t xml:space="preserve">continued </w:t>
      </w:r>
      <w:r w:rsidR="00262096" w:rsidRPr="00333DA5">
        <w:rPr>
          <w:szCs w:val="24"/>
        </w:rPr>
        <w:t xml:space="preserve">in the </w:t>
      </w:r>
      <w:r w:rsidR="00262096" w:rsidRPr="00333DA5">
        <w:rPr>
          <w:i/>
          <w:iCs/>
          <w:szCs w:val="24"/>
        </w:rPr>
        <w:t xml:space="preserve">2021 Divorce </w:t>
      </w:r>
      <w:r w:rsidR="0045718A" w:rsidRPr="00333DA5">
        <w:rPr>
          <w:i/>
          <w:iCs/>
          <w:szCs w:val="24"/>
        </w:rPr>
        <w:t>j</w:t>
      </w:r>
      <w:r w:rsidR="00262096" w:rsidRPr="00333DA5">
        <w:rPr>
          <w:i/>
          <w:iCs/>
          <w:szCs w:val="24"/>
        </w:rPr>
        <w:t>udgment</w:t>
      </w:r>
      <w:r w:rsidR="00262096" w:rsidRPr="00333DA5">
        <w:rPr>
          <w:szCs w:val="24"/>
        </w:rPr>
        <w:t xml:space="preserve"> </w:t>
      </w:r>
      <w:r w:rsidRPr="00333DA5">
        <w:rPr>
          <w:szCs w:val="24"/>
        </w:rPr>
        <w:t>at §33 – 37 to say this:</w:t>
      </w:r>
    </w:p>
    <w:p w14:paraId="0D6339A4" w14:textId="4BF8115D" w:rsidR="00EC49C1" w:rsidRPr="00333DA5" w:rsidRDefault="00EC49C1" w:rsidP="001D0164">
      <w:pPr>
        <w:pStyle w:val="ParaLevel1"/>
        <w:numPr>
          <w:ilvl w:val="0"/>
          <w:numId w:val="0"/>
        </w:numPr>
        <w:ind w:left="1701" w:right="1505"/>
        <w:rPr>
          <w:szCs w:val="24"/>
          <w:lang w:eastAsia="en-GB"/>
        </w:rPr>
      </w:pPr>
      <w:r w:rsidRPr="00333DA5">
        <w:rPr>
          <w:szCs w:val="24"/>
        </w:rPr>
        <w:t>“33.</w:t>
      </w:r>
      <w:r w:rsidRPr="00333DA5">
        <w:rPr>
          <w:szCs w:val="24"/>
        </w:rPr>
        <w:tab/>
        <w:t>The mother’s</w:t>
      </w:r>
      <w:r w:rsidR="00013C92" w:rsidRPr="00333DA5">
        <w:rPr>
          <w:szCs w:val="24"/>
        </w:rPr>
        <w:t xml:space="preserve"> </w:t>
      </w:r>
      <w:r w:rsidRPr="00333DA5">
        <w:rPr>
          <w:szCs w:val="24"/>
        </w:rPr>
        <w:t>case is that her petition was successfully lodged (on-line) in England on 12 January 2020.  The undisputed material documentary evidence which relates to this is as follows:</w:t>
      </w:r>
    </w:p>
    <w:p w14:paraId="32A6F037" w14:textId="77777777" w:rsidR="00EC49C1" w:rsidRPr="00333DA5" w:rsidRDefault="00EC49C1" w:rsidP="001D0164">
      <w:pPr>
        <w:pStyle w:val="ParaLevel1"/>
        <w:numPr>
          <w:ilvl w:val="0"/>
          <w:numId w:val="0"/>
        </w:numPr>
        <w:ind w:left="1701" w:right="1505"/>
        <w:rPr>
          <w:szCs w:val="24"/>
        </w:rPr>
      </w:pPr>
      <w:r w:rsidRPr="00333DA5">
        <w:rPr>
          <w:szCs w:val="24"/>
        </w:rPr>
        <w:t>i)                   TP has produced an e-mail receipt in respect of her on-line submission for divorce at 8:53:38pm on 12 January 2020; at that stage, the receipt recorded the following information: “Petition awaiting payment”;</w:t>
      </w:r>
    </w:p>
    <w:p w14:paraId="495A4B31" w14:textId="77777777" w:rsidR="00EC49C1" w:rsidRPr="00333DA5" w:rsidRDefault="00EC49C1" w:rsidP="001D0164">
      <w:pPr>
        <w:pStyle w:val="ParaLevel1"/>
        <w:numPr>
          <w:ilvl w:val="0"/>
          <w:numId w:val="0"/>
        </w:numPr>
        <w:ind w:left="1701" w:right="1505"/>
        <w:rPr>
          <w:szCs w:val="24"/>
        </w:rPr>
      </w:pPr>
      <w:r w:rsidRPr="00333DA5">
        <w:rPr>
          <w:szCs w:val="24"/>
        </w:rPr>
        <w:t xml:space="preserve">ii)                 At 11:03pm on 12 January 2020 (i.e., a couple of hours later on the same day), TP received a further receipt by e-mail confirming that “Your payment of £550 to Divorce was successful”, and a payment reference was </w:t>
      </w:r>
      <w:proofErr w:type="gramStart"/>
      <w:r w:rsidRPr="00333DA5">
        <w:rPr>
          <w:szCs w:val="24"/>
        </w:rPr>
        <w:t>given;</w:t>
      </w:r>
      <w:proofErr w:type="gramEnd"/>
    </w:p>
    <w:p w14:paraId="28036F25" w14:textId="77777777" w:rsidR="00EC49C1" w:rsidRPr="00333DA5" w:rsidRDefault="00EC49C1" w:rsidP="001D0164">
      <w:pPr>
        <w:pStyle w:val="ParaLevel1"/>
        <w:numPr>
          <w:ilvl w:val="0"/>
          <w:numId w:val="0"/>
        </w:numPr>
        <w:ind w:left="1701" w:right="1505"/>
        <w:rPr>
          <w:szCs w:val="24"/>
        </w:rPr>
      </w:pPr>
      <w:r w:rsidRPr="00333DA5">
        <w:rPr>
          <w:szCs w:val="24"/>
        </w:rPr>
        <w:t>iii)               Simultaneously to the message above (at (ii)) (11:03pm on 12 January 2020), TP received an e-mail in these terms: “Your divorce application has been submitted to the Courts and Tribunals Service Centre”.  A temporary reference number was given, and this was followed by the words “You’ll be given a full case number when your application has been accepted and issued”.</w:t>
      </w:r>
    </w:p>
    <w:p w14:paraId="26CB97D7" w14:textId="6DD3B74D" w:rsidR="00EC49C1" w:rsidRPr="00333DA5" w:rsidRDefault="00EC49C1" w:rsidP="001D0164">
      <w:pPr>
        <w:pStyle w:val="ParaLevel1"/>
        <w:numPr>
          <w:ilvl w:val="0"/>
          <w:numId w:val="0"/>
        </w:numPr>
        <w:ind w:left="1701" w:right="1505"/>
        <w:rPr>
          <w:szCs w:val="24"/>
        </w:rPr>
      </w:pPr>
      <w:bookmarkStart w:id="10" w:name="para34"/>
      <w:bookmarkEnd w:id="9"/>
      <w:r w:rsidRPr="00333DA5">
        <w:rPr>
          <w:szCs w:val="24"/>
        </w:rPr>
        <w:t>34.              As I earlier indicated (see the extract from my earlier judgment quoted at §16 above), it appears that the English petition was confusingly actually issued more than once, on 29 January 202</w:t>
      </w:r>
      <w:r w:rsidR="00460432" w:rsidRPr="00333DA5">
        <w:rPr>
          <w:szCs w:val="24"/>
        </w:rPr>
        <w:t>0</w:t>
      </w:r>
      <w:r w:rsidR="00460432" w:rsidRPr="00333DA5">
        <w:rPr>
          <w:rStyle w:val="FootnoteReference"/>
          <w:szCs w:val="24"/>
        </w:rPr>
        <w:footnoteReference w:id="3"/>
      </w:r>
      <w:r w:rsidRPr="00333DA5">
        <w:rPr>
          <w:szCs w:val="24"/>
        </w:rPr>
        <w:t>, on 20 February 202</w:t>
      </w:r>
      <w:r w:rsidR="003E3606" w:rsidRPr="00333DA5">
        <w:rPr>
          <w:szCs w:val="24"/>
        </w:rPr>
        <w:t>0</w:t>
      </w:r>
      <w:r w:rsidR="003E3606" w:rsidRPr="00333DA5">
        <w:rPr>
          <w:rStyle w:val="FootnoteReference"/>
          <w:szCs w:val="24"/>
        </w:rPr>
        <w:footnoteReference w:id="4"/>
      </w:r>
      <w:r w:rsidRPr="00333DA5">
        <w:rPr>
          <w:szCs w:val="24"/>
        </w:rPr>
        <w:t xml:space="preserve"> and/or on 21 February 202</w:t>
      </w:r>
      <w:r w:rsidR="003E3606" w:rsidRPr="00333DA5">
        <w:rPr>
          <w:szCs w:val="24"/>
        </w:rPr>
        <w:t>0</w:t>
      </w:r>
      <w:r w:rsidR="003E3606" w:rsidRPr="00333DA5">
        <w:rPr>
          <w:rStyle w:val="FootnoteReference"/>
          <w:szCs w:val="24"/>
        </w:rPr>
        <w:footnoteReference w:id="5"/>
      </w:r>
      <w:r w:rsidRPr="00333DA5">
        <w:rPr>
          <w:szCs w:val="24"/>
        </w:rPr>
        <w:t>.  On each occasion, the petition was given the same case-number.</w:t>
      </w:r>
    </w:p>
    <w:p w14:paraId="6B8CCBD3" w14:textId="689792D6" w:rsidR="00EC49C1" w:rsidRPr="00333DA5" w:rsidRDefault="00EC49C1" w:rsidP="001D0164">
      <w:pPr>
        <w:pStyle w:val="ParaLevel1"/>
        <w:numPr>
          <w:ilvl w:val="0"/>
          <w:numId w:val="0"/>
        </w:numPr>
        <w:ind w:left="1701" w:right="1505"/>
        <w:rPr>
          <w:szCs w:val="24"/>
        </w:rPr>
      </w:pPr>
      <w:bookmarkStart w:id="11" w:name="para35"/>
      <w:bookmarkEnd w:id="10"/>
      <w:r w:rsidRPr="00333DA5">
        <w:rPr>
          <w:szCs w:val="24"/>
        </w:rPr>
        <w:t>35.              It is recorded, and is not disputed, that NP issued his divorce proceedings in Varna Bulgaria on 4 February 202</w:t>
      </w:r>
      <w:r w:rsidR="003E3606" w:rsidRPr="00333DA5">
        <w:rPr>
          <w:szCs w:val="24"/>
        </w:rPr>
        <w:t>0</w:t>
      </w:r>
      <w:r w:rsidR="003E3606" w:rsidRPr="00333DA5">
        <w:rPr>
          <w:rStyle w:val="FootnoteReference"/>
          <w:szCs w:val="24"/>
        </w:rPr>
        <w:footnoteReference w:id="6"/>
      </w:r>
      <w:r w:rsidRPr="00333DA5">
        <w:rPr>
          <w:szCs w:val="24"/>
        </w:rPr>
        <w:t>.  NP’s primary case is that the court should treat the latest date in the sequence above (§33/34) i.e., 20/21 February (when final confirmation was received of the issuing of TP’s petition) as the date when the English Court was ‘seised’.  However, I am concerned not when the petition was </w:t>
      </w:r>
      <w:r w:rsidRPr="00333DA5">
        <w:rPr>
          <w:i/>
          <w:iCs/>
          <w:szCs w:val="24"/>
        </w:rPr>
        <w:t>issued</w:t>
      </w:r>
      <w:r w:rsidRPr="00333DA5">
        <w:rPr>
          <w:szCs w:val="24"/>
        </w:rPr>
        <w:t>, but when it was </w:t>
      </w:r>
      <w:r w:rsidRPr="00333DA5">
        <w:rPr>
          <w:i/>
          <w:iCs/>
          <w:szCs w:val="24"/>
        </w:rPr>
        <w:t>lodged</w:t>
      </w:r>
      <w:r w:rsidRPr="00333DA5">
        <w:rPr>
          <w:szCs w:val="24"/>
        </w:rPr>
        <w:t xml:space="preserve">.  When pressed, Mr Birch accepted that there was no evidential uncertainty about the date on which the English petition was submitted online, or </w:t>
      </w:r>
      <w:r w:rsidRPr="00333DA5">
        <w:rPr>
          <w:szCs w:val="24"/>
        </w:rPr>
        <w:lastRenderedPageBreak/>
        <w:t>‘lodged’, and that was 12 January 2020 (he conceded in submissions that “it is difficult to say that it was not lodged then”).</w:t>
      </w:r>
    </w:p>
    <w:p w14:paraId="13744AC0" w14:textId="77777777" w:rsidR="00EC49C1" w:rsidRPr="00333DA5" w:rsidRDefault="00EC49C1" w:rsidP="001D0164">
      <w:pPr>
        <w:pStyle w:val="ParaLevel1"/>
        <w:numPr>
          <w:ilvl w:val="0"/>
          <w:numId w:val="0"/>
        </w:numPr>
        <w:ind w:left="1701" w:right="1505"/>
        <w:rPr>
          <w:szCs w:val="24"/>
        </w:rPr>
      </w:pPr>
      <w:bookmarkStart w:id="12" w:name="para36"/>
      <w:bookmarkEnd w:id="11"/>
      <w:r w:rsidRPr="00333DA5">
        <w:rPr>
          <w:szCs w:val="24"/>
        </w:rPr>
        <w:t>36.              When is a petition (“the document instituting the proceedings or an equivalent document”) “lodged with the court” (per </w:t>
      </w:r>
      <w:r w:rsidRPr="00333DA5">
        <w:rPr>
          <w:i/>
          <w:iCs/>
          <w:szCs w:val="24"/>
        </w:rPr>
        <w:t>Article 16</w:t>
      </w:r>
      <w:r w:rsidRPr="00333DA5">
        <w:rPr>
          <w:szCs w:val="24"/>
        </w:rPr>
        <w:t>)?  The answer to this question is located in the judgment in </w:t>
      </w:r>
      <w:r w:rsidRPr="00333DA5">
        <w:rPr>
          <w:i/>
          <w:iCs/>
          <w:szCs w:val="24"/>
        </w:rPr>
        <w:t>MH</w:t>
      </w:r>
      <w:r w:rsidRPr="00333DA5">
        <w:rPr>
          <w:szCs w:val="24"/>
        </w:rPr>
        <w:t> (see above at §27): it “is the time when that document is lodged with the court concerned, even if under national law lodging that document does not of itself immediately initiate proceedings”.</w:t>
      </w:r>
    </w:p>
    <w:p w14:paraId="6F646D35" w14:textId="2734BBDB" w:rsidR="00EC49C1" w:rsidRPr="00333DA5" w:rsidRDefault="00EC49C1" w:rsidP="001D0164">
      <w:pPr>
        <w:pStyle w:val="ParaLevel1"/>
        <w:numPr>
          <w:ilvl w:val="0"/>
          <w:numId w:val="0"/>
        </w:numPr>
        <w:ind w:left="1701" w:right="1505"/>
        <w:rPr>
          <w:szCs w:val="24"/>
        </w:rPr>
      </w:pPr>
      <w:bookmarkStart w:id="13" w:name="para37"/>
      <w:bookmarkEnd w:id="12"/>
      <w:r w:rsidRPr="00333DA5">
        <w:rPr>
          <w:szCs w:val="24"/>
        </w:rPr>
        <w:t xml:space="preserve">37.              In my judgment, </w:t>
      </w:r>
      <w:proofErr w:type="gramStart"/>
      <w:r w:rsidRPr="00333DA5">
        <w:rPr>
          <w:szCs w:val="24"/>
        </w:rPr>
        <w:t>it is clear that TP’s</w:t>
      </w:r>
      <w:proofErr w:type="gramEnd"/>
      <w:r w:rsidRPr="00333DA5">
        <w:rPr>
          <w:szCs w:val="24"/>
        </w:rPr>
        <w:t xml:space="preserve"> divorce petition was successfully “lodged” in the English Court on the evening of the 12 January 202</w:t>
      </w:r>
      <w:r w:rsidR="00D30894" w:rsidRPr="00333DA5">
        <w:rPr>
          <w:szCs w:val="24"/>
        </w:rPr>
        <w:t>0</w:t>
      </w:r>
      <w:r w:rsidR="00D30894" w:rsidRPr="00333DA5">
        <w:rPr>
          <w:rStyle w:val="FootnoteReference"/>
          <w:szCs w:val="24"/>
        </w:rPr>
        <w:footnoteReference w:id="7"/>
      </w:r>
      <w:r w:rsidRPr="00333DA5">
        <w:rPr>
          <w:szCs w:val="24"/>
        </w:rPr>
        <w:t>.  While it is not material for me to decide whether this was at 8.53pm when TP received the receipt for her on-line submission, or when she received the later confirmation of her effective submission (11.03pm) once payment had been made, in my judgement it is likely to be the earlier time, and that would have been effective to establish seisin, provided that she went on to pay the requisite fee (a step which she would have been required to take prior to service on the Respondent: see </w:t>
      </w:r>
      <w:r w:rsidRPr="00333DA5">
        <w:rPr>
          <w:i/>
          <w:iCs/>
          <w:szCs w:val="24"/>
        </w:rPr>
        <w:t>Article 16(1)(a)</w:t>
      </w:r>
      <w:r w:rsidRPr="00333DA5">
        <w:rPr>
          <w:szCs w:val="24"/>
        </w:rPr>
        <w:t>), and that she did indeed serve NP (which I am satisfied she did).  On any view, she lodged her petition in England many days before NP lodged his petition with the Bulgarian Court.  I am, for the avoidance of doubt, satisfied on the authorities that it was not necessary for the court to issue the proceedings, nor for actual service to be effected on the respondent, in order to establish seisin under </w:t>
      </w:r>
      <w:r w:rsidRPr="00333DA5">
        <w:rPr>
          <w:i/>
          <w:iCs/>
          <w:szCs w:val="24"/>
        </w:rPr>
        <w:t>Article 16</w:t>
      </w:r>
      <w:r w:rsidRPr="00333DA5">
        <w:rPr>
          <w:szCs w:val="24"/>
        </w:rPr>
        <w:t>.”</w:t>
      </w:r>
    </w:p>
    <w:bookmarkEnd w:id="13"/>
    <w:p w14:paraId="1EB56270" w14:textId="111CB84A" w:rsidR="000E66B9" w:rsidRPr="00333DA5" w:rsidRDefault="000E66B9" w:rsidP="001D0164">
      <w:pPr>
        <w:pStyle w:val="ParaLevel1"/>
        <w:tabs>
          <w:tab w:val="clear" w:pos="720"/>
        </w:tabs>
        <w:rPr>
          <w:color w:val="000000"/>
          <w:szCs w:val="24"/>
        </w:rPr>
      </w:pPr>
      <w:r w:rsidRPr="00333DA5">
        <w:rPr>
          <w:color w:val="000000"/>
          <w:szCs w:val="24"/>
        </w:rPr>
        <w:t>At §50(iii)(a)</w:t>
      </w:r>
      <w:r w:rsidR="0045718A" w:rsidRPr="00333DA5">
        <w:rPr>
          <w:color w:val="000000"/>
          <w:szCs w:val="24"/>
        </w:rPr>
        <w:t xml:space="preserve"> of the </w:t>
      </w:r>
      <w:r w:rsidR="0045718A" w:rsidRPr="00333DA5">
        <w:rPr>
          <w:i/>
          <w:iCs/>
          <w:color w:val="000000"/>
          <w:szCs w:val="24"/>
        </w:rPr>
        <w:t>2021 Divorce judgment</w:t>
      </w:r>
      <w:r w:rsidRPr="00333DA5">
        <w:rPr>
          <w:color w:val="000000"/>
          <w:szCs w:val="24"/>
        </w:rPr>
        <w:t>, I concluded:</w:t>
      </w:r>
      <w:bookmarkStart w:id="14" w:name="para50"/>
    </w:p>
    <w:p w14:paraId="508B0DEF" w14:textId="0A944491" w:rsidR="000E66B9" w:rsidRPr="00333DA5" w:rsidRDefault="000E66B9" w:rsidP="001D0164">
      <w:pPr>
        <w:pStyle w:val="ParaLevel1"/>
        <w:numPr>
          <w:ilvl w:val="0"/>
          <w:numId w:val="0"/>
        </w:numPr>
        <w:ind w:left="1701" w:right="1505"/>
        <w:rPr>
          <w:color w:val="000000"/>
          <w:szCs w:val="24"/>
        </w:rPr>
      </w:pPr>
      <w:r w:rsidRPr="00333DA5">
        <w:rPr>
          <w:color w:val="000000"/>
          <w:szCs w:val="24"/>
        </w:rPr>
        <w:t>“</w:t>
      </w:r>
      <w:r w:rsidRPr="00333DA5">
        <w:rPr>
          <w:szCs w:val="24"/>
        </w:rPr>
        <w:t>England is the court first seised of divorce process; the divorce petition was lodged with the court on 12 January 2020.  This conclusion has separately been reached by the Bulgarian Court, who will be invited in the circumstances to decline jurisdiction now in accordance with </w:t>
      </w:r>
      <w:r w:rsidRPr="00333DA5">
        <w:rPr>
          <w:i/>
          <w:iCs/>
          <w:szCs w:val="24"/>
        </w:rPr>
        <w:t>Article 19(3) BIIR</w:t>
      </w:r>
      <w:r w:rsidRPr="00333DA5">
        <w:rPr>
          <w:szCs w:val="24"/>
        </w:rPr>
        <w:t>;”</w:t>
      </w:r>
    </w:p>
    <w:bookmarkEnd w:id="14"/>
    <w:p w14:paraId="5FA0BD83" w14:textId="71F7AC2A" w:rsidR="001B3048" w:rsidRPr="00333DA5" w:rsidRDefault="001E3D54" w:rsidP="001D0164">
      <w:pPr>
        <w:pStyle w:val="ParaLevel1"/>
        <w:numPr>
          <w:ilvl w:val="0"/>
          <w:numId w:val="0"/>
        </w:numPr>
        <w:ind w:left="720" w:hanging="720"/>
        <w:rPr>
          <w:i/>
          <w:iCs/>
          <w:szCs w:val="24"/>
        </w:rPr>
      </w:pPr>
      <w:r w:rsidRPr="00333DA5">
        <w:rPr>
          <w:i/>
          <w:iCs/>
          <w:szCs w:val="24"/>
        </w:rPr>
        <w:t>The new information</w:t>
      </w:r>
    </w:p>
    <w:p w14:paraId="743F1D4E" w14:textId="7F55C561" w:rsidR="00670F32" w:rsidRPr="00333DA5" w:rsidRDefault="00892AFF" w:rsidP="001D0164">
      <w:pPr>
        <w:pStyle w:val="ParaLevel1"/>
        <w:rPr>
          <w:szCs w:val="24"/>
        </w:rPr>
      </w:pPr>
      <w:r w:rsidRPr="00333DA5">
        <w:rPr>
          <w:szCs w:val="24"/>
        </w:rPr>
        <w:t>Since my ruling</w:t>
      </w:r>
      <w:r w:rsidR="00010D04" w:rsidRPr="00333DA5">
        <w:rPr>
          <w:szCs w:val="24"/>
        </w:rPr>
        <w:t xml:space="preserve"> in August 2021</w:t>
      </w:r>
      <w:r w:rsidRPr="00333DA5">
        <w:rPr>
          <w:szCs w:val="24"/>
        </w:rPr>
        <w:t xml:space="preserve">, </w:t>
      </w:r>
      <w:r w:rsidR="0048772C" w:rsidRPr="00333DA5">
        <w:rPr>
          <w:szCs w:val="24"/>
        </w:rPr>
        <w:t xml:space="preserve">both </w:t>
      </w:r>
      <w:r w:rsidRPr="00333DA5">
        <w:rPr>
          <w:szCs w:val="24"/>
        </w:rPr>
        <w:t xml:space="preserve">the </w:t>
      </w:r>
      <w:r w:rsidR="0048772C" w:rsidRPr="00333DA5">
        <w:rPr>
          <w:szCs w:val="24"/>
        </w:rPr>
        <w:t xml:space="preserve">husband </w:t>
      </w:r>
      <w:r w:rsidRPr="00333DA5">
        <w:rPr>
          <w:szCs w:val="24"/>
        </w:rPr>
        <w:t xml:space="preserve">and Mr Birch have </w:t>
      </w:r>
      <w:r w:rsidR="00FA302B">
        <w:rPr>
          <w:szCs w:val="24"/>
        </w:rPr>
        <w:t xml:space="preserve">jointly and individually </w:t>
      </w:r>
      <w:r w:rsidR="0045718A" w:rsidRPr="00333DA5">
        <w:rPr>
          <w:szCs w:val="24"/>
        </w:rPr>
        <w:t>made extensive enquiries</w:t>
      </w:r>
      <w:r w:rsidR="00C30688" w:rsidRPr="00333DA5">
        <w:rPr>
          <w:szCs w:val="24"/>
        </w:rPr>
        <w:t xml:space="preserve"> </w:t>
      </w:r>
      <w:r w:rsidR="0037794A" w:rsidRPr="00333DA5">
        <w:rPr>
          <w:szCs w:val="24"/>
        </w:rPr>
        <w:t xml:space="preserve">to establish with greater specificity </w:t>
      </w:r>
      <w:r w:rsidR="00C30688" w:rsidRPr="00333DA5">
        <w:rPr>
          <w:szCs w:val="24"/>
        </w:rPr>
        <w:t xml:space="preserve">the </w:t>
      </w:r>
      <w:proofErr w:type="gramStart"/>
      <w:r w:rsidR="000523FD" w:rsidRPr="00333DA5">
        <w:rPr>
          <w:szCs w:val="24"/>
        </w:rPr>
        <w:t xml:space="preserve">manner in </w:t>
      </w:r>
      <w:r w:rsidR="00C30688" w:rsidRPr="00333DA5">
        <w:rPr>
          <w:szCs w:val="24"/>
        </w:rPr>
        <w:t>which</w:t>
      </w:r>
      <w:proofErr w:type="gramEnd"/>
      <w:r w:rsidR="00C30688" w:rsidRPr="00333DA5">
        <w:rPr>
          <w:szCs w:val="24"/>
        </w:rPr>
        <w:t xml:space="preserve"> the wife’s petition </w:t>
      </w:r>
      <w:r w:rsidR="001A6260" w:rsidRPr="00333DA5">
        <w:rPr>
          <w:szCs w:val="24"/>
        </w:rPr>
        <w:t xml:space="preserve">for divorce </w:t>
      </w:r>
      <w:r w:rsidR="00C30688" w:rsidRPr="00333DA5">
        <w:rPr>
          <w:szCs w:val="24"/>
        </w:rPr>
        <w:t xml:space="preserve">was </w:t>
      </w:r>
      <w:r w:rsidR="009F33DD" w:rsidRPr="00333DA5">
        <w:rPr>
          <w:szCs w:val="24"/>
        </w:rPr>
        <w:t xml:space="preserve">processed </w:t>
      </w:r>
      <w:r w:rsidR="00C30688" w:rsidRPr="00333DA5">
        <w:rPr>
          <w:szCs w:val="24"/>
        </w:rPr>
        <w:t>in this country</w:t>
      </w:r>
      <w:r w:rsidR="000523FD" w:rsidRPr="00333DA5">
        <w:rPr>
          <w:szCs w:val="24"/>
        </w:rPr>
        <w:t>.  T</w:t>
      </w:r>
      <w:r w:rsidR="0037794A" w:rsidRPr="00333DA5">
        <w:rPr>
          <w:szCs w:val="24"/>
        </w:rPr>
        <w:t xml:space="preserve">hey </w:t>
      </w:r>
      <w:r w:rsidR="002B460B" w:rsidRPr="00333DA5">
        <w:rPr>
          <w:szCs w:val="24"/>
        </w:rPr>
        <w:t xml:space="preserve">plainly sought </w:t>
      </w:r>
      <w:r w:rsidR="00010D04" w:rsidRPr="00333DA5">
        <w:rPr>
          <w:szCs w:val="24"/>
        </w:rPr>
        <w:t xml:space="preserve">evidence which (a) </w:t>
      </w:r>
      <w:r w:rsidR="002B460B" w:rsidRPr="00333DA5">
        <w:rPr>
          <w:szCs w:val="24"/>
        </w:rPr>
        <w:t xml:space="preserve">would </w:t>
      </w:r>
      <w:r w:rsidR="00010D04" w:rsidRPr="00333DA5">
        <w:rPr>
          <w:szCs w:val="24"/>
        </w:rPr>
        <w:t>explain</w:t>
      </w:r>
      <w:r w:rsidR="0037794A" w:rsidRPr="00333DA5">
        <w:rPr>
          <w:szCs w:val="24"/>
        </w:rPr>
        <w:t xml:space="preserve"> </w:t>
      </w:r>
      <w:r w:rsidR="00010D04" w:rsidRPr="00333DA5">
        <w:rPr>
          <w:szCs w:val="24"/>
        </w:rPr>
        <w:t xml:space="preserve">the anomaly </w:t>
      </w:r>
      <w:r w:rsidR="00056647" w:rsidRPr="00333DA5">
        <w:rPr>
          <w:szCs w:val="24"/>
        </w:rPr>
        <w:t xml:space="preserve">of </w:t>
      </w:r>
      <w:r w:rsidR="00010D04" w:rsidRPr="00333DA5">
        <w:rPr>
          <w:szCs w:val="24"/>
        </w:rPr>
        <w:t xml:space="preserve">two petitions </w:t>
      </w:r>
      <w:r w:rsidR="00640F88" w:rsidRPr="00333DA5">
        <w:rPr>
          <w:szCs w:val="24"/>
        </w:rPr>
        <w:t xml:space="preserve">apparently </w:t>
      </w:r>
      <w:r w:rsidR="00056647" w:rsidRPr="00333DA5">
        <w:rPr>
          <w:szCs w:val="24"/>
        </w:rPr>
        <w:t xml:space="preserve">being </w:t>
      </w:r>
      <w:r w:rsidR="00010D04" w:rsidRPr="00333DA5">
        <w:rPr>
          <w:szCs w:val="24"/>
        </w:rPr>
        <w:t>issued in the English Court</w:t>
      </w:r>
      <w:r w:rsidR="00640F88" w:rsidRPr="00333DA5">
        <w:rPr>
          <w:szCs w:val="24"/>
        </w:rPr>
        <w:t>,</w:t>
      </w:r>
      <w:r w:rsidR="00010D04" w:rsidRPr="00333DA5">
        <w:rPr>
          <w:szCs w:val="24"/>
        </w:rPr>
        <w:t xml:space="preserve"> and (b) </w:t>
      </w:r>
      <w:r w:rsidR="0037794A" w:rsidRPr="00333DA5">
        <w:rPr>
          <w:szCs w:val="24"/>
        </w:rPr>
        <w:t xml:space="preserve">would </w:t>
      </w:r>
      <w:r w:rsidRPr="00333DA5">
        <w:rPr>
          <w:szCs w:val="24"/>
        </w:rPr>
        <w:t xml:space="preserve">unsettle </w:t>
      </w:r>
      <w:r w:rsidR="00010D04" w:rsidRPr="00333DA5">
        <w:rPr>
          <w:szCs w:val="24"/>
        </w:rPr>
        <w:t xml:space="preserve">my </w:t>
      </w:r>
      <w:r w:rsidRPr="00333DA5">
        <w:rPr>
          <w:szCs w:val="24"/>
        </w:rPr>
        <w:t>finding</w:t>
      </w:r>
      <w:r w:rsidR="00010D04" w:rsidRPr="00333DA5">
        <w:rPr>
          <w:szCs w:val="24"/>
        </w:rPr>
        <w:t xml:space="preserve"> that the wife’s divorce petition was lodged (within the meaning of </w:t>
      </w:r>
      <w:r w:rsidR="00010D04" w:rsidRPr="00333DA5">
        <w:rPr>
          <w:i/>
          <w:iCs/>
          <w:szCs w:val="24"/>
        </w:rPr>
        <w:t>Article 16 BIIR</w:t>
      </w:r>
      <w:r w:rsidR="00010D04" w:rsidRPr="00333DA5">
        <w:rPr>
          <w:szCs w:val="24"/>
        </w:rPr>
        <w:t>) on 12 January 2020</w:t>
      </w:r>
      <w:r w:rsidRPr="00333DA5">
        <w:rPr>
          <w:szCs w:val="24"/>
        </w:rPr>
        <w:t xml:space="preserve">.  </w:t>
      </w:r>
      <w:r w:rsidR="004A586E" w:rsidRPr="00333DA5">
        <w:rPr>
          <w:szCs w:val="24"/>
        </w:rPr>
        <w:t xml:space="preserve">They have obtained copies of </w:t>
      </w:r>
      <w:r w:rsidR="00F7593D" w:rsidRPr="00333DA5">
        <w:rPr>
          <w:szCs w:val="24"/>
        </w:rPr>
        <w:t xml:space="preserve">most of </w:t>
      </w:r>
      <w:r w:rsidR="004A586E" w:rsidRPr="00333DA5">
        <w:rPr>
          <w:szCs w:val="24"/>
        </w:rPr>
        <w:t xml:space="preserve">the </w:t>
      </w:r>
      <w:r w:rsidR="001E3D54" w:rsidRPr="00333DA5">
        <w:rPr>
          <w:szCs w:val="24"/>
        </w:rPr>
        <w:t xml:space="preserve">documents </w:t>
      </w:r>
      <w:r w:rsidR="00F7593D" w:rsidRPr="00333DA5">
        <w:rPr>
          <w:szCs w:val="24"/>
        </w:rPr>
        <w:t xml:space="preserve">which were </w:t>
      </w:r>
      <w:r w:rsidR="001E3D54" w:rsidRPr="00333DA5">
        <w:rPr>
          <w:szCs w:val="24"/>
        </w:rPr>
        <w:t xml:space="preserve">contained in the </w:t>
      </w:r>
      <w:r w:rsidR="00145C87" w:rsidRPr="00333DA5">
        <w:rPr>
          <w:szCs w:val="24"/>
        </w:rPr>
        <w:t xml:space="preserve">Family </w:t>
      </w:r>
      <w:r w:rsidR="004A586E" w:rsidRPr="00333DA5">
        <w:rPr>
          <w:szCs w:val="24"/>
        </w:rPr>
        <w:lastRenderedPageBreak/>
        <w:t>Court file (</w:t>
      </w:r>
      <w:proofErr w:type="gramStart"/>
      <w:r w:rsidR="004A586E" w:rsidRPr="00333DA5">
        <w:rPr>
          <w:szCs w:val="24"/>
        </w:rPr>
        <w:t>I myself</w:t>
      </w:r>
      <w:proofErr w:type="gramEnd"/>
      <w:r w:rsidR="004A586E" w:rsidRPr="00333DA5">
        <w:rPr>
          <w:szCs w:val="24"/>
        </w:rPr>
        <w:t xml:space="preserve"> went through the file in its entirety</w:t>
      </w:r>
      <w:r w:rsidR="001E3D54" w:rsidRPr="00333DA5">
        <w:rPr>
          <w:szCs w:val="24"/>
        </w:rPr>
        <w:t xml:space="preserve"> and </w:t>
      </w:r>
      <w:r w:rsidR="00F7593D" w:rsidRPr="00333DA5">
        <w:rPr>
          <w:szCs w:val="24"/>
        </w:rPr>
        <w:t xml:space="preserve">ordered the </w:t>
      </w:r>
      <w:r w:rsidR="001E3D54" w:rsidRPr="00333DA5">
        <w:rPr>
          <w:szCs w:val="24"/>
        </w:rPr>
        <w:t>release</w:t>
      </w:r>
      <w:r w:rsidR="00F7593D" w:rsidRPr="00333DA5">
        <w:rPr>
          <w:szCs w:val="24"/>
        </w:rPr>
        <w:t xml:space="preserve"> of a significant number of the documents</w:t>
      </w:r>
      <w:r w:rsidR="004A586E" w:rsidRPr="00333DA5">
        <w:rPr>
          <w:szCs w:val="24"/>
        </w:rPr>
        <w:t xml:space="preserve">), </w:t>
      </w:r>
      <w:r w:rsidR="00670F32" w:rsidRPr="00333DA5">
        <w:rPr>
          <w:szCs w:val="24"/>
        </w:rPr>
        <w:t xml:space="preserve">and with my permission </w:t>
      </w:r>
      <w:r w:rsidR="004A586E" w:rsidRPr="00333DA5">
        <w:rPr>
          <w:szCs w:val="24"/>
        </w:rPr>
        <w:t xml:space="preserve">they have obtained further </w:t>
      </w:r>
      <w:r w:rsidR="00670F32" w:rsidRPr="00333DA5">
        <w:rPr>
          <w:szCs w:val="24"/>
        </w:rPr>
        <w:t xml:space="preserve">printouts </w:t>
      </w:r>
      <w:r w:rsidR="004A586E" w:rsidRPr="00333DA5">
        <w:rPr>
          <w:szCs w:val="24"/>
        </w:rPr>
        <w:t>from the FamilyMan system</w:t>
      </w:r>
      <w:r w:rsidR="0021580A" w:rsidRPr="00333DA5">
        <w:rPr>
          <w:szCs w:val="24"/>
        </w:rPr>
        <w:t xml:space="preserve"> (this is the Family Court’s Case Management System)</w:t>
      </w:r>
      <w:r w:rsidR="001B3048" w:rsidRPr="00333DA5">
        <w:rPr>
          <w:szCs w:val="24"/>
        </w:rPr>
        <w:t>.</w:t>
      </w:r>
      <w:r w:rsidR="009631FD" w:rsidRPr="00333DA5">
        <w:rPr>
          <w:szCs w:val="24"/>
        </w:rPr>
        <w:t xml:space="preserve">  </w:t>
      </w:r>
    </w:p>
    <w:p w14:paraId="5545A606" w14:textId="5C9291F1" w:rsidR="001723AA" w:rsidRPr="00333DA5" w:rsidRDefault="00E679D3" w:rsidP="001D0164">
      <w:pPr>
        <w:pStyle w:val="ParaLevel1"/>
        <w:rPr>
          <w:szCs w:val="24"/>
        </w:rPr>
      </w:pPr>
      <w:r w:rsidRPr="00333DA5">
        <w:rPr>
          <w:szCs w:val="24"/>
        </w:rPr>
        <w:t>It is evident that</w:t>
      </w:r>
      <w:r w:rsidR="00670F32" w:rsidRPr="00333DA5">
        <w:rPr>
          <w:szCs w:val="24"/>
        </w:rPr>
        <w:t xml:space="preserve">, </w:t>
      </w:r>
      <w:proofErr w:type="gramStart"/>
      <w:r w:rsidR="00670F32" w:rsidRPr="00333DA5">
        <w:rPr>
          <w:szCs w:val="24"/>
        </w:rPr>
        <w:t>in spite of</w:t>
      </w:r>
      <w:proofErr w:type="gramEnd"/>
      <w:r w:rsidR="00670F32" w:rsidRPr="00333DA5">
        <w:rPr>
          <w:szCs w:val="24"/>
        </w:rPr>
        <w:t xml:space="preserve"> the considerable additional material now before the court,</w:t>
      </w:r>
      <w:r w:rsidRPr="00333DA5">
        <w:rPr>
          <w:szCs w:val="24"/>
        </w:rPr>
        <w:t xml:space="preserve"> there are still some gaps in the documentary </w:t>
      </w:r>
      <w:r w:rsidR="00491D84" w:rsidRPr="00333DA5">
        <w:rPr>
          <w:szCs w:val="24"/>
        </w:rPr>
        <w:t>archive</w:t>
      </w:r>
      <w:r w:rsidR="00BD759E" w:rsidRPr="00333DA5">
        <w:rPr>
          <w:szCs w:val="24"/>
        </w:rPr>
        <w:t xml:space="preserve">, and I </w:t>
      </w:r>
      <w:r w:rsidR="00491D84" w:rsidRPr="00333DA5">
        <w:rPr>
          <w:szCs w:val="24"/>
        </w:rPr>
        <w:t>re</w:t>
      </w:r>
      <w:r w:rsidR="00145C87" w:rsidRPr="00333DA5">
        <w:rPr>
          <w:szCs w:val="24"/>
        </w:rPr>
        <w:t xml:space="preserve">cognise </w:t>
      </w:r>
      <w:r w:rsidR="00491D84" w:rsidRPr="00333DA5">
        <w:rPr>
          <w:szCs w:val="24"/>
        </w:rPr>
        <w:t xml:space="preserve">that I </w:t>
      </w:r>
      <w:r w:rsidR="00BD759E" w:rsidRPr="00333DA5">
        <w:rPr>
          <w:szCs w:val="24"/>
        </w:rPr>
        <w:t>am</w:t>
      </w:r>
      <w:r w:rsidR="00145C87" w:rsidRPr="00333DA5">
        <w:rPr>
          <w:szCs w:val="24"/>
        </w:rPr>
        <w:t>,</w:t>
      </w:r>
      <w:r w:rsidR="00BD759E" w:rsidRPr="00333DA5">
        <w:rPr>
          <w:szCs w:val="24"/>
        </w:rPr>
        <w:t xml:space="preserve"> </w:t>
      </w:r>
      <w:r w:rsidR="00670F32" w:rsidRPr="00333DA5">
        <w:rPr>
          <w:szCs w:val="24"/>
        </w:rPr>
        <w:t>even now</w:t>
      </w:r>
      <w:r w:rsidR="00145C87" w:rsidRPr="00333DA5">
        <w:rPr>
          <w:szCs w:val="24"/>
        </w:rPr>
        <w:t>,</w:t>
      </w:r>
      <w:r w:rsidR="00670F32" w:rsidRPr="00333DA5">
        <w:rPr>
          <w:szCs w:val="24"/>
        </w:rPr>
        <w:t xml:space="preserve"> </w:t>
      </w:r>
      <w:r w:rsidR="00BD759E" w:rsidRPr="00333DA5">
        <w:rPr>
          <w:szCs w:val="24"/>
        </w:rPr>
        <w:t xml:space="preserve">working with </w:t>
      </w:r>
      <w:r w:rsidR="00640F88" w:rsidRPr="00333DA5">
        <w:rPr>
          <w:szCs w:val="24"/>
        </w:rPr>
        <w:t xml:space="preserve">an </w:t>
      </w:r>
      <w:r w:rsidR="00BD759E" w:rsidRPr="00333DA5">
        <w:rPr>
          <w:szCs w:val="24"/>
        </w:rPr>
        <w:t xml:space="preserve">incomplete </w:t>
      </w:r>
      <w:r w:rsidR="00640F88" w:rsidRPr="00333DA5">
        <w:rPr>
          <w:szCs w:val="24"/>
        </w:rPr>
        <w:t>suite of material</w:t>
      </w:r>
      <w:r w:rsidR="000D2CE7" w:rsidRPr="00333DA5">
        <w:rPr>
          <w:szCs w:val="24"/>
        </w:rPr>
        <w:t xml:space="preserve">.  </w:t>
      </w:r>
      <w:r w:rsidR="00670F32" w:rsidRPr="00333DA5">
        <w:rPr>
          <w:szCs w:val="24"/>
        </w:rPr>
        <w:t xml:space="preserve">By way of example, </w:t>
      </w:r>
      <w:r w:rsidR="000177C4" w:rsidRPr="00333DA5">
        <w:rPr>
          <w:szCs w:val="24"/>
        </w:rPr>
        <w:t>i</w:t>
      </w:r>
      <w:r w:rsidR="00670F32" w:rsidRPr="00333DA5">
        <w:rPr>
          <w:szCs w:val="24"/>
        </w:rPr>
        <w:t xml:space="preserve">t has been confirmed to the court by the </w:t>
      </w:r>
      <w:r w:rsidR="007341E6" w:rsidRPr="00333DA5">
        <w:rPr>
          <w:szCs w:val="24"/>
        </w:rPr>
        <w:t xml:space="preserve">Operations Manager at the </w:t>
      </w:r>
      <w:r w:rsidR="00B04EFD" w:rsidRPr="00333DA5">
        <w:rPr>
          <w:szCs w:val="24"/>
        </w:rPr>
        <w:t xml:space="preserve">relevant </w:t>
      </w:r>
      <w:r w:rsidR="007341E6" w:rsidRPr="00333DA5">
        <w:rPr>
          <w:szCs w:val="24"/>
        </w:rPr>
        <w:t>C</w:t>
      </w:r>
      <w:r w:rsidR="00A207A1" w:rsidRPr="00333DA5">
        <w:rPr>
          <w:szCs w:val="24"/>
        </w:rPr>
        <w:t xml:space="preserve">ourt and Tribunal Service Centre </w:t>
      </w:r>
      <w:r w:rsidR="00B30E66" w:rsidRPr="00333DA5">
        <w:rPr>
          <w:szCs w:val="24"/>
        </w:rPr>
        <w:t xml:space="preserve">(CTSC) </w:t>
      </w:r>
      <w:r w:rsidR="006B595A" w:rsidRPr="00333DA5">
        <w:rPr>
          <w:szCs w:val="24"/>
        </w:rPr>
        <w:t>(</w:t>
      </w:r>
      <w:r w:rsidR="00A45DDF" w:rsidRPr="00333DA5">
        <w:rPr>
          <w:szCs w:val="24"/>
        </w:rPr>
        <w:t xml:space="preserve">at </w:t>
      </w:r>
      <w:r w:rsidR="006B595A" w:rsidRPr="00333DA5">
        <w:rPr>
          <w:szCs w:val="24"/>
        </w:rPr>
        <w:t xml:space="preserve">which </w:t>
      </w:r>
      <w:r w:rsidR="00CF5553" w:rsidRPr="00333DA5">
        <w:rPr>
          <w:szCs w:val="24"/>
        </w:rPr>
        <w:t xml:space="preserve">HMCTS </w:t>
      </w:r>
      <w:r w:rsidR="0059352B" w:rsidRPr="00333DA5">
        <w:rPr>
          <w:szCs w:val="24"/>
        </w:rPr>
        <w:t>provide</w:t>
      </w:r>
      <w:r w:rsidR="00CF5553" w:rsidRPr="00333DA5">
        <w:rPr>
          <w:szCs w:val="24"/>
        </w:rPr>
        <w:t>s</w:t>
      </w:r>
      <w:r w:rsidR="0059352B" w:rsidRPr="00333DA5">
        <w:rPr>
          <w:szCs w:val="24"/>
        </w:rPr>
        <w:t xml:space="preserve"> centralised administration</w:t>
      </w:r>
      <w:r w:rsidR="00A45DDF" w:rsidRPr="00333DA5">
        <w:rPr>
          <w:szCs w:val="24"/>
        </w:rPr>
        <w:t xml:space="preserve"> in the </w:t>
      </w:r>
      <w:r w:rsidR="00A02BD5" w:rsidRPr="00333DA5">
        <w:rPr>
          <w:szCs w:val="24"/>
        </w:rPr>
        <w:t>processing of divorce applications</w:t>
      </w:r>
      <w:r w:rsidR="00CF5553" w:rsidRPr="00333DA5">
        <w:rPr>
          <w:szCs w:val="24"/>
        </w:rPr>
        <w:t>)</w:t>
      </w:r>
      <w:r w:rsidR="0059352B" w:rsidRPr="00333DA5">
        <w:rPr>
          <w:szCs w:val="24"/>
        </w:rPr>
        <w:t xml:space="preserve"> </w:t>
      </w:r>
      <w:r w:rsidR="001723AA" w:rsidRPr="00333DA5">
        <w:rPr>
          <w:szCs w:val="24"/>
        </w:rPr>
        <w:t xml:space="preserve">that </w:t>
      </w:r>
      <w:r w:rsidR="008C71C9" w:rsidRPr="00333DA5">
        <w:rPr>
          <w:szCs w:val="24"/>
        </w:rPr>
        <w:t xml:space="preserve">automatically generated </w:t>
      </w:r>
      <w:r w:rsidR="001723AA" w:rsidRPr="00333DA5">
        <w:rPr>
          <w:szCs w:val="24"/>
        </w:rPr>
        <w:t xml:space="preserve">e-mails sent </w:t>
      </w:r>
      <w:r w:rsidR="008C71C9" w:rsidRPr="00333DA5">
        <w:rPr>
          <w:szCs w:val="24"/>
        </w:rPr>
        <w:t xml:space="preserve">by </w:t>
      </w:r>
      <w:r w:rsidR="001723AA" w:rsidRPr="00333DA5">
        <w:rPr>
          <w:szCs w:val="24"/>
        </w:rPr>
        <w:t xml:space="preserve">the CTSC </w:t>
      </w:r>
      <w:r w:rsidR="008C71C9" w:rsidRPr="00333DA5">
        <w:rPr>
          <w:szCs w:val="24"/>
        </w:rPr>
        <w:t xml:space="preserve">to </w:t>
      </w:r>
      <w:r w:rsidR="00670F32" w:rsidRPr="00333DA5">
        <w:rPr>
          <w:szCs w:val="24"/>
        </w:rPr>
        <w:t xml:space="preserve">the wife </w:t>
      </w:r>
      <w:r w:rsidR="001723AA" w:rsidRPr="00333DA5">
        <w:rPr>
          <w:szCs w:val="24"/>
        </w:rPr>
        <w:t>in January/February 2020 “will not be retrievable. The notifications are automatically generated when a case moves into a different status within the digital system”</w:t>
      </w:r>
      <w:r w:rsidR="00536489" w:rsidRPr="00333DA5">
        <w:rPr>
          <w:szCs w:val="24"/>
        </w:rPr>
        <w:t>.</w:t>
      </w:r>
    </w:p>
    <w:p w14:paraId="4F31253E" w14:textId="4D1176C4" w:rsidR="00F7593D" w:rsidRPr="00333DA5" w:rsidRDefault="00536489" w:rsidP="001D0164">
      <w:pPr>
        <w:pStyle w:val="ParaLevel1"/>
        <w:rPr>
          <w:szCs w:val="24"/>
        </w:rPr>
      </w:pPr>
      <w:r w:rsidRPr="00333DA5">
        <w:rPr>
          <w:szCs w:val="24"/>
        </w:rPr>
        <w:t xml:space="preserve">Notwithstanding the </w:t>
      </w:r>
      <w:r w:rsidR="00B30E66" w:rsidRPr="00333DA5">
        <w:rPr>
          <w:szCs w:val="24"/>
        </w:rPr>
        <w:t>gaps, of which there may be a few,</w:t>
      </w:r>
      <w:r w:rsidRPr="00333DA5">
        <w:rPr>
          <w:szCs w:val="24"/>
        </w:rPr>
        <w:t xml:space="preserve"> t</w:t>
      </w:r>
      <w:r w:rsidR="00F7593D" w:rsidRPr="00333DA5">
        <w:rPr>
          <w:szCs w:val="24"/>
        </w:rPr>
        <w:t>he upshot of the</w:t>
      </w:r>
      <w:r w:rsidR="00B30E66" w:rsidRPr="00333DA5">
        <w:rPr>
          <w:szCs w:val="24"/>
        </w:rPr>
        <w:t xml:space="preserve"> husband’s </w:t>
      </w:r>
      <w:r w:rsidR="00535E8B" w:rsidRPr="00333DA5">
        <w:rPr>
          <w:szCs w:val="24"/>
        </w:rPr>
        <w:t>research</w:t>
      </w:r>
      <w:r w:rsidR="00F7593D" w:rsidRPr="00333DA5">
        <w:rPr>
          <w:szCs w:val="24"/>
        </w:rPr>
        <w:t xml:space="preserve"> is that a more detailed </w:t>
      </w:r>
      <w:r w:rsidR="00145F6A" w:rsidRPr="00333DA5">
        <w:rPr>
          <w:szCs w:val="24"/>
        </w:rPr>
        <w:t xml:space="preserve">timeline </w:t>
      </w:r>
      <w:r w:rsidR="00F7593D" w:rsidRPr="00333DA5">
        <w:rPr>
          <w:szCs w:val="24"/>
        </w:rPr>
        <w:t xml:space="preserve">of events </w:t>
      </w:r>
      <w:r w:rsidR="00D37592" w:rsidRPr="00333DA5">
        <w:rPr>
          <w:szCs w:val="24"/>
        </w:rPr>
        <w:t xml:space="preserve">is now available to the </w:t>
      </w:r>
      <w:r w:rsidR="00F7593D" w:rsidRPr="00333DA5">
        <w:rPr>
          <w:szCs w:val="24"/>
        </w:rPr>
        <w:t xml:space="preserve">court. </w:t>
      </w:r>
      <w:r w:rsidR="003C089C" w:rsidRPr="00333DA5">
        <w:rPr>
          <w:szCs w:val="24"/>
        </w:rPr>
        <w:t xml:space="preserve">There </w:t>
      </w:r>
      <w:r w:rsidR="00AA5E1D" w:rsidRPr="00333DA5">
        <w:rPr>
          <w:szCs w:val="24"/>
        </w:rPr>
        <w:t xml:space="preserve">having been </w:t>
      </w:r>
      <w:r w:rsidR="003C089C" w:rsidRPr="00333DA5">
        <w:rPr>
          <w:szCs w:val="24"/>
        </w:rPr>
        <w:t xml:space="preserve">no single, unified, chronology </w:t>
      </w:r>
      <w:r w:rsidR="00491D84" w:rsidRPr="00333DA5">
        <w:rPr>
          <w:szCs w:val="24"/>
        </w:rPr>
        <w:t>prepared by either party</w:t>
      </w:r>
      <w:r w:rsidR="003C089C" w:rsidRPr="00333DA5">
        <w:rPr>
          <w:szCs w:val="24"/>
        </w:rPr>
        <w:t xml:space="preserve">, </w:t>
      </w:r>
      <w:r w:rsidR="00F7593D" w:rsidRPr="00333DA5">
        <w:rPr>
          <w:szCs w:val="24"/>
        </w:rPr>
        <w:t xml:space="preserve">I </w:t>
      </w:r>
      <w:r w:rsidRPr="00333DA5">
        <w:rPr>
          <w:szCs w:val="24"/>
        </w:rPr>
        <w:t xml:space="preserve">have prepared one for myself, and </w:t>
      </w:r>
      <w:r w:rsidR="00A05E65" w:rsidRPr="00333DA5">
        <w:rPr>
          <w:szCs w:val="24"/>
        </w:rPr>
        <w:t xml:space="preserve">incorporate it </w:t>
      </w:r>
      <w:r w:rsidRPr="00333DA5">
        <w:rPr>
          <w:szCs w:val="24"/>
        </w:rPr>
        <w:t xml:space="preserve">(below) </w:t>
      </w:r>
      <w:r w:rsidR="00A05E65" w:rsidRPr="00333DA5">
        <w:rPr>
          <w:szCs w:val="24"/>
        </w:rPr>
        <w:t xml:space="preserve">into this judgment.  </w:t>
      </w:r>
      <w:r w:rsidR="007405FF" w:rsidRPr="00333DA5">
        <w:rPr>
          <w:szCs w:val="24"/>
        </w:rPr>
        <w:t xml:space="preserve">While the key dates in this chronology were known to me in July 2021, some of the detail was not: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718"/>
        <w:gridCol w:w="4168"/>
        <w:gridCol w:w="1878"/>
      </w:tblGrid>
      <w:tr w:rsidR="00A5254F" w:rsidRPr="00333DA5" w14:paraId="3C661FDE" w14:textId="77777777" w:rsidTr="00A02BD5">
        <w:trPr>
          <w:tblHeader/>
        </w:trPr>
        <w:tc>
          <w:tcPr>
            <w:tcW w:w="1209" w:type="dxa"/>
            <w:shd w:val="clear" w:color="auto" w:fill="D9D9D9"/>
          </w:tcPr>
          <w:p w14:paraId="7A7E2166" w14:textId="3F57C401" w:rsidR="00252C45" w:rsidRPr="00333DA5" w:rsidRDefault="00A80C3A" w:rsidP="001D0164">
            <w:pPr>
              <w:rPr>
                <w:rFonts w:eastAsia="Calibri"/>
                <w:sz w:val="22"/>
                <w:szCs w:val="22"/>
              </w:rPr>
            </w:pPr>
            <w:r w:rsidRPr="00333DA5">
              <w:rPr>
                <w:rFonts w:eastAsia="Calibri"/>
                <w:sz w:val="22"/>
                <w:szCs w:val="22"/>
              </w:rPr>
              <w:t>Date</w:t>
            </w:r>
            <w:r w:rsidR="00BB6BF4" w:rsidRPr="00333DA5">
              <w:rPr>
                <w:rFonts w:eastAsia="Calibri"/>
                <w:sz w:val="22"/>
                <w:szCs w:val="22"/>
              </w:rPr>
              <w:t xml:space="preserve"> [2020]</w:t>
            </w:r>
          </w:p>
        </w:tc>
        <w:tc>
          <w:tcPr>
            <w:tcW w:w="718" w:type="dxa"/>
            <w:shd w:val="clear" w:color="auto" w:fill="D9D9D9"/>
          </w:tcPr>
          <w:p w14:paraId="53D440C9" w14:textId="77777777" w:rsidR="00A80C3A" w:rsidRPr="00333DA5" w:rsidRDefault="00A80C3A" w:rsidP="001D0164">
            <w:pPr>
              <w:rPr>
                <w:rFonts w:eastAsia="Calibri"/>
                <w:sz w:val="22"/>
                <w:szCs w:val="22"/>
              </w:rPr>
            </w:pPr>
            <w:r w:rsidRPr="00333DA5">
              <w:rPr>
                <w:rFonts w:eastAsia="Calibri"/>
                <w:sz w:val="22"/>
                <w:szCs w:val="22"/>
              </w:rPr>
              <w:t>Time</w:t>
            </w:r>
          </w:p>
        </w:tc>
        <w:tc>
          <w:tcPr>
            <w:tcW w:w="4168" w:type="dxa"/>
            <w:shd w:val="clear" w:color="auto" w:fill="D9D9D9"/>
          </w:tcPr>
          <w:p w14:paraId="10C64D3E" w14:textId="77777777" w:rsidR="00A80C3A" w:rsidRPr="00333DA5" w:rsidRDefault="00A80C3A" w:rsidP="001D0164">
            <w:pPr>
              <w:jc w:val="both"/>
              <w:rPr>
                <w:rFonts w:eastAsia="Calibri"/>
                <w:sz w:val="22"/>
                <w:szCs w:val="22"/>
              </w:rPr>
            </w:pPr>
            <w:r w:rsidRPr="00333DA5">
              <w:rPr>
                <w:rFonts w:eastAsia="Calibri"/>
                <w:sz w:val="22"/>
                <w:szCs w:val="22"/>
              </w:rPr>
              <w:t>Event</w:t>
            </w:r>
          </w:p>
        </w:tc>
        <w:tc>
          <w:tcPr>
            <w:tcW w:w="1613" w:type="dxa"/>
            <w:shd w:val="clear" w:color="auto" w:fill="D9D9D9"/>
          </w:tcPr>
          <w:p w14:paraId="228DFE6B" w14:textId="77777777" w:rsidR="00A80C3A" w:rsidRPr="00333DA5" w:rsidRDefault="00A80C3A" w:rsidP="001D0164">
            <w:pPr>
              <w:rPr>
                <w:rFonts w:eastAsia="Calibri"/>
                <w:sz w:val="22"/>
                <w:szCs w:val="22"/>
              </w:rPr>
            </w:pPr>
            <w:r w:rsidRPr="00333DA5">
              <w:rPr>
                <w:rFonts w:eastAsia="Calibri"/>
                <w:sz w:val="22"/>
                <w:szCs w:val="22"/>
              </w:rPr>
              <w:t>Source</w:t>
            </w:r>
          </w:p>
        </w:tc>
      </w:tr>
      <w:tr w:rsidR="00A5254F" w:rsidRPr="00333DA5" w14:paraId="50667689" w14:textId="77777777" w:rsidTr="00A02BD5">
        <w:tc>
          <w:tcPr>
            <w:tcW w:w="1209" w:type="dxa"/>
            <w:shd w:val="clear" w:color="auto" w:fill="auto"/>
          </w:tcPr>
          <w:p w14:paraId="34E16F0D" w14:textId="77777777" w:rsidR="00A80C3A" w:rsidRPr="00333DA5" w:rsidRDefault="00A80C3A" w:rsidP="001D0164">
            <w:pPr>
              <w:rPr>
                <w:rFonts w:eastAsia="Calibri"/>
                <w:sz w:val="22"/>
                <w:szCs w:val="22"/>
              </w:rPr>
            </w:pPr>
            <w:r w:rsidRPr="00333DA5">
              <w:rPr>
                <w:rFonts w:eastAsia="Calibri"/>
                <w:sz w:val="22"/>
                <w:szCs w:val="22"/>
              </w:rPr>
              <w:t>12 January</w:t>
            </w:r>
          </w:p>
        </w:tc>
        <w:tc>
          <w:tcPr>
            <w:tcW w:w="718" w:type="dxa"/>
            <w:shd w:val="clear" w:color="auto" w:fill="auto"/>
          </w:tcPr>
          <w:p w14:paraId="476E12AD" w14:textId="77777777" w:rsidR="00A80C3A" w:rsidRPr="00333DA5" w:rsidRDefault="00A80C3A" w:rsidP="001D0164">
            <w:pPr>
              <w:rPr>
                <w:rFonts w:eastAsia="Calibri"/>
                <w:sz w:val="22"/>
                <w:szCs w:val="22"/>
              </w:rPr>
            </w:pPr>
            <w:r w:rsidRPr="00333DA5">
              <w:rPr>
                <w:rFonts w:eastAsia="Calibri"/>
                <w:sz w:val="22"/>
                <w:szCs w:val="22"/>
              </w:rPr>
              <w:t>20:53</w:t>
            </w:r>
          </w:p>
        </w:tc>
        <w:tc>
          <w:tcPr>
            <w:tcW w:w="4168" w:type="dxa"/>
            <w:shd w:val="clear" w:color="auto" w:fill="auto"/>
          </w:tcPr>
          <w:p w14:paraId="64CF3F3A" w14:textId="77777777" w:rsidR="00A80C3A" w:rsidRPr="00333DA5" w:rsidRDefault="00A80C3A" w:rsidP="001D0164">
            <w:pPr>
              <w:jc w:val="both"/>
              <w:rPr>
                <w:rFonts w:eastAsia="Calibri"/>
                <w:sz w:val="22"/>
                <w:szCs w:val="22"/>
              </w:rPr>
            </w:pPr>
            <w:r w:rsidRPr="00333DA5">
              <w:rPr>
                <w:rFonts w:eastAsia="Calibri"/>
                <w:sz w:val="22"/>
                <w:szCs w:val="22"/>
              </w:rPr>
              <w:t>Petition submitted; awaiting payment</w:t>
            </w:r>
          </w:p>
        </w:tc>
        <w:tc>
          <w:tcPr>
            <w:tcW w:w="1613" w:type="dxa"/>
            <w:shd w:val="clear" w:color="auto" w:fill="auto"/>
          </w:tcPr>
          <w:p w14:paraId="7DB97FBD" w14:textId="77777777" w:rsidR="00A80C3A" w:rsidRPr="00333DA5" w:rsidRDefault="00A80C3A" w:rsidP="001D0164">
            <w:pPr>
              <w:rPr>
                <w:rFonts w:eastAsia="Calibri"/>
                <w:sz w:val="22"/>
                <w:szCs w:val="22"/>
              </w:rPr>
            </w:pPr>
            <w:r w:rsidRPr="00333DA5">
              <w:rPr>
                <w:rFonts w:eastAsia="Calibri"/>
                <w:sz w:val="22"/>
                <w:szCs w:val="22"/>
              </w:rPr>
              <w:t xml:space="preserve">Automatic receipt </w:t>
            </w:r>
          </w:p>
        </w:tc>
      </w:tr>
      <w:tr w:rsidR="00A5254F" w:rsidRPr="00333DA5" w14:paraId="4F93B8C2" w14:textId="77777777" w:rsidTr="00A02BD5">
        <w:tc>
          <w:tcPr>
            <w:tcW w:w="1209" w:type="dxa"/>
            <w:shd w:val="clear" w:color="auto" w:fill="auto"/>
          </w:tcPr>
          <w:p w14:paraId="05DE4FCC" w14:textId="77777777" w:rsidR="00A80C3A" w:rsidRPr="00333DA5" w:rsidRDefault="00A80C3A" w:rsidP="001D0164">
            <w:pPr>
              <w:rPr>
                <w:rFonts w:eastAsia="Calibri"/>
                <w:sz w:val="22"/>
                <w:szCs w:val="22"/>
              </w:rPr>
            </w:pPr>
            <w:r w:rsidRPr="00333DA5">
              <w:rPr>
                <w:rFonts w:eastAsia="Calibri"/>
                <w:sz w:val="22"/>
                <w:szCs w:val="22"/>
              </w:rPr>
              <w:t>12 January</w:t>
            </w:r>
          </w:p>
        </w:tc>
        <w:tc>
          <w:tcPr>
            <w:tcW w:w="718" w:type="dxa"/>
            <w:shd w:val="clear" w:color="auto" w:fill="auto"/>
          </w:tcPr>
          <w:p w14:paraId="3CA7F969" w14:textId="77777777" w:rsidR="00A80C3A" w:rsidRPr="00333DA5" w:rsidRDefault="00A80C3A" w:rsidP="001D0164">
            <w:pPr>
              <w:rPr>
                <w:rFonts w:eastAsia="Calibri"/>
                <w:sz w:val="22"/>
                <w:szCs w:val="22"/>
              </w:rPr>
            </w:pPr>
            <w:r w:rsidRPr="00333DA5">
              <w:rPr>
                <w:rFonts w:eastAsia="Calibri"/>
                <w:sz w:val="22"/>
                <w:szCs w:val="22"/>
              </w:rPr>
              <w:t>23:03</w:t>
            </w:r>
          </w:p>
        </w:tc>
        <w:tc>
          <w:tcPr>
            <w:tcW w:w="4168" w:type="dxa"/>
            <w:shd w:val="clear" w:color="auto" w:fill="auto"/>
          </w:tcPr>
          <w:p w14:paraId="131802BF" w14:textId="77777777" w:rsidR="00A80C3A" w:rsidRPr="00333DA5" w:rsidRDefault="00A80C3A" w:rsidP="001D0164">
            <w:pPr>
              <w:jc w:val="both"/>
              <w:rPr>
                <w:rFonts w:eastAsia="Calibri"/>
                <w:sz w:val="22"/>
                <w:szCs w:val="22"/>
              </w:rPr>
            </w:pPr>
            <w:r w:rsidRPr="00333DA5">
              <w:rPr>
                <w:rFonts w:eastAsia="Calibri"/>
                <w:sz w:val="22"/>
                <w:szCs w:val="22"/>
              </w:rPr>
              <w:t>TP receives receipt for payment: “Your payment of £550 to Divorce was successful”, and a payment reference was given.</w:t>
            </w:r>
          </w:p>
        </w:tc>
        <w:tc>
          <w:tcPr>
            <w:tcW w:w="1613" w:type="dxa"/>
            <w:shd w:val="clear" w:color="auto" w:fill="auto"/>
          </w:tcPr>
          <w:p w14:paraId="1B2E0572" w14:textId="77777777" w:rsidR="00A80C3A" w:rsidRPr="00333DA5" w:rsidRDefault="00A80C3A" w:rsidP="001D0164">
            <w:pPr>
              <w:rPr>
                <w:rFonts w:eastAsia="Calibri"/>
                <w:sz w:val="22"/>
                <w:szCs w:val="22"/>
              </w:rPr>
            </w:pPr>
            <w:r w:rsidRPr="00333DA5">
              <w:rPr>
                <w:rFonts w:eastAsia="Calibri"/>
                <w:sz w:val="22"/>
                <w:szCs w:val="22"/>
              </w:rPr>
              <w:t>Automatic receipt</w:t>
            </w:r>
          </w:p>
        </w:tc>
      </w:tr>
      <w:tr w:rsidR="00A5254F" w:rsidRPr="00333DA5" w14:paraId="37644CCC" w14:textId="77777777" w:rsidTr="00A02BD5">
        <w:tc>
          <w:tcPr>
            <w:tcW w:w="1209" w:type="dxa"/>
            <w:shd w:val="clear" w:color="auto" w:fill="auto"/>
          </w:tcPr>
          <w:p w14:paraId="7123DC37" w14:textId="77777777" w:rsidR="00A80C3A" w:rsidRPr="00333DA5" w:rsidRDefault="00A80C3A" w:rsidP="001D0164">
            <w:pPr>
              <w:rPr>
                <w:rFonts w:eastAsia="Calibri"/>
                <w:sz w:val="22"/>
                <w:szCs w:val="22"/>
              </w:rPr>
            </w:pPr>
            <w:r w:rsidRPr="00333DA5">
              <w:rPr>
                <w:rFonts w:eastAsia="Calibri"/>
                <w:sz w:val="22"/>
                <w:szCs w:val="22"/>
              </w:rPr>
              <w:t xml:space="preserve">12 January </w:t>
            </w:r>
          </w:p>
        </w:tc>
        <w:tc>
          <w:tcPr>
            <w:tcW w:w="718" w:type="dxa"/>
            <w:shd w:val="clear" w:color="auto" w:fill="auto"/>
          </w:tcPr>
          <w:p w14:paraId="07C41FD9" w14:textId="77777777" w:rsidR="00A80C3A" w:rsidRPr="00333DA5" w:rsidRDefault="00A80C3A" w:rsidP="001D0164">
            <w:pPr>
              <w:rPr>
                <w:rFonts w:eastAsia="Calibri"/>
                <w:sz w:val="22"/>
                <w:szCs w:val="22"/>
              </w:rPr>
            </w:pPr>
            <w:r w:rsidRPr="00333DA5">
              <w:rPr>
                <w:rFonts w:eastAsia="Calibri"/>
                <w:sz w:val="22"/>
                <w:szCs w:val="22"/>
              </w:rPr>
              <w:t>23:03</w:t>
            </w:r>
          </w:p>
        </w:tc>
        <w:tc>
          <w:tcPr>
            <w:tcW w:w="4168" w:type="dxa"/>
            <w:shd w:val="clear" w:color="auto" w:fill="auto"/>
          </w:tcPr>
          <w:p w14:paraId="5DD6F46D" w14:textId="56B9286E" w:rsidR="00A80C3A" w:rsidRPr="00333DA5" w:rsidRDefault="00A80C3A" w:rsidP="001D0164">
            <w:pPr>
              <w:jc w:val="both"/>
              <w:rPr>
                <w:rFonts w:eastAsia="Calibri"/>
                <w:sz w:val="22"/>
                <w:szCs w:val="22"/>
              </w:rPr>
            </w:pPr>
            <w:r w:rsidRPr="00333DA5">
              <w:rPr>
                <w:rFonts w:eastAsia="Calibri"/>
                <w:sz w:val="22"/>
                <w:szCs w:val="22"/>
              </w:rPr>
              <w:t>“Dear [TP], Your divorce application has been submitted to the Courts and Tribunals Service Centre. Your temporary reference number is 1578-8624-1959-1360. You’ll be given a full case number when your application has been accepted and issued. You can contact us if you don’t hear anything back after 4 weeks”.</w:t>
            </w:r>
          </w:p>
        </w:tc>
        <w:tc>
          <w:tcPr>
            <w:tcW w:w="1613" w:type="dxa"/>
            <w:shd w:val="clear" w:color="auto" w:fill="auto"/>
          </w:tcPr>
          <w:p w14:paraId="1A6BDF5A" w14:textId="77777777" w:rsidR="00A80C3A" w:rsidRPr="00333DA5" w:rsidRDefault="00A80C3A" w:rsidP="001D0164">
            <w:pPr>
              <w:rPr>
                <w:rFonts w:eastAsia="Calibri"/>
                <w:sz w:val="22"/>
                <w:szCs w:val="22"/>
              </w:rPr>
            </w:pPr>
            <w:r w:rsidRPr="00333DA5">
              <w:rPr>
                <w:rFonts w:eastAsia="Calibri"/>
                <w:sz w:val="22"/>
                <w:szCs w:val="22"/>
              </w:rPr>
              <w:t xml:space="preserve">E-Mail: CTSC </w:t>
            </w:r>
            <w:r w:rsidRPr="00333DA5">
              <w:rPr>
                <w:rFonts w:eastAsia="Calibri"/>
                <w:sz w:val="22"/>
                <w:szCs w:val="22"/>
              </w:rPr>
              <w:sym w:font="Wingdings" w:char="F0E0"/>
            </w:r>
            <w:r w:rsidRPr="00333DA5">
              <w:rPr>
                <w:rFonts w:eastAsia="Calibri"/>
                <w:sz w:val="22"/>
                <w:szCs w:val="22"/>
              </w:rPr>
              <w:t xml:space="preserve"> TP</w:t>
            </w:r>
          </w:p>
        </w:tc>
      </w:tr>
      <w:tr w:rsidR="00A5254F" w:rsidRPr="00333DA5" w14:paraId="673906BD" w14:textId="77777777" w:rsidTr="00A02BD5">
        <w:tc>
          <w:tcPr>
            <w:tcW w:w="1209" w:type="dxa"/>
            <w:shd w:val="clear" w:color="auto" w:fill="auto"/>
          </w:tcPr>
          <w:p w14:paraId="1DE3046E" w14:textId="16633ED2" w:rsidR="00A80C3A" w:rsidRPr="00333DA5" w:rsidRDefault="00A80C3A" w:rsidP="001D0164">
            <w:pPr>
              <w:rPr>
                <w:rFonts w:eastAsia="Calibri"/>
                <w:sz w:val="22"/>
                <w:szCs w:val="22"/>
              </w:rPr>
            </w:pPr>
            <w:r w:rsidRPr="00333DA5">
              <w:rPr>
                <w:rFonts w:eastAsia="Calibri"/>
                <w:sz w:val="22"/>
                <w:szCs w:val="22"/>
              </w:rPr>
              <w:t>13 January</w:t>
            </w:r>
          </w:p>
        </w:tc>
        <w:tc>
          <w:tcPr>
            <w:tcW w:w="718" w:type="dxa"/>
            <w:shd w:val="clear" w:color="auto" w:fill="auto"/>
          </w:tcPr>
          <w:p w14:paraId="292DAD07" w14:textId="77777777" w:rsidR="00A80C3A" w:rsidRPr="00333DA5" w:rsidRDefault="00A80C3A" w:rsidP="001D0164">
            <w:pPr>
              <w:rPr>
                <w:rFonts w:eastAsia="Calibri"/>
                <w:sz w:val="22"/>
                <w:szCs w:val="22"/>
              </w:rPr>
            </w:pPr>
          </w:p>
        </w:tc>
        <w:tc>
          <w:tcPr>
            <w:tcW w:w="4168" w:type="dxa"/>
            <w:shd w:val="clear" w:color="auto" w:fill="auto"/>
          </w:tcPr>
          <w:p w14:paraId="5853C0CE" w14:textId="77777777" w:rsidR="00A80C3A" w:rsidRPr="00333DA5" w:rsidRDefault="00A80C3A" w:rsidP="001D0164">
            <w:pPr>
              <w:jc w:val="both"/>
              <w:rPr>
                <w:rFonts w:eastAsia="Calibri"/>
                <w:sz w:val="22"/>
                <w:szCs w:val="22"/>
              </w:rPr>
            </w:pPr>
            <w:r w:rsidRPr="00333DA5">
              <w:rPr>
                <w:rFonts w:eastAsia="Calibri"/>
                <w:sz w:val="22"/>
                <w:szCs w:val="22"/>
              </w:rPr>
              <w:t>Telephone conversation between TP and CTSC (see entry below)</w:t>
            </w:r>
          </w:p>
        </w:tc>
        <w:tc>
          <w:tcPr>
            <w:tcW w:w="1613" w:type="dxa"/>
            <w:shd w:val="clear" w:color="auto" w:fill="auto"/>
          </w:tcPr>
          <w:p w14:paraId="201881D2" w14:textId="66403FC2" w:rsidR="00A80C3A" w:rsidRPr="00333DA5" w:rsidRDefault="00AE3FE1" w:rsidP="001D0164">
            <w:pPr>
              <w:rPr>
                <w:rFonts w:eastAsia="Calibri"/>
                <w:sz w:val="22"/>
                <w:szCs w:val="22"/>
              </w:rPr>
            </w:pPr>
            <w:r w:rsidRPr="00333DA5">
              <w:rPr>
                <w:rFonts w:eastAsia="Calibri"/>
                <w:sz w:val="22"/>
                <w:szCs w:val="22"/>
              </w:rPr>
              <w:t>No separate record</w:t>
            </w:r>
          </w:p>
        </w:tc>
      </w:tr>
      <w:tr w:rsidR="00A5254F" w:rsidRPr="00333DA5" w14:paraId="6607F3FB" w14:textId="77777777" w:rsidTr="00A02BD5">
        <w:tc>
          <w:tcPr>
            <w:tcW w:w="1209" w:type="dxa"/>
            <w:shd w:val="clear" w:color="auto" w:fill="auto"/>
          </w:tcPr>
          <w:p w14:paraId="11C47C5F" w14:textId="786DC9AA" w:rsidR="00A80C3A" w:rsidRPr="00333DA5" w:rsidRDefault="00A80C3A" w:rsidP="001D0164">
            <w:pPr>
              <w:rPr>
                <w:rFonts w:eastAsia="Calibri"/>
                <w:sz w:val="22"/>
                <w:szCs w:val="22"/>
              </w:rPr>
            </w:pPr>
            <w:r w:rsidRPr="00333DA5">
              <w:rPr>
                <w:rFonts w:eastAsia="Calibri"/>
                <w:sz w:val="22"/>
                <w:szCs w:val="22"/>
              </w:rPr>
              <w:t xml:space="preserve">13 January </w:t>
            </w:r>
          </w:p>
        </w:tc>
        <w:tc>
          <w:tcPr>
            <w:tcW w:w="718" w:type="dxa"/>
            <w:shd w:val="clear" w:color="auto" w:fill="auto"/>
          </w:tcPr>
          <w:p w14:paraId="39E3F7B8" w14:textId="77777777" w:rsidR="00A80C3A" w:rsidRPr="00333DA5" w:rsidRDefault="00A80C3A" w:rsidP="001D0164">
            <w:pPr>
              <w:rPr>
                <w:rFonts w:eastAsia="Calibri"/>
                <w:sz w:val="22"/>
                <w:szCs w:val="22"/>
              </w:rPr>
            </w:pPr>
          </w:p>
        </w:tc>
        <w:tc>
          <w:tcPr>
            <w:tcW w:w="4168" w:type="dxa"/>
            <w:shd w:val="clear" w:color="auto" w:fill="auto"/>
          </w:tcPr>
          <w:p w14:paraId="79A311F3" w14:textId="37735322" w:rsidR="00A80C3A" w:rsidRPr="00333DA5" w:rsidRDefault="00A80C3A" w:rsidP="001D0164">
            <w:pPr>
              <w:jc w:val="both"/>
              <w:rPr>
                <w:rFonts w:eastAsia="Calibri"/>
                <w:sz w:val="22"/>
                <w:szCs w:val="22"/>
              </w:rPr>
            </w:pPr>
            <w:r w:rsidRPr="00333DA5">
              <w:rPr>
                <w:rFonts w:eastAsia="Calibri"/>
                <w:sz w:val="22"/>
                <w:szCs w:val="22"/>
              </w:rPr>
              <w:t xml:space="preserve">CTSC </w:t>
            </w:r>
            <w:r w:rsidR="00AE3FE1" w:rsidRPr="00333DA5">
              <w:rPr>
                <w:rFonts w:eastAsia="Calibri"/>
                <w:sz w:val="22"/>
                <w:szCs w:val="22"/>
              </w:rPr>
              <w:t>later asserts</w:t>
            </w:r>
            <w:r w:rsidRPr="00333DA5">
              <w:rPr>
                <w:rFonts w:eastAsia="Calibri"/>
                <w:sz w:val="22"/>
                <w:szCs w:val="22"/>
              </w:rPr>
              <w:t xml:space="preserve"> that in a telephone conversation on this day, the wife asked that the application “be put on hold”</w:t>
            </w:r>
            <w:r w:rsidR="005978A5" w:rsidRPr="00333DA5">
              <w:rPr>
                <w:rFonts w:eastAsia="Calibri"/>
                <w:sz w:val="22"/>
                <w:szCs w:val="22"/>
              </w:rPr>
              <w:t>.</w:t>
            </w:r>
          </w:p>
        </w:tc>
        <w:tc>
          <w:tcPr>
            <w:tcW w:w="1613" w:type="dxa"/>
            <w:shd w:val="clear" w:color="auto" w:fill="auto"/>
          </w:tcPr>
          <w:p w14:paraId="7FF49BBF" w14:textId="77777777" w:rsidR="00A80C3A" w:rsidRPr="00333DA5" w:rsidRDefault="00A80C3A" w:rsidP="001D0164">
            <w:pPr>
              <w:rPr>
                <w:rFonts w:eastAsia="Calibri"/>
                <w:sz w:val="22"/>
                <w:szCs w:val="22"/>
              </w:rPr>
            </w:pPr>
            <w:r w:rsidRPr="00333DA5">
              <w:rPr>
                <w:rFonts w:eastAsia="Calibri"/>
                <w:sz w:val="22"/>
                <w:szCs w:val="22"/>
              </w:rPr>
              <w:t xml:space="preserve">E-Mail: CTSC </w:t>
            </w:r>
            <w:r w:rsidRPr="00333DA5">
              <w:rPr>
                <w:rFonts w:eastAsia="Calibri"/>
                <w:sz w:val="22"/>
                <w:szCs w:val="22"/>
              </w:rPr>
              <w:sym w:font="Wingdings" w:char="F0E0"/>
            </w:r>
            <w:r w:rsidRPr="00333DA5">
              <w:rPr>
                <w:rFonts w:eastAsia="Calibri"/>
                <w:sz w:val="22"/>
                <w:szCs w:val="22"/>
              </w:rPr>
              <w:t xml:space="preserve"> NP</w:t>
            </w:r>
          </w:p>
        </w:tc>
      </w:tr>
      <w:tr w:rsidR="00A5254F" w:rsidRPr="00333DA5" w14:paraId="3D34BB69" w14:textId="77777777" w:rsidTr="00A02BD5">
        <w:tc>
          <w:tcPr>
            <w:tcW w:w="1209" w:type="dxa"/>
            <w:shd w:val="clear" w:color="auto" w:fill="auto"/>
          </w:tcPr>
          <w:p w14:paraId="5A27DF4A" w14:textId="26DE749F" w:rsidR="00A80C3A" w:rsidRPr="00333DA5" w:rsidRDefault="00A80C3A" w:rsidP="001D0164">
            <w:pPr>
              <w:rPr>
                <w:rFonts w:eastAsia="Calibri"/>
                <w:sz w:val="22"/>
                <w:szCs w:val="22"/>
              </w:rPr>
            </w:pPr>
            <w:r w:rsidRPr="00333DA5">
              <w:rPr>
                <w:rFonts w:eastAsia="Calibri"/>
                <w:sz w:val="22"/>
                <w:szCs w:val="22"/>
              </w:rPr>
              <w:t>15 January</w:t>
            </w:r>
          </w:p>
        </w:tc>
        <w:tc>
          <w:tcPr>
            <w:tcW w:w="718" w:type="dxa"/>
            <w:shd w:val="clear" w:color="auto" w:fill="auto"/>
          </w:tcPr>
          <w:p w14:paraId="46AE046E" w14:textId="77777777" w:rsidR="00A80C3A" w:rsidRPr="00333DA5" w:rsidRDefault="00A80C3A" w:rsidP="001D0164">
            <w:pPr>
              <w:rPr>
                <w:rFonts w:eastAsia="Calibri"/>
                <w:sz w:val="22"/>
                <w:szCs w:val="22"/>
              </w:rPr>
            </w:pPr>
            <w:r w:rsidRPr="00333DA5">
              <w:rPr>
                <w:rFonts w:eastAsia="Calibri"/>
                <w:sz w:val="22"/>
                <w:szCs w:val="22"/>
              </w:rPr>
              <w:t>23:31</w:t>
            </w:r>
          </w:p>
        </w:tc>
        <w:tc>
          <w:tcPr>
            <w:tcW w:w="4168" w:type="dxa"/>
            <w:shd w:val="clear" w:color="auto" w:fill="auto"/>
          </w:tcPr>
          <w:p w14:paraId="0AF0636F" w14:textId="1721C747" w:rsidR="00A80C3A" w:rsidRPr="00333DA5" w:rsidRDefault="00A80C3A" w:rsidP="001D0164">
            <w:pPr>
              <w:jc w:val="both"/>
              <w:rPr>
                <w:rFonts w:eastAsia="Calibri"/>
                <w:sz w:val="22"/>
                <w:szCs w:val="22"/>
              </w:rPr>
            </w:pPr>
            <w:r w:rsidRPr="00333DA5">
              <w:rPr>
                <w:rFonts w:eastAsia="Calibri"/>
                <w:sz w:val="22"/>
                <w:szCs w:val="22"/>
              </w:rPr>
              <w:t>“In relation to a conversation I had on Monday, 13 January 2020, with one of your colleagues over the telephone helpline, I am now attaching pictures of the Original and the Certified Copy of our Marriage Certificate. Please add these to my application with temporary reference number is 1578-8624-1959-1360.  I would highly appreciate it if you could let me know when you have received and accepted it. You will have to extract the four files”.</w:t>
            </w:r>
          </w:p>
        </w:tc>
        <w:tc>
          <w:tcPr>
            <w:tcW w:w="1613" w:type="dxa"/>
            <w:shd w:val="clear" w:color="auto" w:fill="auto"/>
          </w:tcPr>
          <w:p w14:paraId="43235305" w14:textId="77777777" w:rsidR="00A80C3A" w:rsidRPr="00333DA5" w:rsidRDefault="00A80C3A" w:rsidP="001D0164">
            <w:pPr>
              <w:rPr>
                <w:rFonts w:eastAsia="Calibri"/>
                <w:sz w:val="22"/>
                <w:szCs w:val="22"/>
              </w:rPr>
            </w:pPr>
            <w:r w:rsidRPr="00333DA5">
              <w:rPr>
                <w:rFonts w:eastAsia="Calibri"/>
                <w:sz w:val="22"/>
                <w:szCs w:val="22"/>
              </w:rPr>
              <w:t xml:space="preserve">E-Mail: TP </w:t>
            </w:r>
            <w:r w:rsidRPr="00333DA5">
              <w:rPr>
                <w:rFonts w:eastAsia="Calibri"/>
                <w:sz w:val="22"/>
                <w:szCs w:val="22"/>
              </w:rPr>
              <w:sym w:font="Wingdings" w:char="F0E0"/>
            </w:r>
            <w:r w:rsidRPr="00333DA5">
              <w:rPr>
                <w:rFonts w:eastAsia="Calibri"/>
                <w:sz w:val="22"/>
                <w:szCs w:val="22"/>
              </w:rPr>
              <w:t xml:space="preserve"> CTSC</w:t>
            </w:r>
          </w:p>
        </w:tc>
      </w:tr>
      <w:tr w:rsidR="00A5254F" w:rsidRPr="00333DA5" w14:paraId="36E66BAE" w14:textId="77777777" w:rsidTr="00A02BD5">
        <w:tc>
          <w:tcPr>
            <w:tcW w:w="1209" w:type="dxa"/>
            <w:shd w:val="clear" w:color="auto" w:fill="auto"/>
          </w:tcPr>
          <w:p w14:paraId="2B0687C2" w14:textId="77777777" w:rsidR="00A80C3A" w:rsidRPr="00333DA5" w:rsidRDefault="00A80C3A" w:rsidP="001D0164">
            <w:pPr>
              <w:rPr>
                <w:rFonts w:eastAsia="Calibri"/>
                <w:sz w:val="22"/>
                <w:szCs w:val="22"/>
              </w:rPr>
            </w:pPr>
            <w:r w:rsidRPr="00333DA5">
              <w:rPr>
                <w:rFonts w:eastAsia="Calibri"/>
                <w:sz w:val="22"/>
                <w:szCs w:val="22"/>
              </w:rPr>
              <w:t>16 January</w:t>
            </w:r>
          </w:p>
        </w:tc>
        <w:tc>
          <w:tcPr>
            <w:tcW w:w="718" w:type="dxa"/>
            <w:shd w:val="clear" w:color="auto" w:fill="auto"/>
          </w:tcPr>
          <w:p w14:paraId="3492E46F" w14:textId="77777777" w:rsidR="00A80C3A" w:rsidRPr="00333DA5" w:rsidRDefault="00A80C3A" w:rsidP="001D0164">
            <w:pPr>
              <w:rPr>
                <w:rFonts w:eastAsia="Calibri"/>
                <w:sz w:val="22"/>
                <w:szCs w:val="22"/>
              </w:rPr>
            </w:pPr>
            <w:r w:rsidRPr="00333DA5">
              <w:rPr>
                <w:rFonts w:eastAsia="Calibri"/>
                <w:sz w:val="22"/>
                <w:szCs w:val="22"/>
              </w:rPr>
              <w:t>19:25</w:t>
            </w:r>
          </w:p>
        </w:tc>
        <w:tc>
          <w:tcPr>
            <w:tcW w:w="4168" w:type="dxa"/>
            <w:shd w:val="clear" w:color="auto" w:fill="auto"/>
          </w:tcPr>
          <w:p w14:paraId="5FE102DD" w14:textId="65D49A05" w:rsidR="00A80C3A" w:rsidRPr="00333DA5" w:rsidRDefault="00A80C3A" w:rsidP="001D0164">
            <w:pPr>
              <w:jc w:val="both"/>
              <w:rPr>
                <w:rFonts w:eastAsia="Calibri"/>
                <w:sz w:val="22"/>
                <w:szCs w:val="22"/>
              </w:rPr>
            </w:pPr>
            <w:r w:rsidRPr="00333DA5">
              <w:rPr>
                <w:rFonts w:eastAsia="Calibri"/>
                <w:sz w:val="22"/>
                <w:szCs w:val="22"/>
              </w:rPr>
              <w:t xml:space="preserve">“Your application for divorce is being processed.  However, your marriage </w:t>
            </w:r>
            <w:r w:rsidRPr="00333DA5">
              <w:rPr>
                <w:rFonts w:eastAsia="Calibri"/>
                <w:sz w:val="22"/>
                <w:szCs w:val="22"/>
              </w:rPr>
              <w:lastRenderedPageBreak/>
              <w:t>certificate is not in an acceptable format for us to proceed. We cannot open the document attached as it is not in an acceptable format, could you please resen</w:t>
            </w:r>
            <w:r w:rsidR="00494195" w:rsidRPr="00333DA5">
              <w:rPr>
                <w:rFonts w:eastAsia="Calibri"/>
                <w:sz w:val="22"/>
                <w:szCs w:val="22"/>
              </w:rPr>
              <w:t>d</w:t>
            </w:r>
            <w:r w:rsidRPr="00333DA5">
              <w:rPr>
                <w:rFonts w:eastAsia="Calibri"/>
                <w:sz w:val="22"/>
                <w:szCs w:val="22"/>
              </w:rPr>
              <w:t xml:space="preserve"> the certificate in an acceptable format. You also need to send any other supporting documents for your application, if necessary. </w:t>
            </w:r>
            <w:r w:rsidR="0048554E" w:rsidRPr="00333DA5">
              <w:rPr>
                <w:rFonts w:eastAsia="Calibri"/>
                <w:sz w:val="22"/>
                <w:szCs w:val="22"/>
              </w:rPr>
              <w:t xml:space="preserve"> </w:t>
            </w:r>
            <w:r w:rsidRPr="00333DA5">
              <w:rPr>
                <w:rFonts w:eastAsia="Calibri"/>
                <w:sz w:val="22"/>
                <w:szCs w:val="22"/>
              </w:rPr>
              <w:t>Your divorce application cannot be issued until the court receives these documents. You must respond by 30/01/2020 or your application and fee will be returned to you</w:t>
            </w:r>
            <w:r w:rsidR="0048554E" w:rsidRPr="00333DA5">
              <w:rPr>
                <w:rFonts w:eastAsia="Calibri"/>
                <w:sz w:val="22"/>
                <w:szCs w:val="22"/>
              </w:rPr>
              <w:t>”</w:t>
            </w:r>
            <w:r w:rsidRPr="00333DA5">
              <w:rPr>
                <w:rFonts w:eastAsia="Calibri"/>
                <w:sz w:val="22"/>
                <w:szCs w:val="22"/>
              </w:rPr>
              <w:t>.</w:t>
            </w:r>
          </w:p>
        </w:tc>
        <w:tc>
          <w:tcPr>
            <w:tcW w:w="1613" w:type="dxa"/>
            <w:shd w:val="clear" w:color="auto" w:fill="auto"/>
          </w:tcPr>
          <w:p w14:paraId="5637D4AA" w14:textId="77777777" w:rsidR="00A80C3A" w:rsidRPr="00333DA5" w:rsidRDefault="00A80C3A" w:rsidP="001D0164">
            <w:pPr>
              <w:rPr>
                <w:rFonts w:eastAsia="Calibri"/>
                <w:sz w:val="22"/>
                <w:szCs w:val="22"/>
              </w:rPr>
            </w:pPr>
            <w:r w:rsidRPr="00333DA5">
              <w:rPr>
                <w:rFonts w:eastAsia="Calibri"/>
                <w:sz w:val="22"/>
                <w:szCs w:val="22"/>
              </w:rPr>
              <w:lastRenderedPageBreak/>
              <w:t xml:space="preserve">E-Mail: CTSC </w:t>
            </w:r>
            <w:r w:rsidRPr="00333DA5">
              <w:rPr>
                <w:rFonts w:eastAsia="Calibri"/>
                <w:sz w:val="22"/>
                <w:szCs w:val="22"/>
              </w:rPr>
              <w:sym w:font="Wingdings" w:char="F0E0"/>
            </w:r>
            <w:r w:rsidRPr="00333DA5">
              <w:rPr>
                <w:rFonts w:eastAsia="Calibri"/>
                <w:sz w:val="22"/>
                <w:szCs w:val="22"/>
              </w:rPr>
              <w:t xml:space="preserve"> TP</w:t>
            </w:r>
          </w:p>
        </w:tc>
      </w:tr>
      <w:tr w:rsidR="00A5254F" w:rsidRPr="00333DA5" w14:paraId="06FB7494" w14:textId="77777777" w:rsidTr="00A02BD5">
        <w:tc>
          <w:tcPr>
            <w:tcW w:w="1209" w:type="dxa"/>
            <w:shd w:val="clear" w:color="auto" w:fill="auto"/>
          </w:tcPr>
          <w:p w14:paraId="40BDB798" w14:textId="77777777" w:rsidR="00A80C3A" w:rsidRPr="00333DA5" w:rsidRDefault="00A80C3A" w:rsidP="001D0164">
            <w:pPr>
              <w:rPr>
                <w:rFonts w:eastAsia="Calibri"/>
                <w:sz w:val="22"/>
                <w:szCs w:val="22"/>
              </w:rPr>
            </w:pPr>
            <w:r w:rsidRPr="00333DA5">
              <w:rPr>
                <w:rFonts w:eastAsia="Calibri"/>
                <w:sz w:val="22"/>
                <w:szCs w:val="22"/>
              </w:rPr>
              <w:t xml:space="preserve">27 January </w:t>
            </w:r>
          </w:p>
        </w:tc>
        <w:tc>
          <w:tcPr>
            <w:tcW w:w="718" w:type="dxa"/>
            <w:shd w:val="clear" w:color="auto" w:fill="auto"/>
          </w:tcPr>
          <w:p w14:paraId="493923B3" w14:textId="77777777" w:rsidR="00A80C3A" w:rsidRPr="00333DA5" w:rsidRDefault="00A80C3A" w:rsidP="001D0164">
            <w:pPr>
              <w:rPr>
                <w:rFonts w:eastAsia="Calibri"/>
                <w:sz w:val="22"/>
                <w:szCs w:val="22"/>
              </w:rPr>
            </w:pPr>
          </w:p>
        </w:tc>
        <w:tc>
          <w:tcPr>
            <w:tcW w:w="4168" w:type="dxa"/>
            <w:shd w:val="clear" w:color="auto" w:fill="auto"/>
          </w:tcPr>
          <w:p w14:paraId="301B6FEE" w14:textId="5548F826" w:rsidR="00A80C3A" w:rsidRPr="00333DA5" w:rsidRDefault="00A80C3A" w:rsidP="001D0164">
            <w:pPr>
              <w:jc w:val="both"/>
              <w:rPr>
                <w:rFonts w:eastAsia="Calibri"/>
                <w:sz w:val="22"/>
                <w:szCs w:val="22"/>
              </w:rPr>
            </w:pPr>
            <w:r w:rsidRPr="00333DA5">
              <w:rPr>
                <w:rFonts w:eastAsia="Calibri"/>
                <w:sz w:val="22"/>
                <w:szCs w:val="22"/>
              </w:rPr>
              <w:t xml:space="preserve">CTSC maintain that on this day, the wife telephone “twice … asking us not to issue the application as she was considering withdrawing it.  The third time [the wife] called on 27 January she had decided that she wished the application to proceed.  The marriage certificate and translation </w:t>
            </w:r>
            <w:r w:rsidR="00535E8B" w:rsidRPr="00333DA5">
              <w:rPr>
                <w:rFonts w:eastAsia="Calibri"/>
                <w:sz w:val="22"/>
                <w:szCs w:val="22"/>
              </w:rPr>
              <w:t>were</w:t>
            </w:r>
            <w:r w:rsidRPr="00333DA5">
              <w:rPr>
                <w:rFonts w:eastAsia="Calibri"/>
                <w:sz w:val="22"/>
                <w:szCs w:val="22"/>
              </w:rPr>
              <w:t xml:space="preserve"> uploaded from the [wife’s] e-mail on 28 January 2020.  On 29 January 2020, the [wife] was e-mailed to clarify the parties’ addresses.  The [wife] called on 30 January 2020 to clarify this information.  The [wife] called on 4 February 2020 indicating that the information would be sent in imminently.”</w:t>
            </w:r>
          </w:p>
        </w:tc>
        <w:tc>
          <w:tcPr>
            <w:tcW w:w="1613" w:type="dxa"/>
            <w:shd w:val="clear" w:color="auto" w:fill="auto"/>
          </w:tcPr>
          <w:p w14:paraId="27A1D880" w14:textId="77777777" w:rsidR="00A80C3A" w:rsidRPr="00333DA5" w:rsidRDefault="00A80C3A" w:rsidP="001D0164">
            <w:pPr>
              <w:rPr>
                <w:rFonts w:eastAsia="Calibri"/>
                <w:sz w:val="22"/>
                <w:szCs w:val="22"/>
              </w:rPr>
            </w:pPr>
            <w:r w:rsidRPr="00333DA5">
              <w:rPr>
                <w:rFonts w:eastAsia="Calibri"/>
                <w:sz w:val="22"/>
                <w:szCs w:val="22"/>
              </w:rPr>
              <w:t xml:space="preserve">E-Mail: CTSC </w:t>
            </w:r>
            <w:r w:rsidRPr="00333DA5">
              <w:rPr>
                <w:rFonts w:eastAsia="Calibri"/>
                <w:sz w:val="22"/>
                <w:szCs w:val="22"/>
              </w:rPr>
              <w:sym w:font="Wingdings" w:char="F0E0"/>
            </w:r>
            <w:r w:rsidRPr="00333DA5">
              <w:rPr>
                <w:rFonts w:eastAsia="Calibri"/>
                <w:sz w:val="22"/>
                <w:szCs w:val="22"/>
              </w:rPr>
              <w:t xml:space="preserve"> NP</w:t>
            </w:r>
          </w:p>
        </w:tc>
      </w:tr>
      <w:tr w:rsidR="00A5254F" w:rsidRPr="00333DA5" w14:paraId="3822687E" w14:textId="77777777" w:rsidTr="00A02BD5">
        <w:tc>
          <w:tcPr>
            <w:tcW w:w="1209" w:type="dxa"/>
            <w:shd w:val="clear" w:color="auto" w:fill="auto"/>
          </w:tcPr>
          <w:p w14:paraId="77B40F94" w14:textId="77777777" w:rsidR="00A80C3A" w:rsidRPr="00333DA5" w:rsidRDefault="00A80C3A" w:rsidP="001D0164">
            <w:pPr>
              <w:rPr>
                <w:rFonts w:eastAsia="Calibri"/>
                <w:sz w:val="22"/>
                <w:szCs w:val="22"/>
              </w:rPr>
            </w:pPr>
            <w:r w:rsidRPr="00333DA5">
              <w:rPr>
                <w:rFonts w:eastAsia="Calibri"/>
                <w:sz w:val="22"/>
                <w:szCs w:val="22"/>
              </w:rPr>
              <w:t xml:space="preserve">27 January </w:t>
            </w:r>
          </w:p>
        </w:tc>
        <w:tc>
          <w:tcPr>
            <w:tcW w:w="718" w:type="dxa"/>
            <w:shd w:val="clear" w:color="auto" w:fill="auto"/>
          </w:tcPr>
          <w:p w14:paraId="51C69B59" w14:textId="77777777" w:rsidR="00A80C3A" w:rsidRPr="00333DA5" w:rsidRDefault="00A80C3A" w:rsidP="001D0164">
            <w:pPr>
              <w:rPr>
                <w:rFonts w:eastAsia="Calibri"/>
                <w:sz w:val="22"/>
                <w:szCs w:val="22"/>
              </w:rPr>
            </w:pPr>
            <w:r w:rsidRPr="00333DA5">
              <w:rPr>
                <w:rFonts w:eastAsia="Calibri"/>
                <w:sz w:val="22"/>
                <w:szCs w:val="22"/>
              </w:rPr>
              <w:t>06:50</w:t>
            </w:r>
          </w:p>
        </w:tc>
        <w:tc>
          <w:tcPr>
            <w:tcW w:w="4168" w:type="dxa"/>
            <w:shd w:val="clear" w:color="auto" w:fill="auto"/>
          </w:tcPr>
          <w:p w14:paraId="520701CB" w14:textId="186A07A3" w:rsidR="00A80C3A" w:rsidRPr="00333DA5" w:rsidRDefault="00A80C3A" w:rsidP="001D0164">
            <w:pPr>
              <w:jc w:val="both"/>
              <w:rPr>
                <w:rFonts w:eastAsia="Calibri"/>
                <w:sz w:val="22"/>
                <w:szCs w:val="22"/>
              </w:rPr>
            </w:pPr>
            <w:r w:rsidRPr="00333DA5">
              <w:rPr>
                <w:rFonts w:eastAsia="Calibri"/>
                <w:sz w:val="22"/>
                <w:szCs w:val="22"/>
              </w:rPr>
              <w:t xml:space="preserve">“In relation to Ref. Number 1578-8624-1959-1360, I am now enclosing clear scanned pictures of the following documents: 1. Marriage Certificate, 2. Certified copy of the original certificate.  Please let me know if the pictures satisfy your requirements this time.  </w:t>
            </w:r>
            <w:r w:rsidR="003C6B90" w:rsidRPr="00333DA5">
              <w:rPr>
                <w:rFonts w:eastAsia="Calibri"/>
                <w:sz w:val="22"/>
                <w:szCs w:val="22"/>
              </w:rPr>
              <w:t xml:space="preserve"> </w:t>
            </w:r>
            <w:r w:rsidRPr="00333DA5">
              <w:rPr>
                <w:rFonts w:eastAsia="Calibri"/>
                <w:sz w:val="22"/>
                <w:szCs w:val="22"/>
              </w:rPr>
              <w:t>If possible, please add to the behaviour reasons for the divorce the following two…”</w:t>
            </w:r>
          </w:p>
        </w:tc>
        <w:tc>
          <w:tcPr>
            <w:tcW w:w="1613" w:type="dxa"/>
            <w:shd w:val="clear" w:color="auto" w:fill="auto"/>
          </w:tcPr>
          <w:p w14:paraId="71DCA13C" w14:textId="77777777" w:rsidR="00A80C3A" w:rsidRPr="00333DA5" w:rsidRDefault="00A80C3A" w:rsidP="001D0164">
            <w:pPr>
              <w:rPr>
                <w:rFonts w:eastAsia="Calibri"/>
                <w:sz w:val="22"/>
                <w:szCs w:val="22"/>
              </w:rPr>
            </w:pPr>
            <w:r w:rsidRPr="00333DA5">
              <w:rPr>
                <w:rFonts w:eastAsia="Calibri"/>
                <w:sz w:val="22"/>
                <w:szCs w:val="22"/>
              </w:rPr>
              <w:t xml:space="preserve">E-Mail: TP </w:t>
            </w:r>
            <w:r w:rsidRPr="00333DA5">
              <w:rPr>
                <w:rFonts w:eastAsia="Calibri"/>
                <w:sz w:val="22"/>
                <w:szCs w:val="22"/>
              </w:rPr>
              <w:sym w:font="Wingdings" w:char="F0E0"/>
            </w:r>
            <w:r w:rsidRPr="00333DA5">
              <w:rPr>
                <w:rFonts w:eastAsia="Calibri"/>
                <w:sz w:val="22"/>
                <w:szCs w:val="22"/>
              </w:rPr>
              <w:t xml:space="preserve"> CTSC</w:t>
            </w:r>
          </w:p>
        </w:tc>
      </w:tr>
      <w:tr w:rsidR="00A5254F" w:rsidRPr="00333DA5" w14:paraId="511BA518" w14:textId="77777777" w:rsidTr="00A02BD5">
        <w:tc>
          <w:tcPr>
            <w:tcW w:w="1209" w:type="dxa"/>
            <w:shd w:val="clear" w:color="auto" w:fill="auto"/>
          </w:tcPr>
          <w:p w14:paraId="1B0F809E" w14:textId="77777777" w:rsidR="00A80C3A" w:rsidRPr="00333DA5" w:rsidRDefault="00A80C3A" w:rsidP="001D0164">
            <w:pPr>
              <w:rPr>
                <w:rFonts w:eastAsia="Calibri"/>
                <w:sz w:val="22"/>
                <w:szCs w:val="22"/>
              </w:rPr>
            </w:pPr>
            <w:r w:rsidRPr="00333DA5">
              <w:rPr>
                <w:rFonts w:eastAsia="Calibri"/>
                <w:sz w:val="22"/>
                <w:szCs w:val="22"/>
              </w:rPr>
              <w:t xml:space="preserve">28 January </w:t>
            </w:r>
          </w:p>
        </w:tc>
        <w:tc>
          <w:tcPr>
            <w:tcW w:w="718" w:type="dxa"/>
            <w:shd w:val="clear" w:color="auto" w:fill="auto"/>
          </w:tcPr>
          <w:p w14:paraId="3CC5F4E1" w14:textId="77777777" w:rsidR="00A80C3A" w:rsidRPr="00333DA5" w:rsidRDefault="00A80C3A" w:rsidP="001D0164">
            <w:pPr>
              <w:rPr>
                <w:rFonts w:eastAsia="Calibri"/>
                <w:sz w:val="22"/>
                <w:szCs w:val="22"/>
              </w:rPr>
            </w:pPr>
            <w:r w:rsidRPr="00333DA5">
              <w:rPr>
                <w:rFonts w:eastAsia="Calibri"/>
                <w:sz w:val="22"/>
                <w:szCs w:val="22"/>
              </w:rPr>
              <w:t>10:06</w:t>
            </w:r>
          </w:p>
        </w:tc>
        <w:tc>
          <w:tcPr>
            <w:tcW w:w="4168" w:type="dxa"/>
            <w:shd w:val="clear" w:color="auto" w:fill="auto"/>
          </w:tcPr>
          <w:p w14:paraId="4EC7ED8E" w14:textId="4B59F641" w:rsidR="00A80C3A" w:rsidRPr="00333DA5" w:rsidRDefault="00A80C3A" w:rsidP="001D0164">
            <w:pPr>
              <w:jc w:val="both"/>
              <w:rPr>
                <w:rFonts w:eastAsia="Calibri"/>
                <w:sz w:val="22"/>
                <w:szCs w:val="22"/>
              </w:rPr>
            </w:pPr>
            <w:r w:rsidRPr="00333DA5">
              <w:rPr>
                <w:rFonts w:eastAsia="Calibri"/>
                <w:sz w:val="22"/>
                <w:szCs w:val="22"/>
              </w:rPr>
              <w:t>“Thank you for your e-mail and marriage certificates.  Unfortunately, I am unable to amend your statement, however, I have uploaded this email to your file so the legal advisors can view.”</w:t>
            </w:r>
          </w:p>
        </w:tc>
        <w:tc>
          <w:tcPr>
            <w:tcW w:w="1613" w:type="dxa"/>
            <w:shd w:val="clear" w:color="auto" w:fill="auto"/>
          </w:tcPr>
          <w:p w14:paraId="66F1461D" w14:textId="77777777" w:rsidR="00A80C3A" w:rsidRPr="00333DA5" w:rsidRDefault="00A80C3A" w:rsidP="001D0164">
            <w:pPr>
              <w:rPr>
                <w:rFonts w:eastAsia="Calibri"/>
                <w:sz w:val="22"/>
                <w:szCs w:val="22"/>
              </w:rPr>
            </w:pPr>
            <w:r w:rsidRPr="00333DA5">
              <w:rPr>
                <w:rFonts w:eastAsia="Calibri"/>
                <w:sz w:val="22"/>
                <w:szCs w:val="22"/>
              </w:rPr>
              <w:t xml:space="preserve">E-Mail: CTSC </w:t>
            </w:r>
            <w:r w:rsidRPr="00333DA5">
              <w:rPr>
                <w:rFonts w:eastAsia="Calibri"/>
                <w:sz w:val="22"/>
                <w:szCs w:val="22"/>
              </w:rPr>
              <w:sym w:font="Wingdings" w:char="F0E0"/>
            </w:r>
            <w:r w:rsidRPr="00333DA5">
              <w:rPr>
                <w:rFonts w:eastAsia="Calibri"/>
                <w:sz w:val="22"/>
                <w:szCs w:val="22"/>
              </w:rPr>
              <w:t xml:space="preserve"> TP</w:t>
            </w:r>
          </w:p>
        </w:tc>
      </w:tr>
      <w:tr w:rsidR="00A5254F" w:rsidRPr="00333DA5" w14:paraId="70206522" w14:textId="77777777" w:rsidTr="00A02BD5">
        <w:tc>
          <w:tcPr>
            <w:tcW w:w="1209" w:type="dxa"/>
            <w:shd w:val="clear" w:color="auto" w:fill="auto"/>
          </w:tcPr>
          <w:p w14:paraId="2C996C67" w14:textId="77777777" w:rsidR="00A80C3A" w:rsidRPr="00333DA5" w:rsidRDefault="00A80C3A" w:rsidP="001D0164">
            <w:pPr>
              <w:rPr>
                <w:rFonts w:eastAsia="Calibri"/>
                <w:sz w:val="22"/>
                <w:szCs w:val="22"/>
              </w:rPr>
            </w:pPr>
            <w:r w:rsidRPr="00333DA5">
              <w:rPr>
                <w:rFonts w:eastAsia="Calibri"/>
                <w:sz w:val="22"/>
                <w:szCs w:val="22"/>
              </w:rPr>
              <w:t>28 January</w:t>
            </w:r>
          </w:p>
        </w:tc>
        <w:tc>
          <w:tcPr>
            <w:tcW w:w="718" w:type="dxa"/>
            <w:shd w:val="clear" w:color="auto" w:fill="auto"/>
          </w:tcPr>
          <w:p w14:paraId="14E0675D" w14:textId="77777777" w:rsidR="00A80C3A" w:rsidRPr="00333DA5" w:rsidRDefault="00A80C3A" w:rsidP="001D0164">
            <w:pPr>
              <w:rPr>
                <w:rFonts w:eastAsia="Calibri"/>
                <w:sz w:val="22"/>
                <w:szCs w:val="22"/>
              </w:rPr>
            </w:pPr>
            <w:r w:rsidRPr="00333DA5">
              <w:rPr>
                <w:rFonts w:eastAsia="Calibri"/>
                <w:sz w:val="22"/>
                <w:szCs w:val="22"/>
              </w:rPr>
              <w:t>16:34</w:t>
            </w:r>
          </w:p>
        </w:tc>
        <w:tc>
          <w:tcPr>
            <w:tcW w:w="4168" w:type="dxa"/>
            <w:shd w:val="clear" w:color="auto" w:fill="auto"/>
          </w:tcPr>
          <w:p w14:paraId="7FEA1A3F" w14:textId="77777777" w:rsidR="00A80C3A" w:rsidRPr="00333DA5" w:rsidRDefault="00A80C3A" w:rsidP="001D0164">
            <w:pPr>
              <w:jc w:val="both"/>
              <w:rPr>
                <w:rFonts w:eastAsia="Calibri"/>
                <w:sz w:val="22"/>
                <w:szCs w:val="22"/>
              </w:rPr>
            </w:pPr>
            <w:r w:rsidRPr="00333DA5">
              <w:rPr>
                <w:rFonts w:eastAsia="Calibri"/>
                <w:sz w:val="22"/>
                <w:szCs w:val="22"/>
              </w:rPr>
              <w:t>“I can confirm that your email has been received and all of the images you have emailed into the court have been uploaded on to the system.  At present, your application is still waiting to be processed. The petition will be issued in due course, if all the information required is legible, once this happens, you will be notified.”</w:t>
            </w:r>
          </w:p>
        </w:tc>
        <w:tc>
          <w:tcPr>
            <w:tcW w:w="1613" w:type="dxa"/>
            <w:shd w:val="clear" w:color="auto" w:fill="auto"/>
          </w:tcPr>
          <w:p w14:paraId="52FDDD52" w14:textId="77777777" w:rsidR="00A80C3A" w:rsidRPr="00333DA5" w:rsidRDefault="00A80C3A" w:rsidP="001D0164">
            <w:pPr>
              <w:rPr>
                <w:rFonts w:eastAsia="Calibri"/>
                <w:sz w:val="22"/>
                <w:szCs w:val="22"/>
              </w:rPr>
            </w:pPr>
            <w:r w:rsidRPr="00333DA5">
              <w:rPr>
                <w:rFonts w:eastAsia="Calibri"/>
                <w:sz w:val="22"/>
                <w:szCs w:val="22"/>
              </w:rPr>
              <w:t xml:space="preserve">E-Mail: CTSC </w:t>
            </w:r>
            <w:r w:rsidRPr="00333DA5">
              <w:rPr>
                <w:rFonts w:eastAsia="Calibri"/>
                <w:sz w:val="22"/>
                <w:szCs w:val="22"/>
              </w:rPr>
              <w:sym w:font="Wingdings" w:char="F0E0"/>
            </w:r>
            <w:r w:rsidRPr="00333DA5">
              <w:rPr>
                <w:rFonts w:eastAsia="Calibri"/>
                <w:sz w:val="22"/>
                <w:szCs w:val="22"/>
              </w:rPr>
              <w:t xml:space="preserve"> TP</w:t>
            </w:r>
          </w:p>
        </w:tc>
      </w:tr>
      <w:tr w:rsidR="00A5254F" w:rsidRPr="00333DA5" w14:paraId="7040FF8E" w14:textId="77777777" w:rsidTr="00A02BD5">
        <w:tc>
          <w:tcPr>
            <w:tcW w:w="1209" w:type="dxa"/>
            <w:shd w:val="clear" w:color="auto" w:fill="auto"/>
          </w:tcPr>
          <w:p w14:paraId="25D4BB18" w14:textId="77777777" w:rsidR="00A80C3A" w:rsidRPr="00333DA5" w:rsidRDefault="00A80C3A" w:rsidP="001D0164">
            <w:pPr>
              <w:rPr>
                <w:rFonts w:eastAsia="Calibri"/>
                <w:sz w:val="22"/>
                <w:szCs w:val="22"/>
              </w:rPr>
            </w:pPr>
            <w:r w:rsidRPr="00333DA5">
              <w:rPr>
                <w:rFonts w:eastAsia="Calibri"/>
                <w:sz w:val="22"/>
                <w:szCs w:val="22"/>
              </w:rPr>
              <w:t xml:space="preserve">29 January </w:t>
            </w:r>
          </w:p>
        </w:tc>
        <w:tc>
          <w:tcPr>
            <w:tcW w:w="718" w:type="dxa"/>
            <w:shd w:val="clear" w:color="auto" w:fill="auto"/>
          </w:tcPr>
          <w:p w14:paraId="6D1A575D" w14:textId="77777777" w:rsidR="00A80C3A" w:rsidRPr="00333DA5" w:rsidRDefault="00A80C3A" w:rsidP="001D0164">
            <w:pPr>
              <w:rPr>
                <w:rFonts w:eastAsia="Calibri"/>
                <w:sz w:val="22"/>
                <w:szCs w:val="22"/>
              </w:rPr>
            </w:pPr>
            <w:r w:rsidRPr="00333DA5">
              <w:rPr>
                <w:rFonts w:eastAsia="Calibri"/>
                <w:sz w:val="22"/>
                <w:szCs w:val="22"/>
              </w:rPr>
              <w:t>11:13</w:t>
            </w:r>
          </w:p>
        </w:tc>
        <w:tc>
          <w:tcPr>
            <w:tcW w:w="4168" w:type="dxa"/>
            <w:shd w:val="clear" w:color="auto" w:fill="auto"/>
          </w:tcPr>
          <w:p w14:paraId="26968E36" w14:textId="77777777" w:rsidR="00A80C3A" w:rsidRPr="00333DA5" w:rsidRDefault="00A80C3A" w:rsidP="001D0164">
            <w:pPr>
              <w:jc w:val="both"/>
              <w:rPr>
                <w:rFonts w:eastAsia="Calibri"/>
                <w:sz w:val="22"/>
                <w:szCs w:val="22"/>
              </w:rPr>
            </w:pPr>
            <w:r w:rsidRPr="00333DA5">
              <w:rPr>
                <w:rFonts w:eastAsia="Calibri"/>
                <w:sz w:val="22"/>
                <w:szCs w:val="22"/>
              </w:rPr>
              <w:t>Petition “issue”</w:t>
            </w:r>
          </w:p>
        </w:tc>
        <w:tc>
          <w:tcPr>
            <w:tcW w:w="1613" w:type="dxa"/>
            <w:shd w:val="clear" w:color="auto" w:fill="auto"/>
          </w:tcPr>
          <w:p w14:paraId="78DA782B" w14:textId="77777777" w:rsidR="00A80C3A" w:rsidRPr="00333DA5" w:rsidRDefault="00A80C3A" w:rsidP="001D0164">
            <w:pPr>
              <w:rPr>
                <w:rFonts w:eastAsia="Calibri"/>
                <w:sz w:val="22"/>
                <w:szCs w:val="22"/>
              </w:rPr>
            </w:pPr>
            <w:r w:rsidRPr="00333DA5">
              <w:rPr>
                <w:rFonts w:eastAsia="Calibri"/>
                <w:sz w:val="22"/>
                <w:szCs w:val="22"/>
              </w:rPr>
              <w:t>FamilyMan record</w:t>
            </w:r>
          </w:p>
        </w:tc>
      </w:tr>
      <w:tr w:rsidR="00A5254F" w:rsidRPr="00333DA5" w14:paraId="1F0CF1EC" w14:textId="77777777" w:rsidTr="00A02BD5">
        <w:tc>
          <w:tcPr>
            <w:tcW w:w="1209" w:type="dxa"/>
            <w:shd w:val="clear" w:color="auto" w:fill="auto"/>
          </w:tcPr>
          <w:p w14:paraId="0898E732" w14:textId="77777777" w:rsidR="00A80C3A" w:rsidRPr="00333DA5" w:rsidRDefault="00A80C3A" w:rsidP="001D0164">
            <w:pPr>
              <w:rPr>
                <w:rFonts w:eastAsia="Calibri"/>
                <w:sz w:val="22"/>
                <w:szCs w:val="22"/>
              </w:rPr>
            </w:pPr>
          </w:p>
        </w:tc>
        <w:tc>
          <w:tcPr>
            <w:tcW w:w="718" w:type="dxa"/>
            <w:shd w:val="clear" w:color="auto" w:fill="auto"/>
          </w:tcPr>
          <w:p w14:paraId="6CEA1F56" w14:textId="77777777" w:rsidR="00A80C3A" w:rsidRPr="00333DA5" w:rsidRDefault="00A80C3A" w:rsidP="001D0164">
            <w:pPr>
              <w:rPr>
                <w:rFonts w:eastAsia="Calibri"/>
                <w:sz w:val="22"/>
                <w:szCs w:val="22"/>
              </w:rPr>
            </w:pPr>
            <w:r w:rsidRPr="00333DA5">
              <w:rPr>
                <w:rFonts w:eastAsia="Calibri"/>
                <w:sz w:val="22"/>
                <w:szCs w:val="22"/>
              </w:rPr>
              <w:t>11:21</w:t>
            </w:r>
          </w:p>
        </w:tc>
        <w:tc>
          <w:tcPr>
            <w:tcW w:w="4168" w:type="dxa"/>
            <w:shd w:val="clear" w:color="auto" w:fill="auto"/>
          </w:tcPr>
          <w:p w14:paraId="6CC10C98" w14:textId="77777777" w:rsidR="00A80C3A" w:rsidRPr="00333DA5" w:rsidRDefault="00A80C3A" w:rsidP="001D0164">
            <w:pPr>
              <w:jc w:val="both"/>
              <w:rPr>
                <w:rFonts w:eastAsia="Calibri"/>
                <w:sz w:val="22"/>
                <w:szCs w:val="22"/>
              </w:rPr>
            </w:pPr>
            <w:r w:rsidRPr="00333DA5">
              <w:rPr>
                <w:rFonts w:eastAsia="Calibri"/>
                <w:sz w:val="22"/>
                <w:szCs w:val="22"/>
              </w:rPr>
              <w:t>Petition “reject”</w:t>
            </w:r>
          </w:p>
        </w:tc>
        <w:tc>
          <w:tcPr>
            <w:tcW w:w="1613" w:type="dxa"/>
            <w:shd w:val="clear" w:color="auto" w:fill="auto"/>
          </w:tcPr>
          <w:p w14:paraId="450D01DA" w14:textId="77777777" w:rsidR="00A80C3A" w:rsidRPr="00333DA5" w:rsidRDefault="00A80C3A" w:rsidP="001D0164">
            <w:pPr>
              <w:rPr>
                <w:rFonts w:eastAsia="Calibri"/>
                <w:sz w:val="22"/>
                <w:szCs w:val="22"/>
              </w:rPr>
            </w:pPr>
            <w:r w:rsidRPr="00333DA5">
              <w:rPr>
                <w:rFonts w:eastAsia="Calibri"/>
                <w:sz w:val="22"/>
                <w:szCs w:val="22"/>
              </w:rPr>
              <w:t>FamilyMan record</w:t>
            </w:r>
          </w:p>
        </w:tc>
      </w:tr>
      <w:tr w:rsidR="00A5254F" w:rsidRPr="00333DA5" w14:paraId="72153B93" w14:textId="77777777" w:rsidTr="00A02BD5">
        <w:tc>
          <w:tcPr>
            <w:tcW w:w="1209" w:type="dxa"/>
            <w:shd w:val="clear" w:color="auto" w:fill="auto"/>
          </w:tcPr>
          <w:p w14:paraId="4EA9A986" w14:textId="77777777" w:rsidR="00A80C3A" w:rsidRPr="00333DA5" w:rsidRDefault="00A80C3A" w:rsidP="001D0164">
            <w:pPr>
              <w:rPr>
                <w:rFonts w:eastAsia="Calibri"/>
                <w:sz w:val="22"/>
                <w:szCs w:val="22"/>
              </w:rPr>
            </w:pPr>
            <w:r w:rsidRPr="00333DA5">
              <w:rPr>
                <w:rFonts w:eastAsia="Calibri"/>
                <w:sz w:val="22"/>
                <w:szCs w:val="22"/>
              </w:rPr>
              <w:t>29 January</w:t>
            </w:r>
          </w:p>
        </w:tc>
        <w:tc>
          <w:tcPr>
            <w:tcW w:w="718" w:type="dxa"/>
            <w:shd w:val="clear" w:color="auto" w:fill="auto"/>
          </w:tcPr>
          <w:p w14:paraId="5DD95BC2" w14:textId="77777777" w:rsidR="00A80C3A" w:rsidRPr="00333DA5" w:rsidRDefault="00A80C3A" w:rsidP="001D0164">
            <w:pPr>
              <w:rPr>
                <w:rFonts w:eastAsia="Calibri"/>
                <w:sz w:val="22"/>
                <w:szCs w:val="22"/>
              </w:rPr>
            </w:pPr>
            <w:r w:rsidRPr="00333DA5">
              <w:rPr>
                <w:rFonts w:eastAsia="Calibri"/>
                <w:sz w:val="22"/>
                <w:szCs w:val="22"/>
              </w:rPr>
              <w:t>11:26</w:t>
            </w:r>
          </w:p>
        </w:tc>
        <w:tc>
          <w:tcPr>
            <w:tcW w:w="4168" w:type="dxa"/>
            <w:shd w:val="clear" w:color="auto" w:fill="auto"/>
          </w:tcPr>
          <w:p w14:paraId="76A218C2" w14:textId="2B842593" w:rsidR="00A80C3A" w:rsidRPr="00333DA5" w:rsidRDefault="00A80C3A" w:rsidP="001D0164">
            <w:pPr>
              <w:jc w:val="both"/>
              <w:rPr>
                <w:rFonts w:eastAsia="Calibri"/>
                <w:sz w:val="22"/>
                <w:szCs w:val="22"/>
              </w:rPr>
            </w:pPr>
            <w:r w:rsidRPr="00333DA5">
              <w:rPr>
                <w:rFonts w:eastAsia="Calibri"/>
                <w:sz w:val="22"/>
                <w:szCs w:val="22"/>
              </w:rPr>
              <w:t xml:space="preserve">“Your application for divorce is being processed. However, we have noticed you have chosen to keep your address </w:t>
            </w:r>
            <w:proofErr w:type="gramStart"/>
            <w:r w:rsidRPr="00333DA5">
              <w:rPr>
                <w:rFonts w:eastAsia="Calibri"/>
                <w:sz w:val="22"/>
                <w:szCs w:val="22"/>
              </w:rPr>
              <w:t>confidential</w:t>
            </w:r>
            <w:proofErr w:type="gramEnd"/>
            <w:r w:rsidRPr="00333DA5">
              <w:rPr>
                <w:rFonts w:eastAsia="Calibri"/>
                <w:sz w:val="22"/>
                <w:szCs w:val="22"/>
              </w:rPr>
              <w:t xml:space="preserve"> yet the </w:t>
            </w:r>
            <w:r w:rsidR="00535E8B" w:rsidRPr="00333DA5">
              <w:rPr>
                <w:rFonts w:eastAsia="Calibri"/>
                <w:sz w:val="22"/>
                <w:szCs w:val="22"/>
              </w:rPr>
              <w:t>respondent’s</w:t>
            </w:r>
            <w:r w:rsidRPr="00333DA5">
              <w:rPr>
                <w:rFonts w:eastAsia="Calibri"/>
                <w:sz w:val="22"/>
                <w:szCs w:val="22"/>
              </w:rPr>
              <w:t xml:space="preserve"> home and </w:t>
            </w:r>
            <w:r w:rsidRPr="00333DA5">
              <w:rPr>
                <w:rFonts w:eastAsia="Calibri"/>
                <w:sz w:val="22"/>
                <w:szCs w:val="22"/>
              </w:rPr>
              <w:lastRenderedPageBreak/>
              <w:t xml:space="preserve">service address is the same as yours.  Can you please clarify this as the documents need to be sent to the </w:t>
            </w:r>
            <w:r w:rsidR="00535E8B" w:rsidRPr="00333DA5">
              <w:rPr>
                <w:rFonts w:eastAsia="Calibri"/>
                <w:sz w:val="22"/>
                <w:szCs w:val="22"/>
              </w:rPr>
              <w:t>respondent?</w:t>
            </w:r>
            <w:r w:rsidRPr="00333DA5">
              <w:rPr>
                <w:rFonts w:eastAsia="Calibri"/>
                <w:sz w:val="22"/>
                <w:szCs w:val="22"/>
              </w:rPr>
              <w:t xml:space="preserve"> Could you please clarify this by responding to this </w:t>
            </w:r>
            <w:r w:rsidR="00535E8B" w:rsidRPr="00333DA5">
              <w:rPr>
                <w:rFonts w:eastAsia="Calibri"/>
                <w:sz w:val="22"/>
                <w:szCs w:val="22"/>
              </w:rPr>
              <w:t>email”?</w:t>
            </w:r>
          </w:p>
        </w:tc>
        <w:tc>
          <w:tcPr>
            <w:tcW w:w="1613" w:type="dxa"/>
            <w:shd w:val="clear" w:color="auto" w:fill="auto"/>
          </w:tcPr>
          <w:p w14:paraId="439CD146" w14:textId="77777777" w:rsidR="00A80C3A" w:rsidRPr="00333DA5" w:rsidRDefault="00A80C3A" w:rsidP="001D0164">
            <w:pPr>
              <w:rPr>
                <w:rFonts w:eastAsia="Calibri"/>
                <w:sz w:val="22"/>
                <w:szCs w:val="22"/>
              </w:rPr>
            </w:pPr>
            <w:r w:rsidRPr="00333DA5">
              <w:rPr>
                <w:rFonts w:eastAsia="Calibri"/>
                <w:sz w:val="22"/>
                <w:szCs w:val="22"/>
              </w:rPr>
              <w:lastRenderedPageBreak/>
              <w:t xml:space="preserve">E-Mail: CTSC </w:t>
            </w:r>
            <w:r w:rsidRPr="00333DA5">
              <w:rPr>
                <w:rFonts w:eastAsia="Calibri"/>
                <w:sz w:val="22"/>
                <w:szCs w:val="22"/>
              </w:rPr>
              <w:sym w:font="Wingdings" w:char="F0E0"/>
            </w:r>
            <w:r w:rsidRPr="00333DA5">
              <w:rPr>
                <w:rFonts w:eastAsia="Calibri"/>
                <w:sz w:val="22"/>
                <w:szCs w:val="22"/>
              </w:rPr>
              <w:t xml:space="preserve"> TP</w:t>
            </w:r>
          </w:p>
        </w:tc>
      </w:tr>
      <w:tr w:rsidR="00A5254F" w:rsidRPr="00333DA5" w14:paraId="3D5CE3E2" w14:textId="77777777" w:rsidTr="00A02BD5">
        <w:tc>
          <w:tcPr>
            <w:tcW w:w="1209" w:type="dxa"/>
            <w:shd w:val="clear" w:color="auto" w:fill="auto"/>
          </w:tcPr>
          <w:p w14:paraId="339B6BBE" w14:textId="77777777" w:rsidR="00A80C3A" w:rsidRPr="00333DA5" w:rsidRDefault="00A80C3A" w:rsidP="001D0164">
            <w:pPr>
              <w:rPr>
                <w:rFonts w:eastAsia="Calibri"/>
                <w:sz w:val="22"/>
                <w:szCs w:val="22"/>
              </w:rPr>
            </w:pPr>
            <w:r w:rsidRPr="00333DA5">
              <w:rPr>
                <w:rFonts w:eastAsia="Calibri"/>
                <w:sz w:val="22"/>
                <w:szCs w:val="22"/>
              </w:rPr>
              <w:t>29 January</w:t>
            </w:r>
          </w:p>
        </w:tc>
        <w:tc>
          <w:tcPr>
            <w:tcW w:w="718" w:type="dxa"/>
            <w:shd w:val="clear" w:color="auto" w:fill="auto"/>
          </w:tcPr>
          <w:p w14:paraId="6C811CE1" w14:textId="77777777" w:rsidR="00A80C3A" w:rsidRPr="00333DA5" w:rsidRDefault="00A80C3A" w:rsidP="001D0164">
            <w:pPr>
              <w:rPr>
                <w:rFonts w:eastAsia="Calibri"/>
                <w:sz w:val="22"/>
                <w:szCs w:val="22"/>
              </w:rPr>
            </w:pPr>
            <w:r w:rsidRPr="00333DA5">
              <w:rPr>
                <w:rFonts w:eastAsia="Calibri"/>
                <w:sz w:val="22"/>
                <w:szCs w:val="22"/>
              </w:rPr>
              <w:t>11:27</w:t>
            </w:r>
          </w:p>
        </w:tc>
        <w:tc>
          <w:tcPr>
            <w:tcW w:w="4168" w:type="dxa"/>
            <w:shd w:val="clear" w:color="auto" w:fill="auto"/>
          </w:tcPr>
          <w:p w14:paraId="303DE12B" w14:textId="77777777" w:rsidR="00A80C3A" w:rsidRPr="00333DA5" w:rsidRDefault="00A80C3A" w:rsidP="001D0164">
            <w:pPr>
              <w:jc w:val="both"/>
              <w:rPr>
                <w:rFonts w:eastAsia="Calibri"/>
                <w:sz w:val="22"/>
                <w:szCs w:val="22"/>
              </w:rPr>
            </w:pPr>
            <w:r w:rsidRPr="00333DA5">
              <w:rPr>
                <w:rFonts w:eastAsia="Calibri"/>
                <w:sz w:val="22"/>
                <w:szCs w:val="22"/>
              </w:rPr>
              <w:t>Upload document: Awaiting Petitioner</w:t>
            </w:r>
          </w:p>
        </w:tc>
        <w:tc>
          <w:tcPr>
            <w:tcW w:w="1613" w:type="dxa"/>
            <w:shd w:val="clear" w:color="auto" w:fill="auto"/>
          </w:tcPr>
          <w:p w14:paraId="50F40B28" w14:textId="77777777" w:rsidR="00A80C3A" w:rsidRPr="00333DA5" w:rsidRDefault="00A80C3A" w:rsidP="001D0164">
            <w:pPr>
              <w:rPr>
                <w:rFonts w:eastAsia="Calibri"/>
                <w:sz w:val="22"/>
                <w:szCs w:val="22"/>
              </w:rPr>
            </w:pPr>
            <w:r w:rsidRPr="00333DA5">
              <w:rPr>
                <w:rFonts w:eastAsia="Calibri"/>
                <w:sz w:val="22"/>
                <w:szCs w:val="22"/>
              </w:rPr>
              <w:t>FamilyMan record</w:t>
            </w:r>
          </w:p>
        </w:tc>
      </w:tr>
      <w:tr w:rsidR="00A5254F" w:rsidRPr="00333DA5" w14:paraId="16C0C155" w14:textId="77777777" w:rsidTr="00A02BD5">
        <w:tc>
          <w:tcPr>
            <w:tcW w:w="1209" w:type="dxa"/>
            <w:shd w:val="clear" w:color="auto" w:fill="auto"/>
          </w:tcPr>
          <w:p w14:paraId="2F9F3396" w14:textId="77777777" w:rsidR="00A80C3A" w:rsidRPr="00333DA5" w:rsidRDefault="00A80C3A" w:rsidP="001D0164">
            <w:pPr>
              <w:rPr>
                <w:rFonts w:eastAsia="Calibri"/>
                <w:sz w:val="22"/>
                <w:szCs w:val="22"/>
              </w:rPr>
            </w:pPr>
            <w:r w:rsidRPr="00333DA5">
              <w:rPr>
                <w:rFonts w:eastAsia="Calibri"/>
                <w:sz w:val="22"/>
                <w:szCs w:val="22"/>
              </w:rPr>
              <w:t>30 January</w:t>
            </w:r>
          </w:p>
        </w:tc>
        <w:tc>
          <w:tcPr>
            <w:tcW w:w="718" w:type="dxa"/>
            <w:shd w:val="clear" w:color="auto" w:fill="auto"/>
          </w:tcPr>
          <w:p w14:paraId="098ADD35" w14:textId="77777777" w:rsidR="00A80C3A" w:rsidRPr="00333DA5" w:rsidRDefault="00A80C3A" w:rsidP="001D0164">
            <w:pPr>
              <w:rPr>
                <w:rFonts w:eastAsia="Calibri"/>
                <w:sz w:val="22"/>
                <w:szCs w:val="22"/>
              </w:rPr>
            </w:pPr>
          </w:p>
        </w:tc>
        <w:tc>
          <w:tcPr>
            <w:tcW w:w="4168" w:type="dxa"/>
            <w:shd w:val="clear" w:color="auto" w:fill="auto"/>
          </w:tcPr>
          <w:p w14:paraId="2F54FA52" w14:textId="77777777" w:rsidR="00A80C3A" w:rsidRPr="00333DA5" w:rsidRDefault="00A80C3A" w:rsidP="001D0164">
            <w:pPr>
              <w:jc w:val="both"/>
              <w:rPr>
                <w:rFonts w:eastAsia="Calibri"/>
                <w:sz w:val="22"/>
                <w:szCs w:val="22"/>
              </w:rPr>
            </w:pPr>
            <w:r w:rsidRPr="00333DA5">
              <w:rPr>
                <w:rFonts w:eastAsia="Calibri"/>
                <w:sz w:val="22"/>
                <w:szCs w:val="22"/>
              </w:rPr>
              <w:t>Wife telephoned CTSC “to clarify” the information about the addresses.  [No further information given].</w:t>
            </w:r>
          </w:p>
        </w:tc>
        <w:tc>
          <w:tcPr>
            <w:tcW w:w="1613" w:type="dxa"/>
            <w:shd w:val="clear" w:color="auto" w:fill="auto"/>
          </w:tcPr>
          <w:p w14:paraId="6A13DAE0" w14:textId="77777777" w:rsidR="00A80C3A" w:rsidRPr="00333DA5" w:rsidRDefault="00A80C3A" w:rsidP="001D0164">
            <w:pPr>
              <w:rPr>
                <w:rFonts w:eastAsia="Calibri"/>
                <w:sz w:val="22"/>
                <w:szCs w:val="22"/>
              </w:rPr>
            </w:pPr>
            <w:r w:rsidRPr="00333DA5">
              <w:rPr>
                <w:rFonts w:eastAsia="Calibri"/>
                <w:sz w:val="22"/>
                <w:szCs w:val="22"/>
              </w:rPr>
              <w:t xml:space="preserve">E-Mail: CTSC </w:t>
            </w:r>
            <w:r w:rsidRPr="00333DA5">
              <w:rPr>
                <w:rFonts w:eastAsia="Calibri"/>
                <w:sz w:val="22"/>
                <w:szCs w:val="22"/>
              </w:rPr>
              <w:sym w:font="Wingdings" w:char="F0E0"/>
            </w:r>
            <w:r w:rsidRPr="00333DA5">
              <w:rPr>
                <w:rFonts w:eastAsia="Calibri"/>
                <w:sz w:val="22"/>
                <w:szCs w:val="22"/>
              </w:rPr>
              <w:t xml:space="preserve"> NP (see above)</w:t>
            </w:r>
          </w:p>
        </w:tc>
      </w:tr>
      <w:tr w:rsidR="00A5254F" w:rsidRPr="00333DA5" w14:paraId="725447B7" w14:textId="77777777" w:rsidTr="00A02BD5">
        <w:tc>
          <w:tcPr>
            <w:tcW w:w="1209" w:type="dxa"/>
            <w:shd w:val="clear" w:color="auto" w:fill="auto"/>
          </w:tcPr>
          <w:p w14:paraId="7BC59A50" w14:textId="77777777" w:rsidR="00A80C3A" w:rsidRPr="00333DA5" w:rsidRDefault="00A80C3A" w:rsidP="001D0164">
            <w:pPr>
              <w:rPr>
                <w:rFonts w:eastAsia="Calibri"/>
                <w:sz w:val="22"/>
                <w:szCs w:val="22"/>
              </w:rPr>
            </w:pPr>
            <w:r w:rsidRPr="00333DA5">
              <w:rPr>
                <w:rFonts w:eastAsia="Calibri"/>
                <w:sz w:val="22"/>
                <w:szCs w:val="22"/>
              </w:rPr>
              <w:t>4 February</w:t>
            </w:r>
          </w:p>
        </w:tc>
        <w:tc>
          <w:tcPr>
            <w:tcW w:w="718" w:type="dxa"/>
            <w:shd w:val="clear" w:color="auto" w:fill="auto"/>
          </w:tcPr>
          <w:p w14:paraId="66BDF75B" w14:textId="77777777" w:rsidR="00A80C3A" w:rsidRPr="00333DA5" w:rsidRDefault="00A80C3A" w:rsidP="001D0164">
            <w:pPr>
              <w:rPr>
                <w:rFonts w:eastAsia="Calibri"/>
                <w:sz w:val="22"/>
                <w:szCs w:val="22"/>
              </w:rPr>
            </w:pPr>
            <w:r w:rsidRPr="00333DA5">
              <w:rPr>
                <w:rFonts w:eastAsia="Calibri"/>
                <w:sz w:val="22"/>
                <w:szCs w:val="22"/>
              </w:rPr>
              <w:t>14:20</w:t>
            </w:r>
          </w:p>
        </w:tc>
        <w:tc>
          <w:tcPr>
            <w:tcW w:w="4168" w:type="dxa"/>
            <w:shd w:val="clear" w:color="auto" w:fill="auto"/>
          </w:tcPr>
          <w:p w14:paraId="20C7477C" w14:textId="520CF40A" w:rsidR="00A80C3A" w:rsidRPr="00333DA5" w:rsidRDefault="00A80C3A" w:rsidP="001D0164">
            <w:pPr>
              <w:jc w:val="both"/>
              <w:rPr>
                <w:rFonts w:eastAsia="Calibri"/>
                <w:sz w:val="22"/>
                <w:szCs w:val="22"/>
              </w:rPr>
            </w:pPr>
            <w:r w:rsidRPr="00333DA5">
              <w:rPr>
                <w:rFonts w:eastAsia="Calibri"/>
                <w:sz w:val="22"/>
                <w:szCs w:val="22"/>
              </w:rPr>
              <w:t xml:space="preserve">“Dear Officer, Thank you for your email. I am still not sure what to do as I do not have a solicitor.  Could you please put my application ON </w:t>
            </w:r>
            <w:r w:rsidR="00535E8B" w:rsidRPr="00333DA5">
              <w:rPr>
                <w:rFonts w:eastAsia="Calibri"/>
                <w:sz w:val="22"/>
                <w:szCs w:val="22"/>
              </w:rPr>
              <w:t>HOLD?</w:t>
            </w:r>
            <w:r w:rsidRPr="00333DA5">
              <w:rPr>
                <w:rFonts w:eastAsia="Calibri"/>
                <w:sz w:val="22"/>
                <w:szCs w:val="22"/>
              </w:rPr>
              <w:t>”</w:t>
            </w:r>
          </w:p>
        </w:tc>
        <w:tc>
          <w:tcPr>
            <w:tcW w:w="1613" w:type="dxa"/>
            <w:shd w:val="clear" w:color="auto" w:fill="auto"/>
          </w:tcPr>
          <w:p w14:paraId="180E2954" w14:textId="77777777" w:rsidR="00A80C3A" w:rsidRPr="00333DA5" w:rsidRDefault="00A80C3A" w:rsidP="001D0164">
            <w:pPr>
              <w:rPr>
                <w:rFonts w:eastAsia="Calibri"/>
                <w:sz w:val="22"/>
                <w:szCs w:val="22"/>
              </w:rPr>
            </w:pPr>
            <w:r w:rsidRPr="00333DA5">
              <w:rPr>
                <w:rFonts w:eastAsia="Calibri"/>
                <w:sz w:val="22"/>
                <w:szCs w:val="22"/>
              </w:rPr>
              <w:t xml:space="preserve">E-Mail: TP </w:t>
            </w:r>
            <w:r w:rsidRPr="00333DA5">
              <w:rPr>
                <w:rFonts w:eastAsia="Calibri"/>
                <w:sz w:val="22"/>
                <w:szCs w:val="22"/>
              </w:rPr>
              <w:sym w:font="Wingdings" w:char="F0E0"/>
            </w:r>
            <w:r w:rsidRPr="00333DA5">
              <w:rPr>
                <w:rFonts w:eastAsia="Calibri"/>
                <w:sz w:val="22"/>
                <w:szCs w:val="22"/>
              </w:rPr>
              <w:t xml:space="preserve"> CTSC</w:t>
            </w:r>
          </w:p>
        </w:tc>
      </w:tr>
      <w:tr w:rsidR="00A5254F" w:rsidRPr="00333DA5" w14:paraId="2E8B449C" w14:textId="77777777" w:rsidTr="00A02BD5">
        <w:tc>
          <w:tcPr>
            <w:tcW w:w="1209" w:type="dxa"/>
            <w:shd w:val="clear" w:color="auto" w:fill="auto"/>
          </w:tcPr>
          <w:p w14:paraId="137C85CE" w14:textId="77777777" w:rsidR="00A80C3A" w:rsidRPr="00333DA5" w:rsidRDefault="00A80C3A" w:rsidP="001D0164">
            <w:pPr>
              <w:rPr>
                <w:rFonts w:eastAsia="Calibri"/>
                <w:sz w:val="22"/>
                <w:szCs w:val="22"/>
              </w:rPr>
            </w:pPr>
            <w:r w:rsidRPr="00333DA5">
              <w:rPr>
                <w:rFonts w:eastAsia="Calibri"/>
                <w:sz w:val="22"/>
                <w:szCs w:val="22"/>
              </w:rPr>
              <w:t>???</w:t>
            </w:r>
          </w:p>
        </w:tc>
        <w:tc>
          <w:tcPr>
            <w:tcW w:w="718" w:type="dxa"/>
            <w:shd w:val="clear" w:color="auto" w:fill="auto"/>
          </w:tcPr>
          <w:p w14:paraId="2B25F346" w14:textId="77777777" w:rsidR="00A80C3A" w:rsidRPr="00333DA5" w:rsidRDefault="00A80C3A" w:rsidP="001D0164">
            <w:pPr>
              <w:rPr>
                <w:rFonts w:eastAsia="Calibri"/>
                <w:sz w:val="22"/>
                <w:szCs w:val="22"/>
              </w:rPr>
            </w:pPr>
            <w:r w:rsidRPr="00333DA5">
              <w:rPr>
                <w:rFonts w:eastAsia="Calibri"/>
                <w:sz w:val="22"/>
                <w:szCs w:val="22"/>
              </w:rPr>
              <w:t>???</w:t>
            </w:r>
          </w:p>
        </w:tc>
        <w:tc>
          <w:tcPr>
            <w:tcW w:w="4168" w:type="dxa"/>
            <w:shd w:val="clear" w:color="auto" w:fill="auto"/>
          </w:tcPr>
          <w:p w14:paraId="18AC3166" w14:textId="10904E16" w:rsidR="00A80C3A" w:rsidRPr="00333DA5" w:rsidRDefault="00A80C3A" w:rsidP="001D0164">
            <w:pPr>
              <w:jc w:val="both"/>
              <w:rPr>
                <w:rFonts w:eastAsia="Calibri"/>
                <w:sz w:val="22"/>
                <w:szCs w:val="22"/>
              </w:rPr>
            </w:pPr>
            <w:r w:rsidRPr="00333DA5">
              <w:rPr>
                <w:rFonts w:eastAsia="Calibri"/>
                <w:sz w:val="22"/>
                <w:szCs w:val="22"/>
              </w:rPr>
              <w:t>“Dear [TP], Thank you for your email dated 4 February 2020.   I have put your application on hold until the 5 March 2020 due to your request. Your application will not move any further forward until you advise over the issue of the address”.</w:t>
            </w:r>
          </w:p>
        </w:tc>
        <w:tc>
          <w:tcPr>
            <w:tcW w:w="1613" w:type="dxa"/>
            <w:shd w:val="clear" w:color="auto" w:fill="auto"/>
          </w:tcPr>
          <w:p w14:paraId="20EFE75B" w14:textId="77777777" w:rsidR="00A80C3A" w:rsidRPr="00333DA5" w:rsidRDefault="00A80C3A" w:rsidP="001D0164">
            <w:pPr>
              <w:rPr>
                <w:rFonts w:eastAsia="Calibri"/>
                <w:sz w:val="22"/>
                <w:szCs w:val="22"/>
              </w:rPr>
            </w:pPr>
            <w:r w:rsidRPr="00333DA5">
              <w:rPr>
                <w:rFonts w:eastAsia="Calibri"/>
                <w:sz w:val="22"/>
                <w:szCs w:val="22"/>
              </w:rPr>
              <w:t xml:space="preserve">E-Mail: CTSC </w:t>
            </w:r>
            <w:r w:rsidRPr="00333DA5">
              <w:rPr>
                <w:rFonts w:eastAsia="Calibri"/>
                <w:sz w:val="22"/>
                <w:szCs w:val="22"/>
              </w:rPr>
              <w:sym w:font="Wingdings" w:char="F0E0"/>
            </w:r>
            <w:r w:rsidRPr="00333DA5">
              <w:rPr>
                <w:rFonts w:eastAsia="Calibri"/>
                <w:sz w:val="22"/>
                <w:szCs w:val="22"/>
              </w:rPr>
              <w:t xml:space="preserve"> TP</w:t>
            </w:r>
          </w:p>
        </w:tc>
      </w:tr>
      <w:tr w:rsidR="00A5254F" w:rsidRPr="00333DA5" w14:paraId="16E1CA22" w14:textId="77777777" w:rsidTr="00A02BD5">
        <w:tc>
          <w:tcPr>
            <w:tcW w:w="1209" w:type="dxa"/>
            <w:shd w:val="clear" w:color="auto" w:fill="auto"/>
          </w:tcPr>
          <w:p w14:paraId="3971FA58" w14:textId="77777777" w:rsidR="00A80C3A" w:rsidRPr="00333DA5" w:rsidRDefault="00A80C3A" w:rsidP="001D0164">
            <w:pPr>
              <w:rPr>
                <w:rFonts w:eastAsia="Calibri"/>
                <w:sz w:val="22"/>
                <w:szCs w:val="22"/>
              </w:rPr>
            </w:pPr>
            <w:r w:rsidRPr="00333DA5">
              <w:rPr>
                <w:rFonts w:eastAsia="Calibri"/>
                <w:sz w:val="22"/>
                <w:szCs w:val="22"/>
              </w:rPr>
              <w:t>11 February</w:t>
            </w:r>
          </w:p>
        </w:tc>
        <w:tc>
          <w:tcPr>
            <w:tcW w:w="718" w:type="dxa"/>
            <w:shd w:val="clear" w:color="auto" w:fill="auto"/>
          </w:tcPr>
          <w:p w14:paraId="649DE4D6" w14:textId="77777777" w:rsidR="00A80C3A" w:rsidRPr="00333DA5" w:rsidRDefault="00A80C3A" w:rsidP="001D0164">
            <w:pPr>
              <w:rPr>
                <w:rFonts w:eastAsia="Calibri"/>
                <w:sz w:val="22"/>
                <w:szCs w:val="22"/>
              </w:rPr>
            </w:pPr>
          </w:p>
        </w:tc>
        <w:tc>
          <w:tcPr>
            <w:tcW w:w="4168" w:type="dxa"/>
            <w:shd w:val="clear" w:color="auto" w:fill="auto"/>
          </w:tcPr>
          <w:p w14:paraId="1860C641" w14:textId="77777777" w:rsidR="00A80C3A" w:rsidRPr="00333DA5" w:rsidRDefault="00A80C3A" w:rsidP="001D0164">
            <w:pPr>
              <w:jc w:val="both"/>
              <w:rPr>
                <w:rFonts w:eastAsia="Calibri"/>
                <w:sz w:val="22"/>
                <w:szCs w:val="22"/>
              </w:rPr>
            </w:pPr>
            <w:r w:rsidRPr="00333DA5">
              <w:rPr>
                <w:rFonts w:eastAsia="Calibri"/>
                <w:sz w:val="22"/>
                <w:szCs w:val="22"/>
              </w:rPr>
              <w:t xml:space="preserve">Request for the petition to be issued immediately </w:t>
            </w:r>
          </w:p>
        </w:tc>
        <w:tc>
          <w:tcPr>
            <w:tcW w:w="1613" w:type="dxa"/>
            <w:shd w:val="clear" w:color="auto" w:fill="auto"/>
          </w:tcPr>
          <w:p w14:paraId="53A25D4A" w14:textId="77777777" w:rsidR="00A80C3A" w:rsidRPr="00333DA5" w:rsidRDefault="00A80C3A" w:rsidP="001D0164">
            <w:pPr>
              <w:rPr>
                <w:rFonts w:eastAsia="Calibri"/>
                <w:sz w:val="22"/>
                <w:szCs w:val="22"/>
              </w:rPr>
            </w:pPr>
            <w:r w:rsidRPr="00333DA5">
              <w:rPr>
                <w:rFonts w:eastAsia="Calibri"/>
                <w:sz w:val="22"/>
                <w:szCs w:val="22"/>
              </w:rPr>
              <w:t xml:space="preserve">E-Mail: TP </w:t>
            </w:r>
            <w:r w:rsidRPr="00333DA5">
              <w:rPr>
                <w:rFonts w:eastAsia="Calibri"/>
                <w:sz w:val="22"/>
                <w:szCs w:val="22"/>
              </w:rPr>
              <w:sym w:font="Wingdings" w:char="F0E0"/>
            </w:r>
            <w:r w:rsidRPr="00333DA5">
              <w:rPr>
                <w:rFonts w:eastAsia="Calibri"/>
                <w:sz w:val="22"/>
                <w:szCs w:val="22"/>
              </w:rPr>
              <w:t xml:space="preserve"> CTSC.  Not in the papers, but referenced in the later e-mail of 19.2.20</w:t>
            </w:r>
          </w:p>
        </w:tc>
      </w:tr>
      <w:tr w:rsidR="00A5254F" w:rsidRPr="00333DA5" w14:paraId="1E83AF98" w14:textId="77777777" w:rsidTr="00A02BD5">
        <w:tc>
          <w:tcPr>
            <w:tcW w:w="1209" w:type="dxa"/>
            <w:shd w:val="clear" w:color="auto" w:fill="auto"/>
          </w:tcPr>
          <w:p w14:paraId="1271FB12" w14:textId="77777777" w:rsidR="00A80C3A" w:rsidRPr="00333DA5" w:rsidRDefault="00A80C3A" w:rsidP="001D0164">
            <w:pPr>
              <w:rPr>
                <w:rFonts w:eastAsia="Calibri"/>
                <w:sz w:val="22"/>
                <w:szCs w:val="22"/>
              </w:rPr>
            </w:pPr>
            <w:r w:rsidRPr="00333DA5">
              <w:rPr>
                <w:rFonts w:eastAsia="Calibri"/>
                <w:sz w:val="22"/>
                <w:szCs w:val="22"/>
              </w:rPr>
              <w:t xml:space="preserve">19 February </w:t>
            </w:r>
          </w:p>
        </w:tc>
        <w:tc>
          <w:tcPr>
            <w:tcW w:w="718" w:type="dxa"/>
            <w:shd w:val="clear" w:color="auto" w:fill="auto"/>
          </w:tcPr>
          <w:p w14:paraId="39B98D39" w14:textId="77777777" w:rsidR="00A80C3A" w:rsidRPr="00333DA5" w:rsidRDefault="00A80C3A" w:rsidP="001D0164">
            <w:pPr>
              <w:rPr>
                <w:rFonts w:eastAsia="Calibri"/>
                <w:sz w:val="22"/>
                <w:szCs w:val="22"/>
              </w:rPr>
            </w:pPr>
            <w:r w:rsidRPr="00333DA5">
              <w:rPr>
                <w:rFonts w:eastAsia="Calibri"/>
                <w:sz w:val="22"/>
                <w:szCs w:val="22"/>
              </w:rPr>
              <w:t>10:11</w:t>
            </w:r>
          </w:p>
        </w:tc>
        <w:tc>
          <w:tcPr>
            <w:tcW w:w="4168" w:type="dxa"/>
            <w:shd w:val="clear" w:color="auto" w:fill="auto"/>
          </w:tcPr>
          <w:p w14:paraId="1E6B9994" w14:textId="77777777" w:rsidR="00A80C3A" w:rsidRPr="00333DA5" w:rsidRDefault="00A80C3A" w:rsidP="001D0164">
            <w:pPr>
              <w:jc w:val="both"/>
              <w:rPr>
                <w:rFonts w:eastAsia="Calibri"/>
                <w:sz w:val="22"/>
                <w:szCs w:val="22"/>
              </w:rPr>
            </w:pPr>
            <w:r w:rsidRPr="00333DA5">
              <w:rPr>
                <w:rFonts w:eastAsia="Calibri"/>
                <w:color w:val="26282A"/>
                <w:sz w:val="22"/>
                <w:szCs w:val="22"/>
              </w:rPr>
              <w:t>“This is Urgent! I already sent it on the 11 February 2020. Please take that into consideration. I do not want my husband to be faster in applying abroad. Please issue the petition urgently”.</w:t>
            </w:r>
          </w:p>
        </w:tc>
        <w:tc>
          <w:tcPr>
            <w:tcW w:w="1613" w:type="dxa"/>
            <w:shd w:val="clear" w:color="auto" w:fill="auto"/>
          </w:tcPr>
          <w:p w14:paraId="20EF7C63" w14:textId="77777777" w:rsidR="00A80C3A" w:rsidRPr="00333DA5" w:rsidRDefault="00A80C3A" w:rsidP="001D0164">
            <w:pPr>
              <w:rPr>
                <w:rFonts w:eastAsia="Calibri"/>
                <w:sz w:val="22"/>
                <w:szCs w:val="22"/>
              </w:rPr>
            </w:pPr>
            <w:r w:rsidRPr="00333DA5">
              <w:rPr>
                <w:rFonts w:eastAsia="Calibri"/>
                <w:sz w:val="22"/>
                <w:szCs w:val="22"/>
              </w:rPr>
              <w:t xml:space="preserve">E-mail: TP </w:t>
            </w:r>
            <w:r w:rsidRPr="00333DA5">
              <w:rPr>
                <w:rFonts w:eastAsia="Calibri"/>
                <w:sz w:val="22"/>
                <w:szCs w:val="22"/>
              </w:rPr>
              <w:sym w:font="Wingdings" w:char="F0E0"/>
            </w:r>
            <w:r w:rsidRPr="00333DA5">
              <w:rPr>
                <w:rFonts w:eastAsia="Calibri"/>
                <w:sz w:val="22"/>
                <w:szCs w:val="22"/>
              </w:rPr>
              <w:t xml:space="preserve"> CTSC</w:t>
            </w:r>
          </w:p>
        </w:tc>
      </w:tr>
      <w:tr w:rsidR="00A5254F" w:rsidRPr="00333DA5" w14:paraId="362660D6" w14:textId="77777777" w:rsidTr="00A02BD5">
        <w:tc>
          <w:tcPr>
            <w:tcW w:w="1209" w:type="dxa"/>
            <w:shd w:val="clear" w:color="auto" w:fill="auto"/>
          </w:tcPr>
          <w:p w14:paraId="3CF41497" w14:textId="77777777" w:rsidR="00A80C3A" w:rsidRPr="00333DA5" w:rsidRDefault="00A80C3A" w:rsidP="001D0164">
            <w:pPr>
              <w:rPr>
                <w:rFonts w:eastAsia="Calibri"/>
                <w:sz w:val="22"/>
                <w:szCs w:val="22"/>
              </w:rPr>
            </w:pPr>
          </w:p>
        </w:tc>
        <w:tc>
          <w:tcPr>
            <w:tcW w:w="718" w:type="dxa"/>
            <w:shd w:val="clear" w:color="auto" w:fill="auto"/>
          </w:tcPr>
          <w:p w14:paraId="7AC6AB6F" w14:textId="77777777" w:rsidR="00A80C3A" w:rsidRPr="00333DA5" w:rsidRDefault="00A80C3A" w:rsidP="001D0164">
            <w:pPr>
              <w:rPr>
                <w:rFonts w:eastAsia="Calibri"/>
                <w:sz w:val="22"/>
                <w:szCs w:val="22"/>
              </w:rPr>
            </w:pPr>
            <w:r w:rsidRPr="00333DA5">
              <w:rPr>
                <w:rFonts w:eastAsia="Calibri"/>
                <w:sz w:val="22"/>
                <w:szCs w:val="22"/>
              </w:rPr>
              <w:t>?</w:t>
            </w:r>
          </w:p>
        </w:tc>
        <w:tc>
          <w:tcPr>
            <w:tcW w:w="4168" w:type="dxa"/>
            <w:shd w:val="clear" w:color="auto" w:fill="auto"/>
          </w:tcPr>
          <w:p w14:paraId="32ABC593" w14:textId="77777777" w:rsidR="00A80C3A" w:rsidRPr="00333DA5" w:rsidRDefault="00A80C3A" w:rsidP="001D0164">
            <w:pPr>
              <w:jc w:val="both"/>
              <w:rPr>
                <w:rFonts w:eastAsia="Calibri"/>
                <w:sz w:val="22"/>
                <w:szCs w:val="22"/>
              </w:rPr>
            </w:pPr>
            <w:r w:rsidRPr="00333DA5">
              <w:rPr>
                <w:rFonts w:eastAsia="Calibri"/>
                <w:sz w:val="22"/>
                <w:szCs w:val="22"/>
              </w:rPr>
              <w:t>Telephone call from the wife to CTSC</w:t>
            </w:r>
          </w:p>
        </w:tc>
        <w:tc>
          <w:tcPr>
            <w:tcW w:w="1613" w:type="dxa"/>
            <w:shd w:val="clear" w:color="auto" w:fill="auto"/>
          </w:tcPr>
          <w:p w14:paraId="02C762CF" w14:textId="77777777" w:rsidR="00A80C3A" w:rsidRPr="00333DA5" w:rsidRDefault="00A80C3A" w:rsidP="001D0164">
            <w:pPr>
              <w:rPr>
                <w:rFonts w:eastAsia="Calibri"/>
                <w:sz w:val="22"/>
                <w:szCs w:val="22"/>
              </w:rPr>
            </w:pPr>
            <w:r w:rsidRPr="00333DA5">
              <w:rPr>
                <w:rFonts w:eastAsia="Calibri"/>
                <w:sz w:val="22"/>
                <w:szCs w:val="22"/>
              </w:rPr>
              <w:t>Operations Manager confirms that there will be no retained record of this.</w:t>
            </w:r>
          </w:p>
        </w:tc>
      </w:tr>
      <w:tr w:rsidR="00A5254F" w:rsidRPr="00333DA5" w14:paraId="186D88A0" w14:textId="77777777" w:rsidTr="00A02BD5">
        <w:tc>
          <w:tcPr>
            <w:tcW w:w="1209" w:type="dxa"/>
            <w:shd w:val="clear" w:color="auto" w:fill="auto"/>
          </w:tcPr>
          <w:p w14:paraId="795DD013" w14:textId="77777777" w:rsidR="00A80C3A" w:rsidRPr="00333DA5" w:rsidRDefault="00A80C3A" w:rsidP="001D0164">
            <w:pPr>
              <w:rPr>
                <w:rFonts w:eastAsia="Calibri"/>
                <w:sz w:val="22"/>
                <w:szCs w:val="22"/>
              </w:rPr>
            </w:pPr>
            <w:r w:rsidRPr="00333DA5">
              <w:rPr>
                <w:rFonts w:eastAsia="Calibri"/>
                <w:sz w:val="22"/>
                <w:szCs w:val="22"/>
              </w:rPr>
              <w:t>19 February</w:t>
            </w:r>
          </w:p>
        </w:tc>
        <w:tc>
          <w:tcPr>
            <w:tcW w:w="718" w:type="dxa"/>
            <w:shd w:val="clear" w:color="auto" w:fill="auto"/>
          </w:tcPr>
          <w:p w14:paraId="1F04740C" w14:textId="77777777" w:rsidR="00A80C3A" w:rsidRPr="00333DA5" w:rsidRDefault="00A80C3A" w:rsidP="001D0164">
            <w:pPr>
              <w:rPr>
                <w:rFonts w:eastAsia="Calibri"/>
                <w:sz w:val="22"/>
                <w:szCs w:val="22"/>
              </w:rPr>
            </w:pPr>
            <w:r w:rsidRPr="00333DA5">
              <w:rPr>
                <w:rFonts w:eastAsia="Calibri"/>
                <w:sz w:val="22"/>
                <w:szCs w:val="22"/>
              </w:rPr>
              <w:t>11:42</w:t>
            </w:r>
          </w:p>
        </w:tc>
        <w:tc>
          <w:tcPr>
            <w:tcW w:w="4168" w:type="dxa"/>
            <w:shd w:val="clear" w:color="auto" w:fill="auto"/>
          </w:tcPr>
          <w:p w14:paraId="08E4AFAD" w14:textId="77777777" w:rsidR="00A80C3A" w:rsidRPr="00333DA5" w:rsidRDefault="00A80C3A" w:rsidP="001D0164">
            <w:pPr>
              <w:jc w:val="both"/>
              <w:rPr>
                <w:rFonts w:eastAsia="Calibri"/>
                <w:sz w:val="22"/>
                <w:szCs w:val="22"/>
              </w:rPr>
            </w:pPr>
            <w:r w:rsidRPr="00333DA5">
              <w:rPr>
                <w:rFonts w:eastAsia="Calibri"/>
                <w:sz w:val="22"/>
                <w:szCs w:val="22"/>
              </w:rPr>
              <w:t xml:space="preserve"> “Telephone call from Pet[itioner] adv[ising] she has sent in e-mail to say she wishes to recommence with the divorce.  Adv[ised] will look out for her e-mail.”</w:t>
            </w:r>
          </w:p>
        </w:tc>
        <w:tc>
          <w:tcPr>
            <w:tcW w:w="1613" w:type="dxa"/>
            <w:shd w:val="clear" w:color="auto" w:fill="auto"/>
          </w:tcPr>
          <w:p w14:paraId="483445FB" w14:textId="77777777" w:rsidR="00A80C3A" w:rsidRPr="00333DA5" w:rsidRDefault="00A80C3A" w:rsidP="001D0164">
            <w:pPr>
              <w:rPr>
                <w:rFonts w:eastAsia="Calibri"/>
                <w:sz w:val="22"/>
                <w:szCs w:val="22"/>
              </w:rPr>
            </w:pPr>
            <w:r w:rsidRPr="00333DA5">
              <w:rPr>
                <w:rFonts w:eastAsia="Calibri"/>
                <w:sz w:val="22"/>
                <w:szCs w:val="22"/>
              </w:rPr>
              <w:t>FamilyMan: Diary Record</w:t>
            </w:r>
          </w:p>
        </w:tc>
      </w:tr>
      <w:tr w:rsidR="00A5254F" w:rsidRPr="00333DA5" w14:paraId="27ED61D0" w14:textId="77777777" w:rsidTr="00A02BD5">
        <w:tc>
          <w:tcPr>
            <w:tcW w:w="1209" w:type="dxa"/>
            <w:shd w:val="clear" w:color="auto" w:fill="auto"/>
          </w:tcPr>
          <w:p w14:paraId="3D1F1ED1" w14:textId="77777777" w:rsidR="00A80C3A" w:rsidRPr="00333DA5" w:rsidRDefault="00A80C3A" w:rsidP="001D0164">
            <w:pPr>
              <w:rPr>
                <w:rFonts w:eastAsia="Calibri"/>
                <w:sz w:val="22"/>
                <w:szCs w:val="22"/>
              </w:rPr>
            </w:pPr>
          </w:p>
        </w:tc>
        <w:tc>
          <w:tcPr>
            <w:tcW w:w="718" w:type="dxa"/>
            <w:shd w:val="clear" w:color="auto" w:fill="auto"/>
          </w:tcPr>
          <w:p w14:paraId="6DEE16B5" w14:textId="77777777" w:rsidR="00A80C3A" w:rsidRPr="00333DA5" w:rsidRDefault="00A80C3A" w:rsidP="001D0164">
            <w:pPr>
              <w:rPr>
                <w:rFonts w:eastAsia="Calibri"/>
                <w:sz w:val="22"/>
                <w:szCs w:val="22"/>
              </w:rPr>
            </w:pPr>
            <w:r w:rsidRPr="00333DA5">
              <w:rPr>
                <w:rFonts w:eastAsia="Calibri"/>
                <w:sz w:val="22"/>
                <w:szCs w:val="22"/>
              </w:rPr>
              <w:t>13:01</w:t>
            </w:r>
          </w:p>
        </w:tc>
        <w:tc>
          <w:tcPr>
            <w:tcW w:w="4168" w:type="dxa"/>
            <w:shd w:val="clear" w:color="auto" w:fill="auto"/>
          </w:tcPr>
          <w:p w14:paraId="61EA1556" w14:textId="77777777" w:rsidR="00A80C3A" w:rsidRPr="00333DA5" w:rsidRDefault="00A80C3A" w:rsidP="001D0164">
            <w:pPr>
              <w:jc w:val="both"/>
              <w:rPr>
                <w:rFonts w:eastAsia="Calibri"/>
                <w:sz w:val="22"/>
                <w:szCs w:val="22"/>
              </w:rPr>
            </w:pPr>
            <w:r w:rsidRPr="00333DA5">
              <w:rPr>
                <w:rFonts w:eastAsia="Calibri"/>
                <w:sz w:val="22"/>
                <w:szCs w:val="22"/>
              </w:rPr>
              <w:t>Wife re-sends e-mail in same terms as the e-mail sent at 10:11</w:t>
            </w:r>
          </w:p>
        </w:tc>
        <w:tc>
          <w:tcPr>
            <w:tcW w:w="1613" w:type="dxa"/>
            <w:shd w:val="clear" w:color="auto" w:fill="auto"/>
          </w:tcPr>
          <w:p w14:paraId="6C41808C" w14:textId="77777777" w:rsidR="00A80C3A" w:rsidRPr="00333DA5" w:rsidRDefault="00A80C3A" w:rsidP="001D0164">
            <w:pPr>
              <w:rPr>
                <w:rFonts w:eastAsia="Calibri"/>
                <w:sz w:val="22"/>
                <w:szCs w:val="22"/>
              </w:rPr>
            </w:pPr>
          </w:p>
        </w:tc>
      </w:tr>
      <w:tr w:rsidR="00A5254F" w:rsidRPr="00333DA5" w14:paraId="2E1D1DF5" w14:textId="77777777" w:rsidTr="00A02BD5">
        <w:tc>
          <w:tcPr>
            <w:tcW w:w="1209" w:type="dxa"/>
            <w:shd w:val="clear" w:color="auto" w:fill="auto"/>
          </w:tcPr>
          <w:p w14:paraId="58CE3237" w14:textId="77777777" w:rsidR="00A80C3A" w:rsidRPr="00333DA5" w:rsidRDefault="00A80C3A" w:rsidP="001D0164">
            <w:pPr>
              <w:rPr>
                <w:rFonts w:eastAsia="Calibri"/>
                <w:sz w:val="22"/>
                <w:szCs w:val="22"/>
              </w:rPr>
            </w:pPr>
          </w:p>
        </w:tc>
        <w:tc>
          <w:tcPr>
            <w:tcW w:w="718" w:type="dxa"/>
            <w:shd w:val="clear" w:color="auto" w:fill="auto"/>
          </w:tcPr>
          <w:p w14:paraId="79695705" w14:textId="77777777" w:rsidR="00A80C3A" w:rsidRPr="00333DA5" w:rsidRDefault="00A80C3A" w:rsidP="001D0164">
            <w:pPr>
              <w:rPr>
                <w:rFonts w:eastAsia="Calibri"/>
                <w:sz w:val="22"/>
                <w:szCs w:val="22"/>
              </w:rPr>
            </w:pPr>
            <w:r w:rsidRPr="00333DA5">
              <w:rPr>
                <w:rFonts w:eastAsia="Calibri"/>
                <w:sz w:val="22"/>
                <w:szCs w:val="22"/>
              </w:rPr>
              <w:t>16:54</w:t>
            </w:r>
          </w:p>
        </w:tc>
        <w:tc>
          <w:tcPr>
            <w:tcW w:w="4168" w:type="dxa"/>
            <w:shd w:val="clear" w:color="auto" w:fill="auto"/>
          </w:tcPr>
          <w:p w14:paraId="593C625C" w14:textId="77777777" w:rsidR="00A80C3A" w:rsidRPr="00333DA5" w:rsidRDefault="00A80C3A" w:rsidP="001D0164">
            <w:pPr>
              <w:jc w:val="both"/>
              <w:rPr>
                <w:rFonts w:eastAsia="Calibri"/>
                <w:sz w:val="22"/>
                <w:szCs w:val="22"/>
              </w:rPr>
            </w:pPr>
            <w:r w:rsidRPr="00333DA5">
              <w:rPr>
                <w:rFonts w:eastAsia="Calibri"/>
                <w:sz w:val="22"/>
                <w:szCs w:val="22"/>
              </w:rPr>
              <w:t>“Petitioner responded”</w:t>
            </w:r>
          </w:p>
        </w:tc>
        <w:tc>
          <w:tcPr>
            <w:tcW w:w="1613" w:type="dxa"/>
            <w:shd w:val="clear" w:color="auto" w:fill="auto"/>
          </w:tcPr>
          <w:p w14:paraId="7C9653E3" w14:textId="77777777" w:rsidR="00A80C3A" w:rsidRPr="00333DA5" w:rsidRDefault="00A80C3A" w:rsidP="001D0164">
            <w:pPr>
              <w:rPr>
                <w:rFonts w:eastAsia="Calibri"/>
                <w:sz w:val="22"/>
                <w:szCs w:val="22"/>
              </w:rPr>
            </w:pPr>
            <w:r w:rsidRPr="00333DA5">
              <w:rPr>
                <w:rFonts w:eastAsia="Calibri"/>
                <w:sz w:val="22"/>
                <w:szCs w:val="22"/>
              </w:rPr>
              <w:t>FamilyMan: Diary Record</w:t>
            </w:r>
          </w:p>
        </w:tc>
      </w:tr>
      <w:tr w:rsidR="00A5254F" w:rsidRPr="00333DA5" w14:paraId="528F226F" w14:textId="77777777" w:rsidTr="00A02BD5">
        <w:tc>
          <w:tcPr>
            <w:tcW w:w="1209" w:type="dxa"/>
            <w:shd w:val="clear" w:color="auto" w:fill="auto"/>
          </w:tcPr>
          <w:p w14:paraId="2E130876" w14:textId="77777777" w:rsidR="00A80C3A" w:rsidRPr="00333DA5" w:rsidRDefault="00A80C3A" w:rsidP="001D0164">
            <w:pPr>
              <w:rPr>
                <w:rFonts w:eastAsia="Calibri"/>
                <w:sz w:val="22"/>
                <w:szCs w:val="22"/>
              </w:rPr>
            </w:pPr>
            <w:r w:rsidRPr="00333DA5">
              <w:rPr>
                <w:rFonts w:eastAsia="Calibri"/>
                <w:sz w:val="22"/>
                <w:szCs w:val="22"/>
              </w:rPr>
              <w:t xml:space="preserve">19 February </w:t>
            </w:r>
          </w:p>
        </w:tc>
        <w:tc>
          <w:tcPr>
            <w:tcW w:w="718" w:type="dxa"/>
            <w:shd w:val="clear" w:color="auto" w:fill="auto"/>
          </w:tcPr>
          <w:p w14:paraId="2B386325" w14:textId="77777777" w:rsidR="00A80C3A" w:rsidRPr="00333DA5" w:rsidRDefault="00A80C3A" w:rsidP="001D0164">
            <w:pPr>
              <w:rPr>
                <w:rFonts w:eastAsia="Calibri"/>
                <w:sz w:val="22"/>
                <w:szCs w:val="22"/>
              </w:rPr>
            </w:pPr>
            <w:r w:rsidRPr="00333DA5">
              <w:rPr>
                <w:rFonts w:eastAsia="Calibri"/>
                <w:sz w:val="22"/>
                <w:szCs w:val="22"/>
              </w:rPr>
              <w:t>17:37</w:t>
            </w:r>
          </w:p>
        </w:tc>
        <w:tc>
          <w:tcPr>
            <w:tcW w:w="4168" w:type="dxa"/>
            <w:shd w:val="clear" w:color="auto" w:fill="auto"/>
          </w:tcPr>
          <w:p w14:paraId="2D4058D6" w14:textId="77777777" w:rsidR="00A80C3A" w:rsidRPr="00333DA5" w:rsidRDefault="00A80C3A" w:rsidP="001D0164">
            <w:pPr>
              <w:jc w:val="both"/>
              <w:rPr>
                <w:rFonts w:eastAsia="Calibri"/>
                <w:sz w:val="22"/>
                <w:szCs w:val="22"/>
              </w:rPr>
            </w:pPr>
            <w:r w:rsidRPr="00333DA5">
              <w:rPr>
                <w:rFonts w:eastAsia="Calibri"/>
                <w:sz w:val="22"/>
                <w:szCs w:val="22"/>
              </w:rPr>
              <w:t>“Petition submitted. Update contact details.  Pet[itioner] address updated – Email from Pet[itioner] not uploaded as adv[ised] by T/L [Team Leader]”</w:t>
            </w:r>
          </w:p>
        </w:tc>
        <w:tc>
          <w:tcPr>
            <w:tcW w:w="1613" w:type="dxa"/>
            <w:shd w:val="clear" w:color="auto" w:fill="auto"/>
          </w:tcPr>
          <w:p w14:paraId="189CCDC8" w14:textId="77777777" w:rsidR="00A80C3A" w:rsidRPr="00333DA5" w:rsidRDefault="00A80C3A" w:rsidP="001D0164">
            <w:pPr>
              <w:rPr>
                <w:rFonts w:eastAsia="Calibri"/>
                <w:sz w:val="22"/>
                <w:szCs w:val="22"/>
              </w:rPr>
            </w:pPr>
            <w:r w:rsidRPr="00333DA5">
              <w:rPr>
                <w:rFonts w:eastAsia="Calibri"/>
                <w:sz w:val="22"/>
                <w:szCs w:val="22"/>
              </w:rPr>
              <w:t>FamilyMan: Diary Record</w:t>
            </w:r>
          </w:p>
        </w:tc>
      </w:tr>
      <w:tr w:rsidR="00A5254F" w:rsidRPr="00333DA5" w14:paraId="1BE0E4DA" w14:textId="77777777" w:rsidTr="00A02BD5">
        <w:tc>
          <w:tcPr>
            <w:tcW w:w="1209" w:type="dxa"/>
            <w:shd w:val="clear" w:color="auto" w:fill="auto"/>
          </w:tcPr>
          <w:p w14:paraId="5828DFAE" w14:textId="77777777" w:rsidR="00A80C3A" w:rsidRPr="00333DA5" w:rsidRDefault="00A80C3A" w:rsidP="001D0164">
            <w:pPr>
              <w:rPr>
                <w:rFonts w:eastAsia="Calibri"/>
                <w:sz w:val="22"/>
                <w:szCs w:val="22"/>
              </w:rPr>
            </w:pPr>
          </w:p>
        </w:tc>
        <w:tc>
          <w:tcPr>
            <w:tcW w:w="718" w:type="dxa"/>
            <w:shd w:val="clear" w:color="auto" w:fill="auto"/>
          </w:tcPr>
          <w:p w14:paraId="3319EA82" w14:textId="77777777" w:rsidR="00A80C3A" w:rsidRPr="00333DA5" w:rsidRDefault="00A80C3A" w:rsidP="001D0164">
            <w:pPr>
              <w:rPr>
                <w:rFonts w:eastAsia="Calibri"/>
                <w:sz w:val="22"/>
                <w:szCs w:val="22"/>
              </w:rPr>
            </w:pPr>
            <w:r w:rsidRPr="00333DA5">
              <w:rPr>
                <w:rFonts w:eastAsia="Calibri"/>
                <w:sz w:val="22"/>
                <w:szCs w:val="22"/>
              </w:rPr>
              <w:t>17:39</w:t>
            </w:r>
          </w:p>
        </w:tc>
        <w:tc>
          <w:tcPr>
            <w:tcW w:w="4168" w:type="dxa"/>
            <w:shd w:val="clear" w:color="auto" w:fill="auto"/>
          </w:tcPr>
          <w:p w14:paraId="04463DF8" w14:textId="77777777" w:rsidR="00A80C3A" w:rsidRPr="00333DA5" w:rsidRDefault="00A80C3A" w:rsidP="001D0164">
            <w:pPr>
              <w:jc w:val="both"/>
              <w:rPr>
                <w:rFonts w:eastAsia="Calibri"/>
                <w:sz w:val="22"/>
                <w:szCs w:val="22"/>
              </w:rPr>
            </w:pPr>
            <w:r w:rsidRPr="00333DA5">
              <w:rPr>
                <w:rFonts w:eastAsia="Calibri"/>
                <w:sz w:val="22"/>
                <w:szCs w:val="22"/>
              </w:rPr>
              <w:t>Upload document</w:t>
            </w:r>
          </w:p>
        </w:tc>
        <w:tc>
          <w:tcPr>
            <w:tcW w:w="1613" w:type="dxa"/>
            <w:shd w:val="clear" w:color="auto" w:fill="auto"/>
          </w:tcPr>
          <w:p w14:paraId="15C4042D" w14:textId="77777777" w:rsidR="00A80C3A" w:rsidRPr="00333DA5" w:rsidRDefault="00A80C3A" w:rsidP="001D0164">
            <w:pPr>
              <w:rPr>
                <w:rFonts w:eastAsia="Calibri"/>
                <w:sz w:val="22"/>
                <w:szCs w:val="22"/>
              </w:rPr>
            </w:pPr>
            <w:r w:rsidRPr="00333DA5">
              <w:rPr>
                <w:rFonts w:eastAsia="Calibri"/>
                <w:sz w:val="22"/>
                <w:szCs w:val="22"/>
              </w:rPr>
              <w:t>FamilyMan: Diary Record</w:t>
            </w:r>
          </w:p>
        </w:tc>
      </w:tr>
      <w:tr w:rsidR="00A5254F" w:rsidRPr="00333DA5" w14:paraId="1CA279E0" w14:textId="77777777" w:rsidTr="00A02BD5">
        <w:tc>
          <w:tcPr>
            <w:tcW w:w="1209" w:type="dxa"/>
            <w:shd w:val="clear" w:color="auto" w:fill="auto"/>
          </w:tcPr>
          <w:p w14:paraId="6A1627EA" w14:textId="77777777" w:rsidR="00A80C3A" w:rsidRPr="00333DA5" w:rsidRDefault="00A80C3A" w:rsidP="001D0164">
            <w:pPr>
              <w:rPr>
                <w:rFonts w:eastAsia="Calibri"/>
                <w:sz w:val="22"/>
                <w:szCs w:val="22"/>
              </w:rPr>
            </w:pPr>
            <w:r w:rsidRPr="00333DA5">
              <w:rPr>
                <w:rFonts w:eastAsia="Calibri"/>
                <w:sz w:val="22"/>
                <w:szCs w:val="22"/>
              </w:rPr>
              <w:t>20 February</w:t>
            </w:r>
          </w:p>
        </w:tc>
        <w:tc>
          <w:tcPr>
            <w:tcW w:w="718" w:type="dxa"/>
            <w:shd w:val="clear" w:color="auto" w:fill="auto"/>
          </w:tcPr>
          <w:p w14:paraId="6F063CA8" w14:textId="77777777" w:rsidR="00A80C3A" w:rsidRPr="00333DA5" w:rsidRDefault="00A80C3A" w:rsidP="001D0164">
            <w:pPr>
              <w:rPr>
                <w:rFonts w:eastAsia="Calibri"/>
                <w:sz w:val="22"/>
                <w:szCs w:val="22"/>
              </w:rPr>
            </w:pPr>
            <w:r w:rsidRPr="00333DA5">
              <w:rPr>
                <w:rFonts w:eastAsia="Calibri"/>
                <w:sz w:val="22"/>
                <w:szCs w:val="22"/>
              </w:rPr>
              <w:t>11:47</w:t>
            </w:r>
          </w:p>
        </w:tc>
        <w:tc>
          <w:tcPr>
            <w:tcW w:w="4168" w:type="dxa"/>
            <w:shd w:val="clear" w:color="auto" w:fill="auto"/>
          </w:tcPr>
          <w:p w14:paraId="5D51F483" w14:textId="77777777" w:rsidR="00A80C3A" w:rsidRPr="00333DA5" w:rsidRDefault="00A80C3A" w:rsidP="001D0164">
            <w:pPr>
              <w:jc w:val="both"/>
              <w:rPr>
                <w:rFonts w:eastAsia="Calibri"/>
                <w:sz w:val="22"/>
                <w:szCs w:val="22"/>
              </w:rPr>
            </w:pPr>
            <w:r w:rsidRPr="00333DA5">
              <w:rPr>
                <w:rFonts w:eastAsia="Calibri"/>
                <w:sz w:val="22"/>
                <w:szCs w:val="22"/>
              </w:rPr>
              <w:t>Update contact details</w:t>
            </w:r>
          </w:p>
        </w:tc>
        <w:tc>
          <w:tcPr>
            <w:tcW w:w="1613" w:type="dxa"/>
            <w:shd w:val="clear" w:color="auto" w:fill="auto"/>
          </w:tcPr>
          <w:p w14:paraId="2C1E2C9E" w14:textId="77777777" w:rsidR="00A80C3A" w:rsidRPr="00333DA5" w:rsidRDefault="00A80C3A" w:rsidP="001D0164">
            <w:pPr>
              <w:rPr>
                <w:rFonts w:eastAsia="Calibri"/>
                <w:sz w:val="22"/>
                <w:szCs w:val="22"/>
              </w:rPr>
            </w:pPr>
            <w:r w:rsidRPr="00333DA5">
              <w:rPr>
                <w:rFonts w:eastAsia="Calibri"/>
                <w:sz w:val="22"/>
                <w:szCs w:val="22"/>
              </w:rPr>
              <w:t>FamilyMan: Diary Record</w:t>
            </w:r>
          </w:p>
        </w:tc>
      </w:tr>
      <w:tr w:rsidR="00A5254F" w:rsidRPr="00333DA5" w14:paraId="0EB7952D" w14:textId="77777777" w:rsidTr="00A02BD5">
        <w:tc>
          <w:tcPr>
            <w:tcW w:w="1209" w:type="dxa"/>
            <w:shd w:val="clear" w:color="auto" w:fill="auto"/>
          </w:tcPr>
          <w:p w14:paraId="202A3D00" w14:textId="77777777" w:rsidR="00A80C3A" w:rsidRPr="00333DA5" w:rsidRDefault="00A80C3A" w:rsidP="001D0164">
            <w:pPr>
              <w:rPr>
                <w:rFonts w:eastAsia="Calibri"/>
                <w:sz w:val="22"/>
                <w:szCs w:val="22"/>
              </w:rPr>
            </w:pPr>
          </w:p>
        </w:tc>
        <w:tc>
          <w:tcPr>
            <w:tcW w:w="718" w:type="dxa"/>
            <w:shd w:val="clear" w:color="auto" w:fill="auto"/>
          </w:tcPr>
          <w:p w14:paraId="0F72EC70" w14:textId="77777777" w:rsidR="00A80C3A" w:rsidRPr="00333DA5" w:rsidRDefault="00A80C3A" w:rsidP="001D0164">
            <w:pPr>
              <w:rPr>
                <w:rFonts w:eastAsia="Calibri"/>
                <w:sz w:val="22"/>
                <w:szCs w:val="22"/>
              </w:rPr>
            </w:pPr>
            <w:r w:rsidRPr="00333DA5">
              <w:rPr>
                <w:rFonts w:eastAsia="Calibri"/>
                <w:sz w:val="22"/>
                <w:szCs w:val="22"/>
              </w:rPr>
              <w:t>11:50</w:t>
            </w:r>
          </w:p>
        </w:tc>
        <w:tc>
          <w:tcPr>
            <w:tcW w:w="4168" w:type="dxa"/>
            <w:shd w:val="clear" w:color="auto" w:fill="auto"/>
          </w:tcPr>
          <w:p w14:paraId="46E54A72" w14:textId="77777777" w:rsidR="00A80C3A" w:rsidRPr="00333DA5" w:rsidRDefault="00A80C3A" w:rsidP="001D0164">
            <w:pPr>
              <w:jc w:val="both"/>
              <w:rPr>
                <w:rFonts w:eastAsia="Calibri"/>
                <w:sz w:val="22"/>
                <w:szCs w:val="22"/>
              </w:rPr>
            </w:pPr>
            <w:r w:rsidRPr="00333DA5">
              <w:rPr>
                <w:rFonts w:eastAsia="Calibri"/>
                <w:sz w:val="22"/>
                <w:szCs w:val="22"/>
              </w:rPr>
              <w:t>Issue</w:t>
            </w:r>
          </w:p>
        </w:tc>
        <w:tc>
          <w:tcPr>
            <w:tcW w:w="1613" w:type="dxa"/>
            <w:shd w:val="clear" w:color="auto" w:fill="auto"/>
          </w:tcPr>
          <w:p w14:paraId="6565D55F" w14:textId="77777777" w:rsidR="00A80C3A" w:rsidRPr="00333DA5" w:rsidRDefault="00A80C3A" w:rsidP="001D0164">
            <w:pPr>
              <w:rPr>
                <w:rFonts w:eastAsia="Calibri"/>
                <w:sz w:val="22"/>
                <w:szCs w:val="22"/>
              </w:rPr>
            </w:pPr>
            <w:r w:rsidRPr="00333DA5">
              <w:rPr>
                <w:rFonts w:eastAsia="Calibri"/>
                <w:sz w:val="22"/>
                <w:szCs w:val="22"/>
              </w:rPr>
              <w:t>FamilyMan: Diary Record</w:t>
            </w:r>
          </w:p>
        </w:tc>
      </w:tr>
      <w:tr w:rsidR="00A5254F" w:rsidRPr="00333DA5" w14:paraId="41039017" w14:textId="77777777" w:rsidTr="00A02BD5">
        <w:tc>
          <w:tcPr>
            <w:tcW w:w="1209" w:type="dxa"/>
            <w:shd w:val="clear" w:color="auto" w:fill="auto"/>
          </w:tcPr>
          <w:p w14:paraId="33E295E6" w14:textId="77777777" w:rsidR="00A80C3A" w:rsidRPr="00333DA5" w:rsidRDefault="00A80C3A" w:rsidP="001D0164">
            <w:pPr>
              <w:rPr>
                <w:rFonts w:eastAsia="Calibri"/>
                <w:sz w:val="22"/>
                <w:szCs w:val="22"/>
              </w:rPr>
            </w:pPr>
          </w:p>
        </w:tc>
        <w:tc>
          <w:tcPr>
            <w:tcW w:w="718" w:type="dxa"/>
            <w:shd w:val="clear" w:color="auto" w:fill="auto"/>
          </w:tcPr>
          <w:p w14:paraId="169D5506" w14:textId="77777777" w:rsidR="00A80C3A" w:rsidRPr="00333DA5" w:rsidRDefault="00A80C3A" w:rsidP="001D0164">
            <w:pPr>
              <w:rPr>
                <w:rFonts w:eastAsia="Calibri"/>
                <w:sz w:val="22"/>
                <w:szCs w:val="22"/>
              </w:rPr>
            </w:pPr>
            <w:r w:rsidRPr="00333DA5">
              <w:rPr>
                <w:rFonts w:eastAsia="Calibri"/>
                <w:sz w:val="22"/>
                <w:szCs w:val="22"/>
              </w:rPr>
              <w:t>11:53</w:t>
            </w:r>
          </w:p>
        </w:tc>
        <w:tc>
          <w:tcPr>
            <w:tcW w:w="4168" w:type="dxa"/>
            <w:shd w:val="clear" w:color="auto" w:fill="auto"/>
          </w:tcPr>
          <w:p w14:paraId="2CD3910F" w14:textId="77777777" w:rsidR="00A80C3A" w:rsidRPr="00333DA5" w:rsidRDefault="00A80C3A" w:rsidP="001D0164">
            <w:pPr>
              <w:jc w:val="both"/>
              <w:rPr>
                <w:rFonts w:eastAsia="Calibri"/>
                <w:sz w:val="22"/>
                <w:szCs w:val="22"/>
              </w:rPr>
            </w:pPr>
            <w:r w:rsidRPr="00333DA5">
              <w:rPr>
                <w:rFonts w:eastAsia="Calibri"/>
                <w:sz w:val="22"/>
                <w:szCs w:val="22"/>
              </w:rPr>
              <w:t>Issue AOS (Acknowledgement of Service) pack to Respondent</w:t>
            </w:r>
          </w:p>
        </w:tc>
        <w:tc>
          <w:tcPr>
            <w:tcW w:w="1613" w:type="dxa"/>
            <w:shd w:val="clear" w:color="auto" w:fill="auto"/>
          </w:tcPr>
          <w:p w14:paraId="4B70CA09" w14:textId="77777777" w:rsidR="00A80C3A" w:rsidRPr="00333DA5" w:rsidRDefault="00A80C3A" w:rsidP="001D0164">
            <w:pPr>
              <w:rPr>
                <w:rFonts w:eastAsia="Calibri"/>
                <w:sz w:val="22"/>
                <w:szCs w:val="22"/>
              </w:rPr>
            </w:pPr>
            <w:r w:rsidRPr="00333DA5">
              <w:rPr>
                <w:rFonts w:eastAsia="Calibri"/>
                <w:sz w:val="22"/>
                <w:szCs w:val="22"/>
              </w:rPr>
              <w:t>FamilyMan: Diary Record</w:t>
            </w:r>
          </w:p>
        </w:tc>
      </w:tr>
      <w:tr w:rsidR="00A5254F" w:rsidRPr="00333DA5" w14:paraId="3174ED11" w14:textId="77777777" w:rsidTr="00A02BD5">
        <w:tc>
          <w:tcPr>
            <w:tcW w:w="1209" w:type="dxa"/>
            <w:shd w:val="clear" w:color="auto" w:fill="auto"/>
          </w:tcPr>
          <w:p w14:paraId="40BB8D82" w14:textId="77777777" w:rsidR="00A80C3A" w:rsidRPr="00333DA5" w:rsidRDefault="00A80C3A" w:rsidP="001D0164">
            <w:pPr>
              <w:rPr>
                <w:rFonts w:eastAsia="Calibri"/>
                <w:sz w:val="22"/>
                <w:szCs w:val="22"/>
              </w:rPr>
            </w:pPr>
          </w:p>
        </w:tc>
        <w:tc>
          <w:tcPr>
            <w:tcW w:w="718" w:type="dxa"/>
            <w:shd w:val="clear" w:color="auto" w:fill="auto"/>
          </w:tcPr>
          <w:p w14:paraId="7630952E" w14:textId="77777777" w:rsidR="00A80C3A" w:rsidRPr="00333DA5" w:rsidRDefault="00A80C3A" w:rsidP="001D0164">
            <w:pPr>
              <w:rPr>
                <w:rFonts w:eastAsia="Calibri"/>
                <w:sz w:val="22"/>
                <w:szCs w:val="22"/>
              </w:rPr>
            </w:pPr>
            <w:r w:rsidRPr="00333DA5">
              <w:rPr>
                <w:rFonts w:eastAsia="Calibri"/>
                <w:sz w:val="22"/>
                <w:szCs w:val="22"/>
              </w:rPr>
              <w:t>12:00</w:t>
            </w:r>
          </w:p>
        </w:tc>
        <w:tc>
          <w:tcPr>
            <w:tcW w:w="4168" w:type="dxa"/>
            <w:shd w:val="clear" w:color="auto" w:fill="auto"/>
          </w:tcPr>
          <w:p w14:paraId="40D80790" w14:textId="7C69B63F" w:rsidR="00A80C3A" w:rsidRPr="00333DA5" w:rsidRDefault="00A80C3A" w:rsidP="001D0164">
            <w:pPr>
              <w:jc w:val="both"/>
              <w:rPr>
                <w:rFonts w:eastAsia="Calibri"/>
                <w:sz w:val="22"/>
                <w:szCs w:val="22"/>
              </w:rPr>
            </w:pPr>
            <w:r w:rsidRPr="00333DA5">
              <w:rPr>
                <w:rFonts w:eastAsia="Calibri"/>
                <w:sz w:val="22"/>
                <w:szCs w:val="22"/>
              </w:rPr>
              <w:t xml:space="preserve">“Your application </w:t>
            </w:r>
            <w:r w:rsidR="00494195" w:rsidRPr="00333DA5">
              <w:rPr>
                <w:rFonts w:eastAsia="Calibri"/>
                <w:sz w:val="22"/>
                <w:szCs w:val="22"/>
              </w:rPr>
              <w:t xml:space="preserve">has </w:t>
            </w:r>
            <w:r w:rsidRPr="00333DA5">
              <w:rPr>
                <w:rFonts w:eastAsia="Calibri"/>
                <w:sz w:val="22"/>
                <w:szCs w:val="22"/>
              </w:rPr>
              <w:t>passed checks by court staff and the next stage of your divorce has begun.  You can find a copy of the issued application attached to this e-mail.”</w:t>
            </w:r>
          </w:p>
        </w:tc>
        <w:tc>
          <w:tcPr>
            <w:tcW w:w="1613" w:type="dxa"/>
            <w:shd w:val="clear" w:color="auto" w:fill="auto"/>
          </w:tcPr>
          <w:p w14:paraId="3AA6F0E9" w14:textId="77777777" w:rsidR="00A80C3A" w:rsidRPr="00333DA5" w:rsidRDefault="00A80C3A" w:rsidP="001D0164">
            <w:pPr>
              <w:rPr>
                <w:rFonts w:eastAsia="Calibri"/>
                <w:sz w:val="22"/>
                <w:szCs w:val="22"/>
              </w:rPr>
            </w:pPr>
            <w:r w:rsidRPr="00333DA5">
              <w:rPr>
                <w:rFonts w:eastAsia="Calibri"/>
                <w:sz w:val="22"/>
                <w:szCs w:val="22"/>
              </w:rPr>
              <w:t xml:space="preserve">E-Mail: TP </w:t>
            </w:r>
            <w:r w:rsidRPr="00333DA5">
              <w:rPr>
                <w:rFonts w:eastAsia="Calibri"/>
                <w:sz w:val="22"/>
                <w:szCs w:val="22"/>
              </w:rPr>
              <w:sym w:font="Wingdings" w:char="F0E0"/>
            </w:r>
            <w:r w:rsidRPr="00333DA5">
              <w:rPr>
                <w:rFonts w:eastAsia="Calibri"/>
                <w:sz w:val="22"/>
                <w:szCs w:val="22"/>
              </w:rPr>
              <w:t xml:space="preserve"> CTSC.  </w:t>
            </w:r>
          </w:p>
        </w:tc>
      </w:tr>
      <w:tr w:rsidR="00A5254F" w:rsidRPr="00333DA5" w14:paraId="3CF79627" w14:textId="77777777" w:rsidTr="00A02BD5">
        <w:tc>
          <w:tcPr>
            <w:tcW w:w="1209" w:type="dxa"/>
            <w:shd w:val="clear" w:color="auto" w:fill="auto"/>
          </w:tcPr>
          <w:p w14:paraId="7EF92A9B" w14:textId="77777777" w:rsidR="00A80C3A" w:rsidRPr="00333DA5" w:rsidRDefault="00A80C3A" w:rsidP="001D0164">
            <w:pPr>
              <w:rPr>
                <w:rFonts w:eastAsia="Calibri"/>
                <w:sz w:val="22"/>
                <w:szCs w:val="22"/>
              </w:rPr>
            </w:pPr>
            <w:r w:rsidRPr="00333DA5">
              <w:rPr>
                <w:rFonts w:eastAsia="Calibri"/>
                <w:sz w:val="22"/>
                <w:szCs w:val="22"/>
              </w:rPr>
              <w:t>20 February</w:t>
            </w:r>
          </w:p>
        </w:tc>
        <w:tc>
          <w:tcPr>
            <w:tcW w:w="718" w:type="dxa"/>
            <w:shd w:val="clear" w:color="auto" w:fill="auto"/>
          </w:tcPr>
          <w:p w14:paraId="37E4746B" w14:textId="77777777" w:rsidR="00A80C3A" w:rsidRPr="00333DA5" w:rsidRDefault="00A80C3A" w:rsidP="001D0164">
            <w:pPr>
              <w:rPr>
                <w:rFonts w:eastAsia="Calibri"/>
                <w:sz w:val="22"/>
                <w:szCs w:val="22"/>
              </w:rPr>
            </w:pPr>
          </w:p>
        </w:tc>
        <w:tc>
          <w:tcPr>
            <w:tcW w:w="4168" w:type="dxa"/>
            <w:shd w:val="clear" w:color="auto" w:fill="auto"/>
          </w:tcPr>
          <w:p w14:paraId="52530D4E" w14:textId="77777777" w:rsidR="00A80C3A" w:rsidRPr="00333DA5" w:rsidRDefault="00A80C3A" w:rsidP="001D0164">
            <w:pPr>
              <w:jc w:val="both"/>
              <w:rPr>
                <w:rFonts w:eastAsia="Calibri"/>
                <w:sz w:val="22"/>
                <w:szCs w:val="22"/>
              </w:rPr>
            </w:pPr>
            <w:r w:rsidRPr="00333DA5">
              <w:rPr>
                <w:rFonts w:eastAsia="Calibri"/>
                <w:sz w:val="22"/>
                <w:szCs w:val="22"/>
              </w:rPr>
              <w:t xml:space="preserve">“Your application has passed checks by court staff and the next stage of your divorce has begun. You can find a copy of the issued application attached to this email.  </w:t>
            </w:r>
            <w:r w:rsidRPr="00333DA5">
              <w:rPr>
                <w:rFonts w:eastAsia="Calibri"/>
                <w:b/>
                <w:bCs/>
                <w:sz w:val="22"/>
                <w:szCs w:val="22"/>
              </w:rPr>
              <w:t>What happens next</w:t>
            </w:r>
            <w:r w:rsidRPr="00333DA5">
              <w:rPr>
                <w:rFonts w:eastAsia="Calibri"/>
                <w:sz w:val="22"/>
                <w:szCs w:val="22"/>
              </w:rPr>
              <w:t>. The court will send the application to your husband/wife by post in the next few days, along with a form called an ‘acknowledgement of service’.</w:t>
            </w:r>
          </w:p>
        </w:tc>
        <w:tc>
          <w:tcPr>
            <w:tcW w:w="1613" w:type="dxa"/>
            <w:shd w:val="clear" w:color="auto" w:fill="auto"/>
          </w:tcPr>
          <w:p w14:paraId="57323A68" w14:textId="77777777" w:rsidR="00A80C3A" w:rsidRPr="00333DA5" w:rsidRDefault="00A80C3A" w:rsidP="001D0164">
            <w:pPr>
              <w:rPr>
                <w:rFonts w:eastAsia="Calibri"/>
                <w:sz w:val="22"/>
                <w:szCs w:val="22"/>
              </w:rPr>
            </w:pPr>
            <w:r w:rsidRPr="00333DA5">
              <w:rPr>
                <w:rFonts w:eastAsia="Calibri"/>
                <w:sz w:val="22"/>
                <w:szCs w:val="22"/>
              </w:rPr>
              <w:t xml:space="preserve">E-Mail: CTSC </w:t>
            </w:r>
            <w:r w:rsidRPr="00333DA5">
              <w:rPr>
                <w:rFonts w:eastAsia="Calibri"/>
                <w:sz w:val="22"/>
                <w:szCs w:val="22"/>
              </w:rPr>
              <w:sym w:font="Wingdings" w:char="F0E0"/>
            </w:r>
            <w:r w:rsidRPr="00333DA5">
              <w:rPr>
                <w:rFonts w:eastAsia="Calibri"/>
                <w:sz w:val="22"/>
                <w:szCs w:val="22"/>
              </w:rPr>
              <w:t xml:space="preserve"> TP</w:t>
            </w:r>
          </w:p>
        </w:tc>
      </w:tr>
      <w:tr w:rsidR="00A5254F" w:rsidRPr="00333DA5" w14:paraId="09ED21C9" w14:textId="77777777" w:rsidTr="00A02BD5">
        <w:tc>
          <w:tcPr>
            <w:tcW w:w="1209" w:type="dxa"/>
            <w:shd w:val="clear" w:color="auto" w:fill="auto"/>
          </w:tcPr>
          <w:p w14:paraId="01481F01" w14:textId="77777777" w:rsidR="00A80C3A" w:rsidRPr="00333DA5" w:rsidRDefault="00A80C3A" w:rsidP="001D0164">
            <w:pPr>
              <w:rPr>
                <w:rFonts w:eastAsia="Calibri"/>
                <w:sz w:val="22"/>
                <w:szCs w:val="22"/>
              </w:rPr>
            </w:pPr>
            <w:r w:rsidRPr="00333DA5">
              <w:rPr>
                <w:rFonts w:eastAsia="Calibri"/>
                <w:sz w:val="22"/>
                <w:szCs w:val="22"/>
              </w:rPr>
              <w:t xml:space="preserve">21 February </w:t>
            </w:r>
          </w:p>
        </w:tc>
        <w:tc>
          <w:tcPr>
            <w:tcW w:w="718" w:type="dxa"/>
            <w:shd w:val="clear" w:color="auto" w:fill="auto"/>
          </w:tcPr>
          <w:p w14:paraId="46DA0BC1" w14:textId="77777777" w:rsidR="00A80C3A" w:rsidRPr="00333DA5" w:rsidRDefault="00A80C3A" w:rsidP="001D0164">
            <w:pPr>
              <w:rPr>
                <w:rFonts w:eastAsia="Calibri"/>
                <w:sz w:val="22"/>
                <w:szCs w:val="22"/>
              </w:rPr>
            </w:pPr>
          </w:p>
        </w:tc>
        <w:tc>
          <w:tcPr>
            <w:tcW w:w="4168" w:type="dxa"/>
            <w:shd w:val="clear" w:color="auto" w:fill="auto"/>
          </w:tcPr>
          <w:p w14:paraId="3601D344" w14:textId="77777777" w:rsidR="00A80C3A" w:rsidRPr="00333DA5" w:rsidRDefault="00A80C3A" w:rsidP="001D0164">
            <w:pPr>
              <w:jc w:val="both"/>
              <w:rPr>
                <w:rFonts w:eastAsia="Calibri"/>
                <w:sz w:val="22"/>
                <w:szCs w:val="22"/>
              </w:rPr>
            </w:pPr>
            <w:r w:rsidRPr="00333DA5">
              <w:rPr>
                <w:rFonts w:eastAsia="Calibri"/>
                <w:sz w:val="22"/>
                <w:szCs w:val="22"/>
              </w:rPr>
              <w:t>Notice generated to TP, confirming that the “petition was issued on 12 January 2020” and that a copy of the order was “posted to the respondent on 21 February 2020”</w:t>
            </w:r>
          </w:p>
        </w:tc>
        <w:tc>
          <w:tcPr>
            <w:tcW w:w="1613" w:type="dxa"/>
            <w:shd w:val="clear" w:color="auto" w:fill="auto"/>
          </w:tcPr>
          <w:p w14:paraId="7F12A912" w14:textId="77777777" w:rsidR="00A80C3A" w:rsidRPr="00333DA5" w:rsidRDefault="00A80C3A" w:rsidP="001D0164">
            <w:pPr>
              <w:rPr>
                <w:rFonts w:eastAsia="Calibri"/>
                <w:sz w:val="22"/>
                <w:szCs w:val="22"/>
              </w:rPr>
            </w:pPr>
          </w:p>
        </w:tc>
      </w:tr>
      <w:tr w:rsidR="00A5254F" w:rsidRPr="00333DA5" w14:paraId="789654BB" w14:textId="77777777" w:rsidTr="00A02BD5">
        <w:tc>
          <w:tcPr>
            <w:tcW w:w="1209" w:type="dxa"/>
            <w:shd w:val="clear" w:color="auto" w:fill="auto"/>
          </w:tcPr>
          <w:p w14:paraId="6935D470" w14:textId="77777777" w:rsidR="00A80C3A" w:rsidRPr="00333DA5" w:rsidRDefault="00A80C3A" w:rsidP="001D0164">
            <w:pPr>
              <w:rPr>
                <w:rFonts w:eastAsia="Calibri"/>
                <w:sz w:val="22"/>
                <w:szCs w:val="22"/>
              </w:rPr>
            </w:pPr>
            <w:r w:rsidRPr="00333DA5">
              <w:rPr>
                <w:rFonts w:eastAsia="Calibri"/>
                <w:sz w:val="22"/>
                <w:szCs w:val="22"/>
              </w:rPr>
              <w:t>21 February</w:t>
            </w:r>
          </w:p>
        </w:tc>
        <w:tc>
          <w:tcPr>
            <w:tcW w:w="718" w:type="dxa"/>
            <w:shd w:val="clear" w:color="auto" w:fill="auto"/>
          </w:tcPr>
          <w:p w14:paraId="5123C446" w14:textId="77777777" w:rsidR="00A80C3A" w:rsidRPr="00333DA5" w:rsidRDefault="00A80C3A" w:rsidP="001D0164">
            <w:pPr>
              <w:rPr>
                <w:rFonts w:eastAsia="Calibri"/>
                <w:sz w:val="22"/>
                <w:szCs w:val="22"/>
              </w:rPr>
            </w:pPr>
          </w:p>
        </w:tc>
        <w:tc>
          <w:tcPr>
            <w:tcW w:w="4168" w:type="dxa"/>
            <w:shd w:val="clear" w:color="auto" w:fill="auto"/>
          </w:tcPr>
          <w:p w14:paraId="642D875F" w14:textId="77777777" w:rsidR="00A80C3A" w:rsidRPr="00333DA5" w:rsidRDefault="00A80C3A" w:rsidP="001D0164">
            <w:pPr>
              <w:jc w:val="both"/>
              <w:rPr>
                <w:rFonts w:eastAsia="Calibri"/>
                <w:sz w:val="22"/>
                <w:szCs w:val="22"/>
              </w:rPr>
            </w:pPr>
            <w:r w:rsidRPr="00333DA5">
              <w:rPr>
                <w:rFonts w:eastAsia="Calibri"/>
                <w:sz w:val="22"/>
                <w:szCs w:val="22"/>
              </w:rPr>
              <w:t>“Proceedings Stayed” ** Confidential address</w:t>
            </w:r>
          </w:p>
        </w:tc>
        <w:tc>
          <w:tcPr>
            <w:tcW w:w="1613" w:type="dxa"/>
            <w:shd w:val="clear" w:color="auto" w:fill="auto"/>
          </w:tcPr>
          <w:p w14:paraId="41AF2E77" w14:textId="77777777" w:rsidR="00A80C3A" w:rsidRPr="00333DA5" w:rsidRDefault="00A80C3A" w:rsidP="001D0164">
            <w:pPr>
              <w:rPr>
                <w:rFonts w:eastAsia="Calibri"/>
                <w:sz w:val="22"/>
                <w:szCs w:val="22"/>
              </w:rPr>
            </w:pPr>
            <w:r w:rsidRPr="00333DA5">
              <w:rPr>
                <w:rFonts w:eastAsia="Calibri"/>
                <w:sz w:val="22"/>
                <w:szCs w:val="22"/>
              </w:rPr>
              <w:t>FamilyMan entry</w:t>
            </w:r>
          </w:p>
        </w:tc>
      </w:tr>
      <w:tr w:rsidR="00A5254F" w:rsidRPr="00333DA5" w14:paraId="0FF7C511" w14:textId="77777777" w:rsidTr="00A02BD5">
        <w:tc>
          <w:tcPr>
            <w:tcW w:w="1209" w:type="dxa"/>
            <w:shd w:val="clear" w:color="auto" w:fill="auto"/>
          </w:tcPr>
          <w:p w14:paraId="3A3D9168" w14:textId="77777777" w:rsidR="00A80C3A" w:rsidRPr="00333DA5" w:rsidRDefault="00A80C3A" w:rsidP="001D0164">
            <w:pPr>
              <w:rPr>
                <w:rFonts w:eastAsia="Calibri"/>
                <w:sz w:val="22"/>
                <w:szCs w:val="22"/>
              </w:rPr>
            </w:pPr>
            <w:r w:rsidRPr="00333DA5">
              <w:rPr>
                <w:rFonts w:eastAsia="Calibri"/>
                <w:sz w:val="22"/>
                <w:szCs w:val="22"/>
              </w:rPr>
              <w:t xml:space="preserve">16 March </w:t>
            </w:r>
          </w:p>
        </w:tc>
        <w:tc>
          <w:tcPr>
            <w:tcW w:w="718" w:type="dxa"/>
            <w:shd w:val="clear" w:color="auto" w:fill="auto"/>
          </w:tcPr>
          <w:p w14:paraId="670005D7" w14:textId="77777777" w:rsidR="00A80C3A" w:rsidRPr="00333DA5" w:rsidRDefault="00A80C3A" w:rsidP="001D0164">
            <w:pPr>
              <w:rPr>
                <w:rFonts w:eastAsia="Calibri"/>
                <w:sz w:val="22"/>
                <w:szCs w:val="22"/>
              </w:rPr>
            </w:pPr>
          </w:p>
        </w:tc>
        <w:tc>
          <w:tcPr>
            <w:tcW w:w="4168" w:type="dxa"/>
            <w:shd w:val="clear" w:color="auto" w:fill="auto"/>
          </w:tcPr>
          <w:p w14:paraId="06ECF8C1" w14:textId="77777777" w:rsidR="00A80C3A" w:rsidRPr="00333DA5" w:rsidRDefault="00A80C3A" w:rsidP="001D0164">
            <w:pPr>
              <w:jc w:val="both"/>
              <w:rPr>
                <w:rFonts w:eastAsia="Calibri"/>
                <w:sz w:val="22"/>
                <w:szCs w:val="22"/>
              </w:rPr>
            </w:pPr>
            <w:r w:rsidRPr="00333DA5">
              <w:rPr>
                <w:rFonts w:eastAsia="Calibri"/>
                <w:sz w:val="22"/>
                <w:szCs w:val="22"/>
              </w:rPr>
              <w:t>Husband signs Acknowledgement of Service and Answer to Petition, contesting the jurisdiction of the English Court on the basis that divorce proceedings between the same parties were underway in another EU state</w:t>
            </w:r>
          </w:p>
        </w:tc>
        <w:tc>
          <w:tcPr>
            <w:tcW w:w="1613" w:type="dxa"/>
            <w:shd w:val="clear" w:color="auto" w:fill="auto"/>
          </w:tcPr>
          <w:p w14:paraId="4C0FA9F4" w14:textId="77777777" w:rsidR="00A80C3A" w:rsidRPr="00333DA5" w:rsidRDefault="00A80C3A" w:rsidP="001D0164">
            <w:pPr>
              <w:rPr>
                <w:rFonts w:eastAsia="Calibri"/>
                <w:sz w:val="22"/>
                <w:szCs w:val="22"/>
              </w:rPr>
            </w:pPr>
            <w:r w:rsidRPr="00333DA5">
              <w:rPr>
                <w:rFonts w:eastAsia="Calibri"/>
                <w:sz w:val="22"/>
                <w:szCs w:val="22"/>
              </w:rPr>
              <w:t>Answer / Acknowledgement of Service</w:t>
            </w:r>
          </w:p>
        </w:tc>
      </w:tr>
    </w:tbl>
    <w:p w14:paraId="10A6F204" w14:textId="1E893C6C" w:rsidR="00423445" w:rsidRPr="00333DA5" w:rsidRDefault="00F316A3" w:rsidP="001D0164">
      <w:pPr>
        <w:pStyle w:val="ParaLevel1"/>
        <w:rPr>
          <w:szCs w:val="24"/>
        </w:rPr>
      </w:pPr>
      <w:r w:rsidRPr="00333DA5">
        <w:rPr>
          <w:szCs w:val="24"/>
        </w:rPr>
        <w:t>T</w:t>
      </w:r>
      <w:r w:rsidR="00423445" w:rsidRPr="00333DA5">
        <w:rPr>
          <w:szCs w:val="24"/>
        </w:rPr>
        <w:t>he Operations Manager at</w:t>
      </w:r>
      <w:r w:rsidR="00C431FB" w:rsidRPr="00333DA5">
        <w:rPr>
          <w:szCs w:val="24"/>
        </w:rPr>
        <w:t xml:space="preserve"> the relevant</w:t>
      </w:r>
      <w:r w:rsidR="00423445" w:rsidRPr="00333DA5">
        <w:rPr>
          <w:szCs w:val="24"/>
        </w:rPr>
        <w:t xml:space="preserve"> CTSC </w:t>
      </w:r>
      <w:r w:rsidRPr="00333DA5">
        <w:rPr>
          <w:szCs w:val="24"/>
        </w:rPr>
        <w:t xml:space="preserve">has </w:t>
      </w:r>
      <w:r w:rsidR="00423445" w:rsidRPr="00333DA5">
        <w:rPr>
          <w:szCs w:val="24"/>
        </w:rPr>
        <w:t>further said</w:t>
      </w:r>
      <w:r w:rsidR="00101325" w:rsidRPr="00333DA5">
        <w:rPr>
          <w:rStyle w:val="FootnoteReference"/>
          <w:szCs w:val="24"/>
        </w:rPr>
        <w:footnoteReference w:id="8"/>
      </w:r>
      <w:r w:rsidR="00423445" w:rsidRPr="00333DA5">
        <w:rPr>
          <w:szCs w:val="24"/>
        </w:rPr>
        <w:t>:</w:t>
      </w:r>
    </w:p>
    <w:p w14:paraId="6B91C91F" w14:textId="1CD17BA1" w:rsidR="00B40C5E" w:rsidRPr="00333DA5" w:rsidRDefault="00423445" w:rsidP="001D0164">
      <w:pPr>
        <w:ind w:left="1701" w:right="1505"/>
        <w:jc w:val="both"/>
      </w:pPr>
      <w:r w:rsidRPr="00333DA5">
        <w:t>“For clarity the case was issued on the 29</w:t>
      </w:r>
      <w:r w:rsidRPr="00333DA5">
        <w:rPr>
          <w:vertAlign w:val="superscript"/>
        </w:rPr>
        <w:t>th</w:t>
      </w:r>
      <w:r w:rsidRPr="00333DA5">
        <w:t xml:space="preserve"> January, then once the case admin realised, they had concerns over the addresses being the same, but the petitioners marked as confidential, they moved the case back into a </w:t>
      </w:r>
      <w:r w:rsidRPr="00333DA5">
        <w:rPr>
          <w:u w:val="single"/>
        </w:rPr>
        <w:t>rejected state</w:t>
      </w:r>
      <w:r w:rsidRPr="00333DA5">
        <w:t>, uploaded an email to [TP] querying the addresses, then into a status awaiting clarification from the Petitioner</w:t>
      </w:r>
      <w:r w:rsidR="00B40C5E" w:rsidRPr="00333DA5">
        <w:t>”</w:t>
      </w:r>
      <w:r w:rsidRPr="00333DA5">
        <w:t>.</w:t>
      </w:r>
    </w:p>
    <w:p w14:paraId="157032DD" w14:textId="4314B9F9" w:rsidR="00831802" w:rsidRPr="00333DA5" w:rsidRDefault="00831802" w:rsidP="001D0164">
      <w:pPr>
        <w:pStyle w:val="ParaLevel1"/>
        <w:numPr>
          <w:ilvl w:val="0"/>
          <w:numId w:val="0"/>
        </w:numPr>
        <w:ind w:left="720"/>
        <w:rPr>
          <w:szCs w:val="24"/>
        </w:rPr>
      </w:pPr>
      <w:r w:rsidRPr="00333DA5">
        <w:rPr>
          <w:szCs w:val="24"/>
        </w:rPr>
        <w:t>In the same e-mail she also explains:</w:t>
      </w:r>
    </w:p>
    <w:p w14:paraId="0D2F569C" w14:textId="3B31DFD5" w:rsidR="00831802" w:rsidRPr="00333DA5" w:rsidRDefault="00831802" w:rsidP="001D0164">
      <w:pPr>
        <w:pStyle w:val="ParaLevel1"/>
        <w:numPr>
          <w:ilvl w:val="0"/>
          <w:numId w:val="0"/>
        </w:numPr>
        <w:ind w:left="1701" w:right="1505"/>
        <w:rPr>
          <w:szCs w:val="24"/>
        </w:rPr>
      </w:pPr>
      <w:r w:rsidRPr="00333DA5">
        <w:rPr>
          <w:szCs w:val="24"/>
        </w:rPr>
        <w:t>“</w:t>
      </w:r>
      <w:r w:rsidR="00297A2E" w:rsidRPr="00333DA5">
        <w:rPr>
          <w:szCs w:val="24"/>
        </w:rPr>
        <w:t xml:space="preserve">At this point [January 2020] we did not have a confidential document holding space on the digital system and therefore </w:t>
      </w:r>
      <w:r w:rsidR="00346EB5" w:rsidRPr="00333DA5">
        <w:rPr>
          <w:szCs w:val="24"/>
        </w:rPr>
        <w:t>would not upload such a document.  This has since been rectified within the system…”</w:t>
      </w:r>
    </w:p>
    <w:p w14:paraId="57011901" w14:textId="73EA8581" w:rsidR="00423445" w:rsidRPr="00333DA5" w:rsidRDefault="00101325" w:rsidP="001D0164">
      <w:pPr>
        <w:pStyle w:val="ParaLevel1"/>
        <w:rPr>
          <w:szCs w:val="24"/>
        </w:rPr>
      </w:pPr>
      <w:r w:rsidRPr="00333DA5">
        <w:rPr>
          <w:szCs w:val="24"/>
        </w:rPr>
        <w:t xml:space="preserve">I </w:t>
      </w:r>
      <w:r w:rsidR="000D6505">
        <w:rPr>
          <w:szCs w:val="24"/>
        </w:rPr>
        <w:t xml:space="preserve">reproduce the salient parts of </w:t>
      </w:r>
      <w:r w:rsidRPr="00333DA5">
        <w:rPr>
          <w:szCs w:val="24"/>
        </w:rPr>
        <w:t xml:space="preserve">this </w:t>
      </w:r>
      <w:r w:rsidR="000D6505">
        <w:rPr>
          <w:szCs w:val="24"/>
        </w:rPr>
        <w:t xml:space="preserve">communication </w:t>
      </w:r>
      <w:r w:rsidRPr="00333DA5">
        <w:rPr>
          <w:szCs w:val="24"/>
        </w:rPr>
        <w:t xml:space="preserve">here because </w:t>
      </w:r>
      <w:r w:rsidR="00423445" w:rsidRPr="00333DA5">
        <w:rPr>
          <w:szCs w:val="24"/>
        </w:rPr>
        <w:t>Mr Birch relies on the use of the word</w:t>
      </w:r>
      <w:r w:rsidRPr="00333DA5">
        <w:rPr>
          <w:szCs w:val="24"/>
        </w:rPr>
        <w:t>s</w:t>
      </w:r>
      <w:r w:rsidR="00423445" w:rsidRPr="00333DA5">
        <w:rPr>
          <w:szCs w:val="24"/>
        </w:rPr>
        <w:t xml:space="preserve"> </w:t>
      </w:r>
      <w:r w:rsidR="00E94A2F" w:rsidRPr="00333DA5">
        <w:rPr>
          <w:szCs w:val="24"/>
        </w:rPr>
        <w:t xml:space="preserve">“rejected state” </w:t>
      </w:r>
      <w:r w:rsidR="00CB4D71" w:rsidRPr="00333DA5">
        <w:rPr>
          <w:szCs w:val="24"/>
        </w:rPr>
        <w:t xml:space="preserve">in the narrative above </w:t>
      </w:r>
      <w:r w:rsidR="00E94A2F" w:rsidRPr="00333DA5">
        <w:rPr>
          <w:szCs w:val="24"/>
        </w:rPr>
        <w:t xml:space="preserve">as </w:t>
      </w:r>
      <w:r w:rsidR="00861082" w:rsidRPr="00333DA5">
        <w:rPr>
          <w:szCs w:val="24"/>
        </w:rPr>
        <w:t xml:space="preserve">signifying </w:t>
      </w:r>
      <w:r w:rsidR="009C012A" w:rsidRPr="00333DA5">
        <w:rPr>
          <w:szCs w:val="24"/>
        </w:rPr>
        <w:t>the CTSC’s repudiation of the petition</w:t>
      </w:r>
      <w:r w:rsidR="00A94678" w:rsidRPr="00333DA5">
        <w:rPr>
          <w:szCs w:val="24"/>
        </w:rPr>
        <w:t xml:space="preserve"> completely</w:t>
      </w:r>
      <w:r w:rsidR="00E94A2F" w:rsidRPr="00333DA5">
        <w:rPr>
          <w:szCs w:val="24"/>
        </w:rPr>
        <w:t>.</w:t>
      </w:r>
      <w:r w:rsidR="00D617F2" w:rsidRPr="00333DA5">
        <w:rPr>
          <w:szCs w:val="24"/>
        </w:rPr>
        <w:t xml:space="preserve"> </w:t>
      </w:r>
      <w:r w:rsidR="005F49AA" w:rsidRPr="00333DA5">
        <w:rPr>
          <w:szCs w:val="24"/>
        </w:rPr>
        <w:t xml:space="preserve">As will be later apparent, that is </w:t>
      </w:r>
      <w:r w:rsidR="00A94678" w:rsidRPr="00333DA5">
        <w:rPr>
          <w:szCs w:val="24"/>
        </w:rPr>
        <w:t>not, in my finding</w:t>
      </w:r>
      <w:r w:rsidR="0043161F" w:rsidRPr="00333DA5">
        <w:rPr>
          <w:szCs w:val="24"/>
        </w:rPr>
        <w:t xml:space="preserve">; </w:t>
      </w:r>
      <w:r w:rsidR="005F49AA" w:rsidRPr="00333DA5">
        <w:rPr>
          <w:szCs w:val="24"/>
        </w:rPr>
        <w:t xml:space="preserve">it appears that </w:t>
      </w:r>
      <w:r w:rsidR="0043161F" w:rsidRPr="00333DA5">
        <w:rPr>
          <w:szCs w:val="24"/>
        </w:rPr>
        <w:t>there was (</w:t>
      </w:r>
      <w:r w:rsidR="0042637E" w:rsidRPr="00333DA5">
        <w:rPr>
          <w:szCs w:val="24"/>
        </w:rPr>
        <w:t xml:space="preserve">contrary to the position </w:t>
      </w:r>
      <w:r w:rsidR="0043161F" w:rsidRPr="00333DA5">
        <w:rPr>
          <w:szCs w:val="24"/>
        </w:rPr>
        <w:t>now) no confidential document holding space on the digital system</w:t>
      </w:r>
      <w:r w:rsidR="00A146DA" w:rsidRPr="00333DA5">
        <w:rPr>
          <w:szCs w:val="24"/>
        </w:rPr>
        <w:t xml:space="preserve">, and therefore nowhere </w:t>
      </w:r>
      <w:r w:rsidR="005B2DBB">
        <w:rPr>
          <w:szCs w:val="24"/>
        </w:rPr>
        <w:t xml:space="preserve">for the administrators at the CTSC </w:t>
      </w:r>
      <w:r w:rsidR="009C012A" w:rsidRPr="00333DA5">
        <w:rPr>
          <w:szCs w:val="24"/>
        </w:rPr>
        <w:t xml:space="preserve">then </w:t>
      </w:r>
      <w:r w:rsidR="00A146DA" w:rsidRPr="00333DA5">
        <w:rPr>
          <w:szCs w:val="24"/>
        </w:rPr>
        <w:t xml:space="preserve">to ‘file’ a petition which </w:t>
      </w:r>
      <w:r w:rsidR="00277B2E" w:rsidRPr="00333DA5">
        <w:rPr>
          <w:szCs w:val="24"/>
        </w:rPr>
        <w:t xml:space="preserve">requested the storage of </w:t>
      </w:r>
      <w:r w:rsidR="00A146DA" w:rsidRPr="00333DA5">
        <w:rPr>
          <w:szCs w:val="24"/>
        </w:rPr>
        <w:t>confidential information</w:t>
      </w:r>
      <w:r w:rsidR="00FB5B7D" w:rsidRPr="00333DA5">
        <w:rPr>
          <w:szCs w:val="24"/>
        </w:rPr>
        <w:t xml:space="preserve">.  </w:t>
      </w:r>
      <w:r w:rsidR="00A146DA" w:rsidRPr="00333DA5">
        <w:rPr>
          <w:szCs w:val="24"/>
        </w:rPr>
        <w:t xml:space="preserve">I do not </w:t>
      </w:r>
      <w:r w:rsidR="005F3096" w:rsidRPr="00333DA5">
        <w:rPr>
          <w:szCs w:val="24"/>
        </w:rPr>
        <w:t xml:space="preserve">find </w:t>
      </w:r>
      <w:r w:rsidR="00A146DA" w:rsidRPr="00333DA5">
        <w:rPr>
          <w:szCs w:val="24"/>
        </w:rPr>
        <w:t xml:space="preserve">that this means that the petition was </w:t>
      </w:r>
      <w:r w:rsidR="000905C2" w:rsidRPr="00333DA5">
        <w:rPr>
          <w:szCs w:val="24"/>
        </w:rPr>
        <w:t>refused</w:t>
      </w:r>
      <w:r w:rsidR="0042637E" w:rsidRPr="00333DA5">
        <w:rPr>
          <w:szCs w:val="24"/>
        </w:rPr>
        <w:t xml:space="preserve">; the </w:t>
      </w:r>
      <w:r w:rsidR="00277B2E" w:rsidRPr="00333DA5">
        <w:rPr>
          <w:szCs w:val="24"/>
        </w:rPr>
        <w:lastRenderedPageBreak/>
        <w:t xml:space="preserve">e-mail is clear that the </w:t>
      </w:r>
      <w:r w:rsidR="0042637E" w:rsidRPr="00333DA5">
        <w:rPr>
          <w:szCs w:val="24"/>
        </w:rPr>
        <w:t xml:space="preserve">CTSC </w:t>
      </w:r>
      <w:r w:rsidR="00277B2E" w:rsidRPr="00333DA5">
        <w:rPr>
          <w:szCs w:val="24"/>
        </w:rPr>
        <w:t xml:space="preserve">had </w:t>
      </w:r>
      <w:r w:rsidR="00D22F7A" w:rsidRPr="00333DA5">
        <w:rPr>
          <w:szCs w:val="24"/>
        </w:rPr>
        <w:t xml:space="preserve">moved the petition “into a status awaiting clarification from the Petitioner”, taking </w:t>
      </w:r>
      <w:r w:rsidR="0042637E" w:rsidRPr="00333DA5">
        <w:rPr>
          <w:szCs w:val="24"/>
        </w:rPr>
        <w:t xml:space="preserve">no subsequent step (such as returning the fee) to </w:t>
      </w:r>
      <w:r w:rsidR="00857256" w:rsidRPr="00333DA5">
        <w:rPr>
          <w:szCs w:val="24"/>
        </w:rPr>
        <w:t>indicate</w:t>
      </w:r>
      <w:r w:rsidR="0042637E" w:rsidRPr="00333DA5">
        <w:rPr>
          <w:szCs w:val="24"/>
        </w:rPr>
        <w:t xml:space="preserve"> </w:t>
      </w:r>
      <w:r w:rsidR="00857256" w:rsidRPr="00333DA5">
        <w:rPr>
          <w:szCs w:val="24"/>
        </w:rPr>
        <w:t xml:space="preserve">that this was </w:t>
      </w:r>
      <w:r w:rsidR="0042637E" w:rsidRPr="00333DA5">
        <w:rPr>
          <w:szCs w:val="24"/>
        </w:rPr>
        <w:t xml:space="preserve">indeed </w:t>
      </w:r>
      <w:r w:rsidR="00857256" w:rsidRPr="00333DA5">
        <w:rPr>
          <w:szCs w:val="24"/>
        </w:rPr>
        <w:t>the CTSC’s intention</w:t>
      </w:r>
      <w:r w:rsidR="00A146DA" w:rsidRPr="00333DA5">
        <w:rPr>
          <w:szCs w:val="24"/>
        </w:rPr>
        <w:t xml:space="preserve">.  </w:t>
      </w:r>
      <w:r w:rsidR="000905C2" w:rsidRPr="00333DA5">
        <w:rPr>
          <w:szCs w:val="24"/>
        </w:rPr>
        <w:t xml:space="preserve">I should add </w:t>
      </w:r>
      <w:r w:rsidR="00C45931">
        <w:rPr>
          <w:szCs w:val="24"/>
        </w:rPr>
        <w:t>i</w:t>
      </w:r>
      <w:r w:rsidR="00D617F2" w:rsidRPr="00333DA5">
        <w:rPr>
          <w:szCs w:val="24"/>
        </w:rPr>
        <w:t xml:space="preserve">n preparing the </w:t>
      </w:r>
      <w:r w:rsidR="005F3096" w:rsidRPr="00333DA5">
        <w:rPr>
          <w:szCs w:val="24"/>
        </w:rPr>
        <w:t>c</w:t>
      </w:r>
      <w:r w:rsidR="00D617F2" w:rsidRPr="00333DA5">
        <w:rPr>
          <w:szCs w:val="24"/>
        </w:rPr>
        <w:t xml:space="preserve">hronology </w:t>
      </w:r>
      <w:r w:rsidR="00320CE1" w:rsidRPr="00333DA5">
        <w:rPr>
          <w:szCs w:val="24"/>
        </w:rPr>
        <w:t>above</w:t>
      </w:r>
      <w:r w:rsidR="00D617F2" w:rsidRPr="00333DA5">
        <w:rPr>
          <w:szCs w:val="24"/>
        </w:rPr>
        <w:t xml:space="preserve">, I have </w:t>
      </w:r>
      <w:r w:rsidR="005F3096" w:rsidRPr="00333DA5">
        <w:rPr>
          <w:szCs w:val="24"/>
        </w:rPr>
        <w:t xml:space="preserve">drawn on </w:t>
      </w:r>
      <w:r w:rsidR="00D617F2" w:rsidRPr="00333DA5">
        <w:rPr>
          <w:szCs w:val="24"/>
        </w:rPr>
        <w:t xml:space="preserve">the original </w:t>
      </w:r>
      <w:r w:rsidR="00D63FFA" w:rsidRPr="00333DA5">
        <w:rPr>
          <w:szCs w:val="24"/>
        </w:rPr>
        <w:t xml:space="preserve">and contemporaneous </w:t>
      </w:r>
      <w:r w:rsidR="00D617F2" w:rsidRPr="00333DA5">
        <w:rPr>
          <w:szCs w:val="24"/>
        </w:rPr>
        <w:t>documents</w:t>
      </w:r>
      <w:r w:rsidR="00662F3B" w:rsidRPr="00333DA5">
        <w:rPr>
          <w:szCs w:val="24"/>
        </w:rPr>
        <w:t xml:space="preserve"> </w:t>
      </w:r>
      <w:r w:rsidR="00D617F2" w:rsidRPr="00333DA5">
        <w:rPr>
          <w:szCs w:val="24"/>
        </w:rPr>
        <w:t>materials, and not on the comments</w:t>
      </w:r>
      <w:r w:rsidR="00662F3B" w:rsidRPr="00333DA5">
        <w:rPr>
          <w:szCs w:val="24"/>
        </w:rPr>
        <w:t xml:space="preserve"> or </w:t>
      </w:r>
      <w:r w:rsidR="00D63FFA" w:rsidRPr="00333DA5">
        <w:rPr>
          <w:szCs w:val="24"/>
        </w:rPr>
        <w:t>interpretations</w:t>
      </w:r>
      <w:r w:rsidR="00D617F2" w:rsidRPr="00333DA5">
        <w:rPr>
          <w:szCs w:val="24"/>
        </w:rPr>
        <w:t xml:space="preserve"> </w:t>
      </w:r>
      <w:r w:rsidR="0057433B" w:rsidRPr="00333DA5">
        <w:rPr>
          <w:szCs w:val="24"/>
        </w:rPr>
        <w:t xml:space="preserve">offered by </w:t>
      </w:r>
      <w:r w:rsidR="00D617F2" w:rsidRPr="00333DA5">
        <w:rPr>
          <w:szCs w:val="24"/>
        </w:rPr>
        <w:t xml:space="preserve">the </w:t>
      </w:r>
      <w:r w:rsidR="003D7B63" w:rsidRPr="00333DA5">
        <w:rPr>
          <w:szCs w:val="24"/>
        </w:rPr>
        <w:t xml:space="preserve">HMCTS employees </w:t>
      </w:r>
      <w:r w:rsidR="0057433B" w:rsidRPr="00333DA5">
        <w:rPr>
          <w:szCs w:val="24"/>
        </w:rPr>
        <w:t xml:space="preserve">which are </w:t>
      </w:r>
      <w:r w:rsidR="00D63FFA" w:rsidRPr="00333DA5">
        <w:rPr>
          <w:szCs w:val="24"/>
        </w:rPr>
        <w:t xml:space="preserve">contained in </w:t>
      </w:r>
      <w:r w:rsidR="005F3096" w:rsidRPr="00333DA5">
        <w:rPr>
          <w:szCs w:val="24"/>
        </w:rPr>
        <w:t>subsequent e-mails to counsel and to NP</w:t>
      </w:r>
      <w:r w:rsidR="00F669ED" w:rsidRPr="00333DA5">
        <w:rPr>
          <w:szCs w:val="24"/>
        </w:rPr>
        <w:t xml:space="preserve">.  </w:t>
      </w:r>
    </w:p>
    <w:p w14:paraId="41B07C27" w14:textId="38AE1DCF" w:rsidR="00B37730" w:rsidRPr="00333DA5" w:rsidRDefault="00D63FFA" w:rsidP="001D0164">
      <w:pPr>
        <w:pStyle w:val="ParaLevel1"/>
        <w:numPr>
          <w:ilvl w:val="0"/>
          <w:numId w:val="0"/>
        </w:numPr>
        <w:rPr>
          <w:szCs w:val="24"/>
        </w:rPr>
      </w:pPr>
      <w:r w:rsidRPr="00333DA5">
        <w:rPr>
          <w:i/>
          <w:iCs/>
          <w:szCs w:val="24"/>
        </w:rPr>
        <w:t>Legal considerations</w:t>
      </w:r>
    </w:p>
    <w:p w14:paraId="2DD406AF" w14:textId="773BFB66" w:rsidR="00D63FFA" w:rsidRPr="00333DA5" w:rsidRDefault="00D63FFA" w:rsidP="005D26FC">
      <w:pPr>
        <w:pStyle w:val="ParaLevel1"/>
      </w:pPr>
      <w:r w:rsidRPr="00333DA5">
        <w:t xml:space="preserve">There are two </w:t>
      </w:r>
      <w:r w:rsidR="00A85856" w:rsidRPr="00333DA5">
        <w:t xml:space="preserve">specific </w:t>
      </w:r>
      <w:r w:rsidRPr="00333DA5">
        <w:t>legal issues in play</w:t>
      </w:r>
      <w:r w:rsidR="000D4374" w:rsidRPr="00333DA5">
        <w:t xml:space="preserve">, the first procedural, </w:t>
      </w:r>
      <w:r w:rsidR="00A85856" w:rsidRPr="00333DA5">
        <w:t xml:space="preserve">the second </w:t>
      </w:r>
      <w:r w:rsidR="000D4374" w:rsidRPr="00333DA5">
        <w:t>substantive</w:t>
      </w:r>
      <w:r w:rsidRPr="00333DA5">
        <w:t>:</w:t>
      </w:r>
    </w:p>
    <w:p w14:paraId="6F724409" w14:textId="07E783BA" w:rsidR="00D63FFA" w:rsidRPr="00333DA5" w:rsidRDefault="006E2F95" w:rsidP="001D0164">
      <w:pPr>
        <w:pStyle w:val="ParaLevel2"/>
        <w:rPr>
          <w:szCs w:val="24"/>
        </w:rPr>
      </w:pPr>
      <w:r w:rsidRPr="00333DA5">
        <w:rPr>
          <w:szCs w:val="24"/>
        </w:rPr>
        <w:t xml:space="preserve">How should the court exercise its jurisdiction under </w:t>
      </w:r>
      <w:r w:rsidRPr="00333DA5">
        <w:rPr>
          <w:i/>
          <w:iCs/>
          <w:szCs w:val="24"/>
        </w:rPr>
        <w:t>section 31</w:t>
      </w:r>
      <w:proofErr w:type="gramStart"/>
      <w:r w:rsidRPr="00333DA5">
        <w:rPr>
          <w:i/>
          <w:iCs/>
          <w:szCs w:val="24"/>
        </w:rPr>
        <w:t>F(</w:t>
      </w:r>
      <w:proofErr w:type="gramEnd"/>
      <w:r w:rsidRPr="00333DA5">
        <w:rPr>
          <w:i/>
          <w:iCs/>
          <w:szCs w:val="24"/>
        </w:rPr>
        <w:t>6) MFPA 1984</w:t>
      </w:r>
      <w:r w:rsidR="00D63FFA" w:rsidRPr="00333DA5">
        <w:rPr>
          <w:szCs w:val="24"/>
        </w:rPr>
        <w:t>?</w:t>
      </w:r>
    </w:p>
    <w:p w14:paraId="47814639" w14:textId="77777777" w:rsidR="00A76582" w:rsidRPr="00333DA5" w:rsidRDefault="00AB1A52" w:rsidP="001D0164">
      <w:pPr>
        <w:pStyle w:val="ParaLevel2"/>
        <w:rPr>
          <w:i/>
          <w:iCs/>
          <w:szCs w:val="24"/>
        </w:rPr>
      </w:pPr>
      <w:r w:rsidRPr="00333DA5">
        <w:rPr>
          <w:szCs w:val="24"/>
        </w:rPr>
        <w:t>Is there anything in the caselaw relevant to w</w:t>
      </w:r>
      <w:r w:rsidR="005E06F8" w:rsidRPr="00333DA5">
        <w:rPr>
          <w:szCs w:val="24"/>
        </w:rPr>
        <w:t xml:space="preserve">hen a court </w:t>
      </w:r>
      <w:r w:rsidRPr="00333DA5">
        <w:rPr>
          <w:szCs w:val="24"/>
        </w:rPr>
        <w:t xml:space="preserve">is </w:t>
      </w:r>
      <w:r w:rsidR="005E06F8" w:rsidRPr="00333DA5">
        <w:rPr>
          <w:szCs w:val="24"/>
        </w:rPr>
        <w:t>first seised</w:t>
      </w:r>
      <w:r w:rsidR="000D4374" w:rsidRPr="00333DA5">
        <w:rPr>
          <w:szCs w:val="24"/>
        </w:rPr>
        <w:t xml:space="preserve"> </w:t>
      </w:r>
      <w:r w:rsidRPr="00333DA5">
        <w:rPr>
          <w:szCs w:val="24"/>
        </w:rPr>
        <w:t xml:space="preserve">which </w:t>
      </w:r>
      <w:r w:rsidR="00A76582" w:rsidRPr="00333DA5">
        <w:rPr>
          <w:szCs w:val="24"/>
        </w:rPr>
        <w:t>is particularly engaged on the facts as they now appear?</w:t>
      </w:r>
    </w:p>
    <w:p w14:paraId="22815368" w14:textId="58D04CB4" w:rsidR="00FD22B8" w:rsidRPr="00333DA5" w:rsidRDefault="00A76582" w:rsidP="001D0164">
      <w:pPr>
        <w:pStyle w:val="ParaLevel2"/>
        <w:numPr>
          <w:ilvl w:val="0"/>
          <w:numId w:val="0"/>
        </w:numPr>
        <w:ind w:left="709"/>
        <w:rPr>
          <w:i/>
          <w:iCs/>
          <w:szCs w:val="24"/>
        </w:rPr>
      </w:pPr>
      <w:r w:rsidRPr="00333DA5">
        <w:rPr>
          <w:i/>
          <w:iCs/>
          <w:szCs w:val="24"/>
        </w:rPr>
        <w:t>How should the court exercise its jurisdiction under section 31</w:t>
      </w:r>
      <w:proofErr w:type="gramStart"/>
      <w:r w:rsidRPr="00333DA5">
        <w:rPr>
          <w:i/>
          <w:iCs/>
          <w:szCs w:val="24"/>
        </w:rPr>
        <w:t>F(</w:t>
      </w:r>
      <w:proofErr w:type="gramEnd"/>
      <w:r w:rsidRPr="00333DA5">
        <w:rPr>
          <w:i/>
          <w:iCs/>
          <w:szCs w:val="24"/>
        </w:rPr>
        <w:t>6) MFPA 1984</w:t>
      </w:r>
      <w:r w:rsidR="00142587" w:rsidRPr="00333DA5">
        <w:rPr>
          <w:i/>
          <w:iCs/>
          <w:szCs w:val="24"/>
        </w:rPr>
        <w:t>?</w:t>
      </w:r>
    </w:p>
    <w:p w14:paraId="4DF74AB9" w14:textId="5DD07EA8" w:rsidR="007F06F4" w:rsidRPr="00333DA5" w:rsidRDefault="00161D54" w:rsidP="001D0164">
      <w:pPr>
        <w:pStyle w:val="ParaLevel1"/>
        <w:numPr>
          <w:ilvl w:val="0"/>
          <w:numId w:val="11"/>
        </w:numPr>
        <w:rPr>
          <w:szCs w:val="24"/>
        </w:rPr>
      </w:pPr>
      <w:r w:rsidRPr="00333DA5">
        <w:rPr>
          <w:szCs w:val="24"/>
        </w:rPr>
        <w:t xml:space="preserve">NP </w:t>
      </w:r>
      <w:r w:rsidR="00B5480E" w:rsidRPr="00333DA5">
        <w:rPr>
          <w:szCs w:val="24"/>
        </w:rPr>
        <w:t xml:space="preserve">has </w:t>
      </w:r>
      <w:r w:rsidR="007F06F4" w:rsidRPr="00333DA5">
        <w:rPr>
          <w:szCs w:val="24"/>
        </w:rPr>
        <w:t xml:space="preserve">brought </w:t>
      </w:r>
      <w:r w:rsidRPr="00333DA5">
        <w:rPr>
          <w:szCs w:val="24"/>
        </w:rPr>
        <w:t xml:space="preserve">this application </w:t>
      </w:r>
      <w:r w:rsidR="007F06F4" w:rsidRPr="00333DA5">
        <w:rPr>
          <w:szCs w:val="24"/>
        </w:rPr>
        <w:t xml:space="preserve">under </w:t>
      </w:r>
      <w:r w:rsidR="007F06F4" w:rsidRPr="00333DA5">
        <w:rPr>
          <w:i/>
          <w:iCs/>
          <w:szCs w:val="24"/>
        </w:rPr>
        <w:t>section 31F</w:t>
      </w:r>
      <w:r w:rsidR="007F06F4" w:rsidRPr="00333DA5">
        <w:rPr>
          <w:szCs w:val="24"/>
        </w:rPr>
        <w:t xml:space="preserve"> of the </w:t>
      </w:r>
      <w:r w:rsidR="007F06F4" w:rsidRPr="00333DA5">
        <w:rPr>
          <w:i/>
          <w:iCs/>
          <w:szCs w:val="24"/>
        </w:rPr>
        <w:t>MFPA 1984</w:t>
      </w:r>
      <w:r w:rsidR="007F06F4" w:rsidRPr="00333DA5">
        <w:rPr>
          <w:szCs w:val="24"/>
        </w:rPr>
        <w:t xml:space="preserve">. </w:t>
      </w:r>
      <w:r w:rsidR="007F06F4" w:rsidRPr="00333DA5">
        <w:rPr>
          <w:i/>
          <w:iCs/>
          <w:szCs w:val="24"/>
        </w:rPr>
        <w:t xml:space="preserve">Section 31F </w:t>
      </w:r>
      <w:r w:rsidR="007F06F4" w:rsidRPr="00333DA5">
        <w:rPr>
          <w:szCs w:val="24"/>
        </w:rPr>
        <w:t xml:space="preserve">falls within </w:t>
      </w:r>
      <w:r w:rsidR="007F06F4" w:rsidRPr="00333DA5">
        <w:rPr>
          <w:i/>
          <w:iCs/>
          <w:szCs w:val="24"/>
        </w:rPr>
        <w:t>Part 4A</w:t>
      </w:r>
      <w:r w:rsidR="007F06F4" w:rsidRPr="00333DA5">
        <w:rPr>
          <w:szCs w:val="24"/>
        </w:rPr>
        <w:t xml:space="preserve"> of the </w:t>
      </w:r>
      <w:r w:rsidR="007F06F4" w:rsidRPr="00333DA5">
        <w:rPr>
          <w:i/>
          <w:iCs/>
          <w:szCs w:val="24"/>
        </w:rPr>
        <w:t>MFPA 1984</w:t>
      </w:r>
      <w:r w:rsidRPr="00333DA5">
        <w:rPr>
          <w:szCs w:val="24"/>
        </w:rPr>
        <w:t xml:space="preserve">; this is </w:t>
      </w:r>
      <w:r w:rsidR="007F06F4" w:rsidRPr="00333DA5">
        <w:rPr>
          <w:szCs w:val="24"/>
        </w:rPr>
        <w:t xml:space="preserve">the part of that legislation which created the Family Court.  </w:t>
      </w:r>
      <w:r w:rsidR="007F06F4" w:rsidRPr="00333DA5">
        <w:rPr>
          <w:i/>
          <w:iCs/>
          <w:szCs w:val="24"/>
        </w:rPr>
        <w:t>Section 31F</w:t>
      </w:r>
      <w:r w:rsidR="007F06F4" w:rsidRPr="00333DA5">
        <w:rPr>
          <w:szCs w:val="24"/>
        </w:rPr>
        <w:t xml:space="preserve"> deals with ‘Proceedings and Decisions’.  </w:t>
      </w:r>
      <w:r w:rsidR="007F06F4" w:rsidRPr="00333DA5">
        <w:rPr>
          <w:i/>
          <w:iCs/>
          <w:szCs w:val="24"/>
        </w:rPr>
        <w:t>Section 31F(6)</w:t>
      </w:r>
      <w:r w:rsidR="007F06F4" w:rsidRPr="00333DA5">
        <w:rPr>
          <w:szCs w:val="24"/>
        </w:rPr>
        <w:t xml:space="preserve"> specifically provides as follows:</w:t>
      </w:r>
    </w:p>
    <w:p w14:paraId="22FA7E44" w14:textId="77777777" w:rsidR="007F06F4" w:rsidRPr="00333DA5" w:rsidRDefault="007F06F4" w:rsidP="001D0164">
      <w:pPr>
        <w:pStyle w:val="ParaLevel1"/>
        <w:numPr>
          <w:ilvl w:val="0"/>
          <w:numId w:val="0"/>
        </w:numPr>
        <w:ind w:left="1701" w:right="1505"/>
        <w:rPr>
          <w:szCs w:val="24"/>
          <w:lang w:eastAsia="en-GB"/>
        </w:rPr>
      </w:pPr>
      <w:r w:rsidRPr="00333DA5">
        <w:rPr>
          <w:szCs w:val="24"/>
        </w:rPr>
        <w:t>“The family court has power to vary, suspend, rescind or revive any order made by it, including—</w:t>
      </w:r>
    </w:p>
    <w:p w14:paraId="7ECAAF1F" w14:textId="77777777" w:rsidR="007F06F4" w:rsidRPr="00333DA5" w:rsidRDefault="007F06F4" w:rsidP="001D0164">
      <w:pPr>
        <w:pStyle w:val="ParaLevel1"/>
        <w:numPr>
          <w:ilvl w:val="0"/>
          <w:numId w:val="0"/>
        </w:numPr>
        <w:ind w:left="1701" w:right="1505"/>
        <w:rPr>
          <w:szCs w:val="24"/>
        </w:rPr>
      </w:pPr>
      <w:r w:rsidRPr="00333DA5">
        <w:rPr>
          <w:szCs w:val="24"/>
        </w:rPr>
        <w:t>(a)     power to rescind an order and re-list the application on which it was made,</w:t>
      </w:r>
    </w:p>
    <w:p w14:paraId="40AD2FD9" w14:textId="77777777" w:rsidR="007F06F4" w:rsidRPr="00333DA5" w:rsidRDefault="007F06F4" w:rsidP="001D0164">
      <w:pPr>
        <w:pStyle w:val="ParaLevel1"/>
        <w:numPr>
          <w:ilvl w:val="0"/>
          <w:numId w:val="0"/>
        </w:numPr>
        <w:ind w:left="1701" w:right="1505"/>
        <w:rPr>
          <w:szCs w:val="24"/>
        </w:rPr>
      </w:pPr>
      <w:r w:rsidRPr="00333DA5">
        <w:rPr>
          <w:szCs w:val="24"/>
        </w:rPr>
        <w:t>(b)     power to replace an order which for any reason appears to be invalid by another which the court has power to make, and</w:t>
      </w:r>
    </w:p>
    <w:p w14:paraId="4F116DC6" w14:textId="77777777" w:rsidR="007F06F4" w:rsidRPr="00333DA5" w:rsidRDefault="007F06F4" w:rsidP="001D0164">
      <w:pPr>
        <w:pStyle w:val="ParaLevel1"/>
        <w:numPr>
          <w:ilvl w:val="0"/>
          <w:numId w:val="0"/>
        </w:numPr>
        <w:ind w:left="1701" w:right="1505"/>
        <w:rPr>
          <w:szCs w:val="24"/>
        </w:rPr>
      </w:pPr>
      <w:r w:rsidRPr="00333DA5">
        <w:rPr>
          <w:szCs w:val="24"/>
        </w:rPr>
        <w:t>(c)     power to vary an order with effect from when it was originally made.”</w:t>
      </w:r>
    </w:p>
    <w:p w14:paraId="5F511F74" w14:textId="3BBD1798" w:rsidR="00214AC1" w:rsidRPr="00333DA5" w:rsidRDefault="00312693" w:rsidP="001D0164">
      <w:pPr>
        <w:pStyle w:val="ParaLevel1"/>
        <w:rPr>
          <w:szCs w:val="24"/>
        </w:rPr>
      </w:pPr>
      <w:r w:rsidRPr="00333DA5">
        <w:rPr>
          <w:szCs w:val="24"/>
        </w:rPr>
        <w:t>I</w:t>
      </w:r>
      <w:r w:rsidR="00C83787" w:rsidRPr="00333DA5">
        <w:rPr>
          <w:szCs w:val="24"/>
        </w:rPr>
        <w:t>f not explicit, i</w:t>
      </w:r>
      <w:r w:rsidRPr="00333DA5">
        <w:rPr>
          <w:szCs w:val="24"/>
        </w:rPr>
        <w:t xml:space="preserve">t will </w:t>
      </w:r>
      <w:r w:rsidR="00C83787" w:rsidRPr="00333DA5">
        <w:rPr>
          <w:szCs w:val="24"/>
        </w:rPr>
        <w:t xml:space="preserve">nonetheless </w:t>
      </w:r>
      <w:r w:rsidRPr="00333DA5">
        <w:rPr>
          <w:szCs w:val="24"/>
        </w:rPr>
        <w:t>have been clear from the context of my earlier order (see §</w:t>
      </w:r>
      <w:r w:rsidR="00F3228A" w:rsidRPr="00333DA5">
        <w:rPr>
          <w:szCs w:val="24"/>
        </w:rPr>
        <w:t xml:space="preserve">5 and 6 of the </w:t>
      </w:r>
      <w:r w:rsidR="00F3228A" w:rsidRPr="00333DA5">
        <w:rPr>
          <w:i/>
          <w:iCs/>
          <w:szCs w:val="24"/>
        </w:rPr>
        <w:t xml:space="preserve">2021 Divorce </w:t>
      </w:r>
      <w:r w:rsidR="005E2EA7" w:rsidRPr="00333DA5">
        <w:rPr>
          <w:i/>
          <w:iCs/>
          <w:szCs w:val="24"/>
        </w:rPr>
        <w:t>j</w:t>
      </w:r>
      <w:r w:rsidR="00F3228A" w:rsidRPr="00333DA5">
        <w:rPr>
          <w:i/>
          <w:iCs/>
          <w:szCs w:val="24"/>
        </w:rPr>
        <w:t>udgment</w:t>
      </w:r>
      <w:r w:rsidR="005E2EA7" w:rsidRPr="00333DA5">
        <w:rPr>
          <w:szCs w:val="24"/>
        </w:rPr>
        <w:t xml:space="preserve">) </w:t>
      </w:r>
      <w:r w:rsidR="00F3228A" w:rsidRPr="00333DA5">
        <w:rPr>
          <w:szCs w:val="24"/>
        </w:rPr>
        <w:t xml:space="preserve">that in considering whether to lift the stay of the petition I was exercising the jurisdiction of the Family Court </w:t>
      </w:r>
      <w:r w:rsidR="00FB76EC" w:rsidRPr="00333DA5">
        <w:rPr>
          <w:szCs w:val="24"/>
        </w:rPr>
        <w:t>(which had specifically referred the issue to me for consideration)</w:t>
      </w:r>
      <w:r w:rsidR="006415DC" w:rsidRPr="00333DA5">
        <w:rPr>
          <w:szCs w:val="24"/>
        </w:rPr>
        <w:t>, as I am again now</w:t>
      </w:r>
      <w:r w:rsidR="00FB76EC" w:rsidRPr="00333DA5">
        <w:rPr>
          <w:szCs w:val="24"/>
        </w:rPr>
        <w:t xml:space="preserve">. </w:t>
      </w:r>
    </w:p>
    <w:p w14:paraId="13536ACB" w14:textId="55FAF72D" w:rsidR="00152031" w:rsidRPr="00333DA5" w:rsidRDefault="00214AC1" w:rsidP="001D0164">
      <w:pPr>
        <w:pStyle w:val="ParaLevel1"/>
        <w:rPr>
          <w:szCs w:val="24"/>
        </w:rPr>
      </w:pPr>
      <w:r w:rsidRPr="00333DA5">
        <w:rPr>
          <w:szCs w:val="24"/>
        </w:rPr>
        <w:t xml:space="preserve">I </w:t>
      </w:r>
      <w:r w:rsidR="00EA6AE7" w:rsidRPr="00333DA5">
        <w:rPr>
          <w:szCs w:val="24"/>
        </w:rPr>
        <w:t xml:space="preserve">recently </w:t>
      </w:r>
      <w:r w:rsidRPr="00333DA5">
        <w:rPr>
          <w:szCs w:val="24"/>
        </w:rPr>
        <w:t xml:space="preserve">had cause to consider how the court </w:t>
      </w:r>
      <w:r w:rsidR="005E2EA7" w:rsidRPr="00333DA5">
        <w:rPr>
          <w:szCs w:val="24"/>
        </w:rPr>
        <w:t>could/</w:t>
      </w:r>
      <w:r w:rsidRPr="00333DA5">
        <w:rPr>
          <w:szCs w:val="24"/>
        </w:rPr>
        <w:t xml:space="preserve">should exercise the jurisdiction under </w:t>
      </w:r>
      <w:r w:rsidRPr="00333DA5">
        <w:rPr>
          <w:i/>
          <w:iCs/>
          <w:szCs w:val="24"/>
        </w:rPr>
        <w:t>section 31</w:t>
      </w:r>
      <w:proofErr w:type="gramStart"/>
      <w:r w:rsidRPr="00333DA5">
        <w:rPr>
          <w:i/>
          <w:iCs/>
          <w:szCs w:val="24"/>
        </w:rPr>
        <w:t>F(</w:t>
      </w:r>
      <w:proofErr w:type="gramEnd"/>
      <w:r w:rsidRPr="00333DA5">
        <w:rPr>
          <w:i/>
          <w:iCs/>
          <w:szCs w:val="24"/>
        </w:rPr>
        <w:t xml:space="preserve">6) MFPA 1984 </w:t>
      </w:r>
      <w:r w:rsidRPr="00333DA5">
        <w:rPr>
          <w:szCs w:val="24"/>
        </w:rPr>
        <w:t xml:space="preserve">in </w:t>
      </w:r>
      <w:r w:rsidR="007F06F4" w:rsidRPr="00333DA5">
        <w:rPr>
          <w:szCs w:val="24"/>
        </w:rPr>
        <w:t xml:space="preserve">the case of </w:t>
      </w:r>
      <w:r w:rsidR="007F06F4" w:rsidRPr="00333DA5">
        <w:rPr>
          <w:i/>
          <w:iCs/>
          <w:szCs w:val="24"/>
        </w:rPr>
        <w:t>Re A and B</w:t>
      </w:r>
      <w:r w:rsidR="00F95143" w:rsidRPr="00333DA5">
        <w:rPr>
          <w:szCs w:val="24"/>
        </w:rPr>
        <w:t xml:space="preserve"> [2021] EWFC </w:t>
      </w:r>
      <w:r w:rsidR="00B84051" w:rsidRPr="00333DA5">
        <w:rPr>
          <w:szCs w:val="24"/>
        </w:rPr>
        <w:t>76.</w:t>
      </w:r>
      <w:r w:rsidR="00881923" w:rsidRPr="00333DA5">
        <w:rPr>
          <w:szCs w:val="24"/>
        </w:rPr>
        <w:t xml:space="preserve">  I set out at §</w:t>
      </w:r>
      <w:r w:rsidR="001A127F" w:rsidRPr="00333DA5">
        <w:rPr>
          <w:szCs w:val="24"/>
        </w:rPr>
        <w:t>25</w:t>
      </w:r>
      <w:r w:rsidR="00881923" w:rsidRPr="00333DA5">
        <w:rPr>
          <w:szCs w:val="24"/>
        </w:rPr>
        <w:t xml:space="preserve"> to </w:t>
      </w:r>
      <w:r w:rsidR="001A127F" w:rsidRPr="00333DA5">
        <w:rPr>
          <w:szCs w:val="24"/>
        </w:rPr>
        <w:t>§39</w:t>
      </w:r>
      <w:r w:rsidR="00881923" w:rsidRPr="00333DA5">
        <w:rPr>
          <w:szCs w:val="24"/>
        </w:rPr>
        <w:t xml:space="preserve"> of that judgment the </w:t>
      </w:r>
      <w:r w:rsidR="00A94C23" w:rsidRPr="00333DA5">
        <w:rPr>
          <w:szCs w:val="24"/>
        </w:rPr>
        <w:t xml:space="preserve">not insignificant </w:t>
      </w:r>
      <w:r w:rsidR="005B13F5" w:rsidRPr="00333DA5">
        <w:rPr>
          <w:szCs w:val="24"/>
        </w:rPr>
        <w:t xml:space="preserve">jurisprudence </w:t>
      </w:r>
      <w:r w:rsidR="00E751DE" w:rsidRPr="00333DA5">
        <w:rPr>
          <w:szCs w:val="24"/>
        </w:rPr>
        <w:t>which ha</w:t>
      </w:r>
      <w:r w:rsidR="006415DC" w:rsidRPr="00333DA5">
        <w:rPr>
          <w:szCs w:val="24"/>
        </w:rPr>
        <w:t>s</w:t>
      </w:r>
      <w:r w:rsidR="00E751DE" w:rsidRPr="00333DA5">
        <w:rPr>
          <w:szCs w:val="24"/>
        </w:rPr>
        <w:t xml:space="preserve"> grown up around the </w:t>
      </w:r>
      <w:r w:rsidR="004D081B" w:rsidRPr="00333DA5">
        <w:rPr>
          <w:szCs w:val="24"/>
        </w:rPr>
        <w:t xml:space="preserve">application </w:t>
      </w:r>
      <w:r w:rsidR="00E751DE" w:rsidRPr="00333DA5">
        <w:rPr>
          <w:szCs w:val="24"/>
        </w:rPr>
        <w:t xml:space="preserve">of </w:t>
      </w:r>
      <w:r w:rsidR="00A94C23" w:rsidRPr="00333DA5">
        <w:rPr>
          <w:i/>
          <w:iCs/>
          <w:szCs w:val="24"/>
        </w:rPr>
        <w:t>section 31F</w:t>
      </w:r>
      <w:r w:rsidR="00A94C23" w:rsidRPr="00333DA5">
        <w:rPr>
          <w:szCs w:val="24"/>
        </w:rPr>
        <w:t xml:space="preserve"> of the </w:t>
      </w:r>
      <w:r w:rsidR="001A127F" w:rsidRPr="00333DA5">
        <w:rPr>
          <w:i/>
          <w:iCs/>
          <w:szCs w:val="24"/>
        </w:rPr>
        <w:t xml:space="preserve">MFPA </w:t>
      </w:r>
      <w:r w:rsidR="00A94C23" w:rsidRPr="00333DA5">
        <w:rPr>
          <w:i/>
          <w:iCs/>
          <w:szCs w:val="24"/>
        </w:rPr>
        <w:t xml:space="preserve">1984 </w:t>
      </w:r>
      <w:r w:rsidR="00A94C23" w:rsidRPr="00333DA5">
        <w:rPr>
          <w:szCs w:val="24"/>
        </w:rPr>
        <w:t xml:space="preserve">and </w:t>
      </w:r>
      <w:r w:rsidR="00EB1ADB" w:rsidRPr="00333DA5">
        <w:rPr>
          <w:szCs w:val="24"/>
        </w:rPr>
        <w:t xml:space="preserve">equivalent </w:t>
      </w:r>
      <w:r w:rsidR="006B1760" w:rsidRPr="00333DA5">
        <w:rPr>
          <w:szCs w:val="24"/>
        </w:rPr>
        <w:t>procedures.</w:t>
      </w:r>
      <w:r w:rsidR="00407975" w:rsidRPr="00333DA5">
        <w:rPr>
          <w:szCs w:val="24"/>
        </w:rPr>
        <w:t xml:space="preserve">  </w:t>
      </w:r>
      <w:r w:rsidR="001A127F" w:rsidRPr="00333DA5">
        <w:rPr>
          <w:szCs w:val="24"/>
        </w:rPr>
        <w:t xml:space="preserve">I concluded </w:t>
      </w:r>
      <w:r w:rsidR="004D081B" w:rsidRPr="00333DA5">
        <w:rPr>
          <w:szCs w:val="24"/>
        </w:rPr>
        <w:t xml:space="preserve">in </w:t>
      </w:r>
      <w:r w:rsidR="004D081B" w:rsidRPr="00333DA5">
        <w:rPr>
          <w:i/>
          <w:iCs/>
          <w:szCs w:val="24"/>
        </w:rPr>
        <w:t xml:space="preserve">Re A &amp; B </w:t>
      </w:r>
      <w:r w:rsidR="001A127F" w:rsidRPr="00333DA5">
        <w:rPr>
          <w:szCs w:val="24"/>
        </w:rPr>
        <w:t>that t</w:t>
      </w:r>
      <w:r w:rsidR="00407975" w:rsidRPr="00333DA5">
        <w:rPr>
          <w:szCs w:val="24"/>
        </w:rPr>
        <w:t xml:space="preserve">he </w:t>
      </w:r>
      <w:r w:rsidR="00EB1ADB" w:rsidRPr="00333DA5">
        <w:rPr>
          <w:szCs w:val="24"/>
        </w:rPr>
        <w:t xml:space="preserve">powers of the court exercisable under </w:t>
      </w:r>
      <w:r w:rsidR="00EB1ADB" w:rsidRPr="00333DA5">
        <w:rPr>
          <w:i/>
          <w:iCs/>
          <w:szCs w:val="24"/>
        </w:rPr>
        <w:t>section 31</w:t>
      </w:r>
      <w:proofErr w:type="gramStart"/>
      <w:r w:rsidR="00EB1ADB" w:rsidRPr="00333DA5">
        <w:rPr>
          <w:i/>
          <w:iCs/>
          <w:szCs w:val="24"/>
        </w:rPr>
        <w:t>F(</w:t>
      </w:r>
      <w:proofErr w:type="gramEnd"/>
      <w:r w:rsidR="00EB1ADB" w:rsidRPr="00333DA5">
        <w:rPr>
          <w:i/>
          <w:iCs/>
          <w:szCs w:val="24"/>
        </w:rPr>
        <w:t>6)</w:t>
      </w:r>
      <w:r w:rsidR="00EB1ADB" w:rsidRPr="00333DA5">
        <w:rPr>
          <w:szCs w:val="24"/>
        </w:rPr>
        <w:t xml:space="preserve"> are</w:t>
      </w:r>
      <w:r w:rsidR="00E1481D" w:rsidRPr="00333DA5">
        <w:rPr>
          <w:szCs w:val="24"/>
        </w:rPr>
        <w:t>, on the face of the statute alone,</w:t>
      </w:r>
      <w:r w:rsidR="00EB1ADB" w:rsidRPr="00333DA5">
        <w:rPr>
          <w:szCs w:val="24"/>
        </w:rPr>
        <w:t xml:space="preserve"> </w:t>
      </w:r>
      <w:r w:rsidR="00407975" w:rsidRPr="00333DA5">
        <w:rPr>
          <w:szCs w:val="24"/>
        </w:rPr>
        <w:t xml:space="preserve">reasonably </w:t>
      </w:r>
      <w:r w:rsidR="00E1481D" w:rsidRPr="00333DA5">
        <w:rPr>
          <w:szCs w:val="24"/>
        </w:rPr>
        <w:t xml:space="preserve">extensive, </w:t>
      </w:r>
      <w:r w:rsidR="001A127F" w:rsidRPr="00333DA5">
        <w:rPr>
          <w:szCs w:val="24"/>
        </w:rPr>
        <w:t xml:space="preserve">but </w:t>
      </w:r>
      <w:r w:rsidR="00E1481D" w:rsidRPr="00333DA5">
        <w:rPr>
          <w:szCs w:val="24"/>
        </w:rPr>
        <w:t xml:space="preserve">that </w:t>
      </w:r>
      <w:r w:rsidR="004D081B" w:rsidRPr="00333DA5">
        <w:rPr>
          <w:szCs w:val="24"/>
        </w:rPr>
        <w:t xml:space="preserve">the jurisdiction has been subsequently </w:t>
      </w:r>
      <w:r w:rsidR="00AF7AC4" w:rsidRPr="00333DA5">
        <w:rPr>
          <w:szCs w:val="24"/>
        </w:rPr>
        <w:t xml:space="preserve">circumscribed </w:t>
      </w:r>
      <w:r w:rsidR="004329FC" w:rsidRPr="00333DA5">
        <w:rPr>
          <w:szCs w:val="24"/>
        </w:rPr>
        <w:t xml:space="preserve">by </w:t>
      </w:r>
      <w:r w:rsidR="00E1481D" w:rsidRPr="00333DA5">
        <w:rPr>
          <w:szCs w:val="24"/>
        </w:rPr>
        <w:t xml:space="preserve">caselaw.  </w:t>
      </w:r>
      <w:r w:rsidR="00152031" w:rsidRPr="00333DA5">
        <w:rPr>
          <w:szCs w:val="24"/>
        </w:rPr>
        <w:t xml:space="preserve">I </w:t>
      </w:r>
      <w:r w:rsidR="00E1481D" w:rsidRPr="00333DA5">
        <w:rPr>
          <w:szCs w:val="24"/>
        </w:rPr>
        <w:t xml:space="preserve">summarised the ways in which the power had been </w:t>
      </w:r>
      <w:r w:rsidR="004D081B" w:rsidRPr="00333DA5">
        <w:rPr>
          <w:szCs w:val="24"/>
        </w:rPr>
        <w:t xml:space="preserve">so circumscribed </w:t>
      </w:r>
      <w:r w:rsidR="00152031" w:rsidRPr="00333DA5">
        <w:rPr>
          <w:szCs w:val="24"/>
        </w:rPr>
        <w:t>at §39:</w:t>
      </w:r>
    </w:p>
    <w:p w14:paraId="5DA8B62E" w14:textId="32B8A12F" w:rsidR="00C50C93" w:rsidRPr="00333DA5" w:rsidRDefault="00AF7AC4" w:rsidP="001D0164">
      <w:pPr>
        <w:pStyle w:val="ParaLevel1"/>
        <w:numPr>
          <w:ilvl w:val="0"/>
          <w:numId w:val="0"/>
        </w:numPr>
        <w:ind w:left="1701" w:right="1646"/>
        <w:rPr>
          <w:szCs w:val="24"/>
        </w:rPr>
      </w:pPr>
      <w:bookmarkStart w:id="15" w:name="para39"/>
      <w:r w:rsidRPr="00333DA5">
        <w:rPr>
          <w:szCs w:val="24"/>
        </w:rPr>
        <w:lastRenderedPageBreak/>
        <w:t>“</w:t>
      </w:r>
      <w:r w:rsidR="00152031" w:rsidRPr="00333DA5">
        <w:rPr>
          <w:i/>
          <w:iCs/>
          <w:szCs w:val="24"/>
        </w:rPr>
        <w:t>Section 31</w:t>
      </w:r>
      <w:proofErr w:type="gramStart"/>
      <w:r w:rsidR="00152031" w:rsidRPr="00333DA5">
        <w:rPr>
          <w:i/>
          <w:iCs/>
          <w:szCs w:val="24"/>
        </w:rPr>
        <w:t>F(</w:t>
      </w:r>
      <w:proofErr w:type="gramEnd"/>
      <w:r w:rsidR="00152031" w:rsidRPr="00333DA5">
        <w:rPr>
          <w:i/>
          <w:iCs/>
          <w:szCs w:val="24"/>
        </w:rPr>
        <w:t>6)</w:t>
      </w:r>
      <w:r w:rsidR="00152031" w:rsidRPr="00333DA5">
        <w:rPr>
          <w:szCs w:val="24"/>
        </w:rPr>
        <w:t> of the </w:t>
      </w:r>
      <w:r w:rsidR="00152031" w:rsidRPr="00333DA5">
        <w:rPr>
          <w:i/>
          <w:iCs/>
          <w:szCs w:val="24"/>
        </w:rPr>
        <w:t>1984 Act </w:t>
      </w:r>
      <w:r w:rsidR="00152031" w:rsidRPr="00333DA5">
        <w:rPr>
          <w:szCs w:val="24"/>
        </w:rPr>
        <w:t>is most likely to be deployed in a children's case where the relief sought is </w:t>
      </w:r>
      <w:r w:rsidR="00152031" w:rsidRPr="00333DA5">
        <w:rPr>
          <w:i/>
          <w:iCs/>
          <w:szCs w:val="24"/>
        </w:rPr>
        <w:t>rescission</w:t>
      </w:r>
      <w:r w:rsidR="00152031" w:rsidRPr="00333DA5">
        <w:rPr>
          <w:szCs w:val="24"/>
        </w:rPr>
        <w:t> of an earlier order (as here). The Family Court has wide powers under the </w:t>
      </w:r>
      <w:r w:rsidR="00152031" w:rsidRPr="00333DA5">
        <w:rPr>
          <w:i/>
          <w:iCs/>
          <w:szCs w:val="24"/>
        </w:rPr>
        <w:t>CA 1989</w:t>
      </w:r>
      <w:bookmarkStart w:id="16" w:name="back5"/>
      <w:bookmarkEnd w:id="15"/>
      <w:bookmarkEnd w:id="16"/>
      <w:r w:rsidR="00152031" w:rsidRPr="00333DA5">
        <w:rPr>
          <w:szCs w:val="24"/>
        </w:rPr>
        <w:t> to </w:t>
      </w:r>
      <w:r w:rsidR="00152031" w:rsidRPr="00333DA5">
        <w:rPr>
          <w:i/>
          <w:iCs/>
          <w:szCs w:val="24"/>
        </w:rPr>
        <w:t>vary</w:t>
      </w:r>
      <w:r w:rsidR="00152031" w:rsidRPr="00333DA5">
        <w:rPr>
          <w:szCs w:val="24"/>
        </w:rPr>
        <w:t> or</w:t>
      </w:r>
      <w:r w:rsidR="007473B4" w:rsidRPr="00333DA5">
        <w:rPr>
          <w:szCs w:val="24"/>
        </w:rPr>
        <w:t xml:space="preserve"> </w:t>
      </w:r>
      <w:r w:rsidR="00152031" w:rsidRPr="00333DA5">
        <w:rPr>
          <w:szCs w:val="24"/>
        </w:rPr>
        <w:t>indeed </w:t>
      </w:r>
      <w:r w:rsidR="00152031" w:rsidRPr="00333DA5">
        <w:rPr>
          <w:i/>
          <w:iCs/>
          <w:szCs w:val="24"/>
        </w:rPr>
        <w:t>discharge</w:t>
      </w:r>
      <w:r w:rsidR="00152031" w:rsidRPr="00333DA5">
        <w:rPr>
          <w:szCs w:val="24"/>
        </w:rPr>
        <w:t> its own order where it can be demonstrated that the circumstances have changed</w:t>
      </w:r>
      <w:bookmarkStart w:id="17" w:name="back6"/>
      <w:bookmarkEnd w:id="17"/>
      <w:r w:rsidR="00152031" w:rsidRPr="00333DA5">
        <w:rPr>
          <w:szCs w:val="24"/>
        </w:rPr>
        <w:t>, and the interests of the child require </w:t>
      </w:r>
      <w:r w:rsidR="00152031" w:rsidRPr="00333DA5">
        <w:rPr>
          <w:i/>
          <w:iCs/>
          <w:szCs w:val="24"/>
        </w:rPr>
        <w:t>variation</w:t>
      </w:r>
      <w:r w:rsidR="00152031" w:rsidRPr="00333DA5">
        <w:rPr>
          <w:szCs w:val="24"/>
        </w:rPr>
        <w:t> or </w:t>
      </w:r>
      <w:r w:rsidR="00152031" w:rsidRPr="00333DA5">
        <w:rPr>
          <w:i/>
          <w:iCs/>
          <w:szCs w:val="24"/>
        </w:rPr>
        <w:t>discharge</w:t>
      </w:r>
      <w:r w:rsidR="00152031" w:rsidRPr="00333DA5">
        <w:rPr>
          <w:szCs w:val="24"/>
        </w:rPr>
        <w:t> of the court-ordered arrangements. In determining an application for variation or discharge under the </w:t>
      </w:r>
      <w:r w:rsidR="00152031" w:rsidRPr="00333DA5">
        <w:rPr>
          <w:i/>
          <w:iCs/>
          <w:szCs w:val="24"/>
        </w:rPr>
        <w:t>CA 1989</w:t>
      </w:r>
      <w:r w:rsidR="00152031" w:rsidRPr="00333DA5">
        <w:rPr>
          <w:szCs w:val="24"/>
        </w:rPr>
        <w:t xml:space="preserve">, the child's welfare will unquestionably be paramount; this may influence the jurisdictional route which the applicant chooses to take. Having considered the arguments and the caselaw above, it seems to me that the principles by which the court will determine whether to exercise </w:t>
      </w:r>
      <w:r w:rsidR="00535E8B" w:rsidRPr="00333DA5">
        <w:rPr>
          <w:szCs w:val="24"/>
        </w:rPr>
        <w:t>its</w:t>
      </w:r>
      <w:r w:rsidR="00152031" w:rsidRPr="00333DA5">
        <w:rPr>
          <w:szCs w:val="24"/>
        </w:rPr>
        <w:t xml:space="preserve"> power to rescind (or, where applicable, vary, suspend or revive) an earlier order under </w:t>
      </w:r>
      <w:r w:rsidR="00152031" w:rsidRPr="00333DA5">
        <w:rPr>
          <w:i/>
          <w:iCs/>
          <w:szCs w:val="24"/>
        </w:rPr>
        <w:t>section 31</w:t>
      </w:r>
      <w:proofErr w:type="gramStart"/>
      <w:r w:rsidR="00152031" w:rsidRPr="00333DA5">
        <w:rPr>
          <w:i/>
          <w:iCs/>
          <w:szCs w:val="24"/>
        </w:rPr>
        <w:t>F(</w:t>
      </w:r>
      <w:proofErr w:type="gramEnd"/>
      <w:r w:rsidR="00152031" w:rsidRPr="00333DA5">
        <w:rPr>
          <w:i/>
          <w:iCs/>
          <w:szCs w:val="24"/>
        </w:rPr>
        <w:t>6)</w:t>
      </w:r>
      <w:r w:rsidR="00152031" w:rsidRPr="00333DA5">
        <w:rPr>
          <w:szCs w:val="24"/>
        </w:rPr>
        <w:t> of the </w:t>
      </w:r>
      <w:r w:rsidR="00CB5D49" w:rsidRPr="00333DA5">
        <w:rPr>
          <w:szCs w:val="24"/>
        </w:rPr>
        <w:t xml:space="preserve"> </w:t>
      </w:r>
      <w:r w:rsidR="00152031" w:rsidRPr="00333DA5">
        <w:rPr>
          <w:i/>
          <w:iCs/>
          <w:szCs w:val="24"/>
        </w:rPr>
        <w:t>1984 Act</w:t>
      </w:r>
      <w:r w:rsidR="00152031" w:rsidRPr="00333DA5">
        <w:rPr>
          <w:szCs w:val="24"/>
        </w:rPr>
        <w:t> are as follows:</w:t>
      </w:r>
    </w:p>
    <w:p w14:paraId="3C778FB4" w14:textId="15CE3E16" w:rsidR="00C50C93" w:rsidRPr="00333DA5" w:rsidRDefault="00152031" w:rsidP="001D0164">
      <w:pPr>
        <w:pStyle w:val="ParaLevel2"/>
        <w:tabs>
          <w:tab w:val="clear" w:pos="1418"/>
          <w:tab w:val="num" w:pos="2410"/>
        </w:tabs>
        <w:ind w:left="2410" w:right="1505"/>
        <w:rPr>
          <w:szCs w:val="24"/>
        </w:rPr>
      </w:pPr>
      <w:r w:rsidRPr="00333DA5">
        <w:rPr>
          <w:szCs w:val="24"/>
        </w:rPr>
        <w:t xml:space="preserve">Litigants should not be permitted to have 'two bites at the cherry' by applying again before the same court in relation to the same matter; there is an important public policy in achieving finality of </w:t>
      </w:r>
      <w:proofErr w:type="gramStart"/>
      <w:r w:rsidRPr="00333DA5">
        <w:rPr>
          <w:szCs w:val="24"/>
        </w:rPr>
        <w:t>litigation;</w:t>
      </w:r>
      <w:proofErr w:type="gramEnd"/>
    </w:p>
    <w:p w14:paraId="4468E3E2" w14:textId="39E6E2D0" w:rsidR="00152031" w:rsidRPr="00333DA5" w:rsidRDefault="00152031" w:rsidP="001D0164">
      <w:pPr>
        <w:pStyle w:val="ParaLevel2"/>
        <w:tabs>
          <w:tab w:val="clear" w:pos="1418"/>
          <w:tab w:val="num" w:pos="2410"/>
        </w:tabs>
        <w:ind w:left="2410" w:right="1505"/>
        <w:rPr>
          <w:szCs w:val="24"/>
        </w:rPr>
      </w:pPr>
      <w:r w:rsidRPr="00333DA5">
        <w:rPr>
          <w:szCs w:val="24"/>
        </w:rPr>
        <w:t>It is equally important for the court not to subvert the role of the Court of Appeal; if the litigants assert that the trial judge was wrong, the route for them to follow is an appellate one;</w:t>
      </w:r>
    </w:p>
    <w:p w14:paraId="0626409D" w14:textId="77777777" w:rsidR="00C50C93" w:rsidRPr="00333DA5" w:rsidRDefault="00152031" w:rsidP="001D0164">
      <w:pPr>
        <w:pStyle w:val="ParaLevel2"/>
        <w:tabs>
          <w:tab w:val="clear" w:pos="1418"/>
          <w:tab w:val="num" w:pos="2410"/>
        </w:tabs>
        <w:ind w:left="2410" w:right="1505"/>
        <w:rPr>
          <w:szCs w:val="24"/>
        </w:rPr>
      </w:pPr>
      <w:r w:rsidRPr="00333DA5">
        <w:rPr>
          <w:color w:val="000000"/>
          <w:szCs w:val="24"/>
        </w:rPr>
        <w:t>The first point of reference should be whether one of the 'traditional grounds' for proposed review has been established:</w:t>
      </w:r>
    </w:p>
    <w:p w14:paraId="6C646F4F" w14:textId="7E4C2EBA" w:rsidR="00152031" w:rsidRPr="00333DA5" w:rsidRDefault="00152031" w:rsidP="001D0164">
      <w:pPr>
        <w:pStyle w:val="ParaLevel3"/>
        <w:tabs>
          <w:tab w:val="clear" w:pos="2127"/>
          <w:tab w:val="num" w:pos="2977"/>
        </w:tabs>
        <w:ind w:left="2977" w:right="1505"/>
        <w:rPr>
          <w:szCs w:val="24"/>
        </w:rPr>
      </w:pPr>
      <w:r w:rsidRPr="00333DA5">
        <w:rPr>
          <w:szCs w:val="24"/>
        </w:rPr>
        <w:t xml:space="preserve">Fraud, mistake, innocent (or otherwise) misstatement of the facts on which the original decision was </w:t>
      </w:r>
      <w:proofErr w:type="gramStart"/>
      <w:r w:rsidRPr="00333DA5">
        <w:rPr>
          <w:szCs w:val="24"/>
        </w:rPr>
        <w:t>made;</w:t>
      </w:r>
      <w:proofErr w:type="gramEnd"/>
    </w:p>
    <w:p w14:paraId="3BAEAC2D" w14:textId="77777777" w:rsidR="00C50C93" w:rsidRPr="00333DA5" w:rsidRDefault="00152031" w:rsidP="001D0164">
      <w:pPr>
        <w:pStyle w:val="ParaLevel3"/>
        <w:tabs>
          <w:tab w:val="clear" w:pos="2127"/>
          <w:tab w:val="num" w:pos="2977"/>
        </w:tabs>
        <w:ind w:left="2977" w:right="1505"/>
        <w:rPr>
          <w:szCs w:val="24"/>
        </w:rPr>
      </w:pPr>
      <w:r w:rsidRPr="00333DA5">
        <w:rPr>
          <w:color w:val="000000"/>
          <w:szCs w:val="24"/>
        </w:rPr>
        <w:t>Material non-disclosure;</w:t>
      </w:r>
    </w:p>
    <w:p w14:paraId="3123FE91" w14:textId="10B39E11" w:rsidR="00152031" w:rsidRPr="00333DA5" w:rsidRDefault="00152031" w:rsidP="001D0164">
      <w:pPr>
        <w:pStyle w:val="ParaLevel3"/>
        <w:tabs>
          <w:tab w:val="clear" w:pos="2127"/>
          <w:tab w:val="num" w:pos="2977"/>
        </w:tabs>
        <w:ind w:left="2977" w:right="1505"/>
        <w:rPr>
          <w:szCs w:val="24"/>
        </w:rPr>
      </w:pPr>
      <w:r w:rsidRPr="00333DA5">
        <w:rPr>
          <w:color w:val="000000"/>
          <w:szCs w:val="24"/>
        </w:rPr>
        <w:t xml:space="preserve">A new event or material change of circumstances which invalidates the basis, or fundamental assumption, upon which the order was </w:t>
      </w:r>
      <w:proofErr w:type="gramStart"/>
      <w:r w:rsidRPr="00333DA5">
        <w:rPr>
          <w:color w:val="000000"/>
          <w:szCs w:val="24"/>
        </w:rPr>
        <w:t>made;</w:t>
      </w:r>
      <w:proofErr w:type="gramEnd"/>
    </w:p>
    <w:p w14:paraId="63556DA6" w14:textId="77777777" w:rsidR="006D1E49" w:rsidRPr="00333DA5" w:rsidRDefault="00152031" w:rsidP="001D0164">
      <w:pPr>
        <w:pStyle w:val="ParaLevel3"/>
        <w:tabs>
          <w:tab w:val="clear" w:pos="2127"/>
          <w:tab w:val="num" w:pos="2977"/>
        </w:tabs>
        <w:ind w:left="2977" w:right="1505"/>
        <w:rPr>
          <w:szCs w:val="24"/>
        </w:rPr>
      </w:pPr>
      <w:r w:rsidRPr="00333DA5">
        <w:rPr>
          <w:color w:val="000000"/>
          <w:szCs w:val="24"/>
        </w:rPr>
        <w:t>If the order contains undertakings;</w:t>
      </w:r>
    </w:p>
    <w:p w14:paraId="0CEFAFFF" w14:textId="77777777" w:rsidR="00DA30DE" w:rsidRPr="00333DA5" w:rsidRDefault="00152031" w:rsidP="001D0164">
      <w:pPr>
        <w:pStyle w:val="ParaLevel3"/>
        <w:tabs>
          <w:tab w:val="clear" w:pos="2127"/>
          <w:tab w:val="num" w:pos="2977"/>
        </w:tabs>
        <w:ind w:left="2977" w:right="1505"/>
        <w:rPr>
          <w:szCs w:val="24"/>
        </w:rPr>
      </w:pPr>
      <w:r w:rsidRPr="00333DA5">
        <w:rPr>
          <w:color w:val="000000"/>
          <w:szCs w:val="24"/>
        </w:rPr>
        <w:t>If the terms of the order remain executory.</w:t>
      </w:r>
    </w:p>
    <w:p w14:paraId="62AD31EF" w14:textId="0D9E2589" w:rsidR="00152031" w:rsidRPr="00333DA5" w:rsidRDefault="00152031" w:rsidP="001D0164">
      <w:pPr>
        <w:pStyle w:val="ParaLevel2"/>
        <w:ind w:right="1505"/>
        <w:rPr>
          <w:szCs w:val="24"/>
        </w:rPr>
      </w:pPr>
      <w:r w:rsidRPr="00333DA5">
        <w:rPr>
          <w:szCs w:val="24"/>
        </w:rPr>
        <w:t>Where an application is made under </w:t>
      </w:r>
      <w:r w:rsidRPr="00333DA5">
        <w:rPr>
          <w:i/>
          <w:iCs/>
          <w:szCs w:val="24"/>
        </w:rPr>
        <w:t>section 31</w:t>
      </w:r>
      <w:proofErr w:type="gramStart"/>
      <w:r w:rsidRPr="00333DA5">
        <w:rPr>
          <w:i/>
          <w:iCs/>
          <w:szCs w:val="24"/>
        </w:rPr>
        <w:t>F(</w:t>
      </w:r>
      <w:proofErr w:type="gramEnd"/>
      <w:r w:rsidRPr="00333DA5">
        <w:rPr>
          <w:i/>
          <w:iCs/>
          <w:szCs w:val="24"/>
        </w:rPr>
        <w:t>6)</w:t>
      </w:r>
      <w:r w:rsidRPr="00333DA5">
        <w:rPr>
          <w:szCs w:val="24"/>
        </w:rPr>
        <w:t> in relation to an order concerning children's welfare, it is permissible, it seems to me, for the court to:</w:t>
      </w:r>
    </w:p>
    <w:p w14:paraId="29618D8B" w14:textId="3E2B2C67" w:rsidR="00152031" w:rsidRPr="00333DA5" w:rsidRDefault="00152031" w:rsidP="001D0164">
      <w:pPr>
        <w:pStyle w:val="ParaLevel3"/>
        <w:ind w:right="1505"/>
        <w:rPr>
          <w:szCs w:val="24"/>
        </w:rPr>
      </w:pPr>
      <w:r w:rsidRPr="00333DA5">
        <w:rPr>
          <w:szCs w:val="24"/>
        </w:rPr>
        <w:lastRenderedPageBreak/>
        <w:t>approach the assessment of the 'traditional grounds' for review (listed in §(iii)) above, and</w:t>
      </w:r>
    </w:p>
    <w:p w14:paraId="30AD3D78" w14:textId="77777777" w:rsidR="00DA30DE" w:rsidRPr="00333DA5" w:rsidRDefault="00152031" w:rsidP="001D0164">
      <w:pPr>
        <w:pStyle w:val="ParaLevel3"/>
        <w:ind w:right="1505"/>
        <w:rPr>
          <w:szCs w:val="24"/>
        </w:rPr>
      </w:pPr>
      <w:r w:rsidRPr="00333DA5">
        <w:rPr>
          <w:color w:val="000000"/>
          <w:szCs w:val="24"/>
        </w:rPr>
        <w:t>make its determination,</w:t>
      </w:r>
    </w:p>
    <w:p w14:paraId="2ADACB6D" w14:textId="4328D7B2" w:rsidR="00152031" w:rsidRPr="00333DA5" w:rsidRDefault="00152031" w:rsidP="001D0164">
      <w:pPr>
        <w:pStyle w:val="ParaLevel3"/>
        <w:numPr>
          <w:ilvl w:val="0"/>
          <w:numId w:val="0"/>
        </w:numPr>
        <w:ind w:left="1418" w:right="1505"/>
        <w:rPr>
          <w:szCs w:val="24"/>
        </w:rPr>
      </w:pPr>
      <w:r w:rsidRPr="00333DA5">
        <w:rPr>
          <w:color w:val="000000"/>
          <w:szCs w:val="24"/>
        </w:rPr>
        <w:t>with appropriate flexibility</w:t>
      </w:r>
      <w:bookmarkStart w:id="18" w:name="back7"/>
      <w:bookmarkEnd w:id="18"/>
      <w:r w:rsidRPr="00333DA5">
        <w:rPr>
          <w:color w:val="000000"/>
          <w:szCs w:val="24"/>
        </w:rPr>
        <w:t>, and with consideration to what is likely to be in the best interests of the child (i.e., it is important to "get it right for" the child: §36 above);</w:t>
      </w:r>
    </w:p>
    <w:p w14:paraId="124F0D32" w14:textId="77777777" w:rsidR="00BA379A" w:rsidRPr="00333DA5" w:rsidRDefault="00152031" w:rsidP="001D0164">
      <w:pPr>
        <w:pStyle w:val="ParaLevel2"/>
        <w:ind w:right="1505"/>
        <w:rPr>
          <w:szCs w:val="24"/>
        </w:rPr>
      </w:pPr>
      <w:r w:rsidRPr="00333DA5">
        <w:rPr>
          <w:i/>
          <w:iCs/>
          <w:szCs w:val="24"/>
        </w:rPr>
        <w:t>Section 1(1)(a)</w:t>
      </w:r>
      <w:r w:rsidRPr="00333DA5">
        <w:rPr>
          <w:szCs w:val="24"/>
        </w:rPr>
        <w:t> of the </w:t>
      </w:r>
      <w:r w:rsidRPr="00333DA5">
        <w:rPr>
          <w:i/>
          <w:iCs/>
          <w:szCs w:val="24"/>
        </w:rPr>
        <w:t>CA 1989</w:t>
      </w:r>
      <w:r w:rsidRPr="00333DA5">
        <w:rPr>
          <w:szCs w:val="24"/>
        </w:rPr>
        <w:t> is not engaged;</w:t>
      </w:r>
    </w:p>
    <w:p w14:paraId="69C20E3B" w14:textId="61751A86" w:rsidR="00152031" w:rsidRPr="00333DA5" w:rsidRDefault="00152031" w:rsidP="001D0164">
      <w:pPr>
        <w:pStyle w:val="ParaLevel2"/>
        <w:ind w:right="1505"/>
        <w:rPr>
          <w:szCs w:val="24"/>
        </w:rPr>
      </w:pPr>
      <w:r w:rsidRPr="00333DA5">
        <w:rPr>
          <w:color w:val="000000"/>
          <w:szCs w:val="24"/>
        </w:rPr>
        <w:t>Where </w:t>
      </w:r>
      <w:r w:rsidRPr="00333DA5">
        <w:rPr>
          <w:i/>
          <w:iCs/>
          <w:color w:val="000000"/>
          <w:szCs w:val="24"/>
        </w:rPr>
        <w:t>section 31</w:t>
      </w:r>
      <w:proofErr w:type="gramStart"/>
      <w:r w:rsidRPr="00333DA5">
        <w:rPr>
          <w:i/>
          <w:iCs/>
          <w:color w:val="000000"/>
          <w:szCs w:val="24"/>
        </w:rPr>
        <w:t>F(</w:t>
      </w:r>
      <w:proofErr w:type="gramEnd"/>
      <w:r w:rsidRPr="00333DA5">
        <w:rPr>
          <w:i/>
          <w:iCs/>
          <w:color w:val="000000"/>
          <w:szCs w:val="24"/>
        </w:rPr>
        <w:t>6)</w:t>
      </w:r>
      <w:r w:rsidRPr="00333DA5">
        <w:rPr>
          <w:color w:val="000000"/>
          <w:szCs w:val="24"/>
        </w:rPr>
        <w:t> is deployed in order to re-open a previous fact-finding exercise, the three-fold test set out by Peter Jackson LJ in </w:t>
      </w:r>
      <w:r w:rsidRPr="00333DA5">
        <w:rPr>
          <w:i/>
          <w:iCs/>
          <w:color w:val="000000"/>
          <w:szCs w:val="24"/>
        </w:rPr>
        <w:t>Re E </w:t>
      </w:r>
      <w:r w:rsidRPr="00333DA5">
        <w:rPr>
          <w:color w:val="000000"/>
          <w:szCs w:val="24"/>
        </w:rPr>
        <w:t>(§37 above) should be followed.</w:t>
      </w:r>
      <w:r w:rsidR="00AF7AC4" w:rsidRPr="00333DA5">
        <w:rPr>
          <w:color w:val="000000"/>
          <w:szCs w:val="24"/>
        </w:rPr>
        <w:t>”</w:t>
      </w:r>
    </w:p>
    <w:p w14:paraId="49C50F83" w14:textId="7587DAD1" w:rsidR="00A91BC0" w:rsidRPr="00333DA5" w:rsidRDefault="00E53277" w:rsidP="001D0164">
      <w:pPr>
        <w:pStyle w:val="ParaLevel1"/>
        <w:rPr>
          <w:szCs w:val="24"/>
        </w:rPr>
      </w:pPr>
      <w:r w:rsidRPr="00333DA5">
        <w:rPr>
          <w:szCs w:val="24"/>
        </w:rPr>
        <w:t xml:space="preserve">Although </w:t>
      </w:r>
      <w:r w:rsidR="007473B4" w:rsidRPr="00333DA5">
        <w:rPr>
          <w:szCs w:val="24"/>
        </w:rPr>
        <w:t xml:space="preserve">in </w:t>
      </w:r>
      <w:r w:rsidR="007473B4" w:rsidRPr="00333DA5">
        <w:rPr>
          <w:i/>
          <w:iCs/>
          <w:szCs w:val="24"/>
        </w:rPr>
        <w:t xml:space="preserve">Re A &amp; B </w:t>
      </w:r>
      <w:r w:rsidR="003F240F" w:rsidRPr="00333DA5">
        <w:rPr>
          <w:szCs w:val="24"/>
        </w:rPr>
        <w:t xml:space="preserve">I was considering </w:t>
      </w:r>
      <w:r w:rsidR="003F240F" w:rsidRPr="00333DA5">
        <w:rPr>
          <w:i/>
          <w:iCs/>
          <w:szCs w:val="24"/>
        </w:rPr>
        <w:t xml:space="preserve">section 31F </w:t>
      </w:r>
      <w:r w:rsidR="003F240F" w:rsidRPr="00333DA5">
        <w:rPr>
          <w:szCs w:val="24"/>
        </w:rPr>
        <w:t xml:space="preserve">of the </w:t>
      </w:r>
      <w:r w:rsidR="003F240F" w:rsidRPr="00333DA5">
        <w:rPr>
          <w:i/>
          <w:iCs/>
          <w:szCs w:val="24"/>
        </w:rPr>
        <w:t>MFPA 1984</w:t>
      </w:r>
      <w:r w:rsidR="003E70C9" w:rsidRPr="00333DA5">
        <w:rPr>
          <w:szCs w:val="24"/>
        </w:rPr>
        <w:t xml:space="preserve"> in the context of children proceedings, the principles</w:t>
      </w:r>
      <w:r w:rsidR="007473B4" w:rsidRPr="00333DA5">
        <w:rPr>
          <w:szCs w:val="24"/>
        </w:rPr>
        <w:t xml:space="preserve"> </w:t>
      </w:r>
      <w:r w:rsidR="003E70C9" w:rsidRPr="00333DA5">
        <w:rPr>
          <w:szCs w:val="24"/>
        </w:rPr>
        <w:t xml:space="preserve">adumbrated </w:t>
      </w:r>
      <w:r w:rsidR="007473B4" w:rsidRPr="00333DA5">
        <w:rPr>
          <w:szCs w:val="24"/>
        </w:rPr>
        <w:t xml:space="preserve">there and set out </w:t>
      </w:r>
      <w:r w:rsidR="00DC398A">
        <w:rPr>
          <w:szCs w:val="24"/>
        </w:rPr>
        <w:t xml:space="preserve">in §22 </w:t>
      </w:r>
      <w:r w:rsidR="003E70C9" w:rsidRPr="00333DA5">
        <w:rPr>
          <w:szCs w:val="24"/>
        </w:rPr>
        <w:t xml:space="preserve">above are of equal application </w:t>
      </w:r>
      <w:r w:rsidR="00A91BC0" w:rsidRPr="00333DA5">
        <w:rPr>
          <w:szCs w:val="24"/>
        </w:rPr>
        <w:t>to an application which arises in other forms of family proceedings.</w:t>
      </w:r>
    </w:p>
    <w:p w14:paraId="5352F469" w14:textId="648772A6" w:rsidR="00142587" w:rsidRPr="00333DA5" w:rsidRDefault="00AA1295" w:rsidP="001D0164">
      <w:pPr>
        <w:pStyle w:val="ParaLevel1"/>
        <w:numPr>
          <w:ilvl w:val="0"/>
          <w:numId w:val="0"/>
        </w:numPr>
        <w:ind w:left="720"/>
        <w:rPr>
          <w:i/>
          <w:iCs/>
          <w:szCs w:val="24"/>
        </w:rPr>
      </w:pPr>
      <w:r w:rsidRPr="00333DA5">
        <w:rPr>
          <w:i/>
          <w:iCs/>
          <w:szCs w:val="24"/>
        </w:rPr>
        <w:t>When is a court first seised of divorce proceedings?</w:t>
      </w:r>
    </w:p>
    <w:p w14:paraId="3350B4F8" w14:textId="7C5C449E" w:rsidR="007E543C" w:rsidRPr="00333DA5" w:rsidRDefault="00AA1295" w:rsidP="001D0164">
      <w:pPr>
        <w:pStyle w:val="ParaLevel1"/>
        <w:rPr>
          <w:szCs w:val="24"/>
        </w:rPr>
      </w:pPr>
      <w:r w:rsidRPr="00333DA5">
        <w:rPr>
          <w:szCs w:val="24"/>
        </w:rPr>
        <w:t>I</w:t>
      </w:r>
      <w:r w:rsidR="00BF0A51" w:rsidRPr="00333DA5">
        <w:rPr>
          <w:szCs w:val="24"/>
        </w:rPr>
        <w:t xml:space="preserve">n the </w:t>
      </w:r>
      <w:r w:rsidR="00BF0A51" w:rsidRPr="00333DA5">
        <w:rPr>
          <w:i/>
          <w:iCs/>
          <w:szCs w:val="24"/>
        </w:rPr>
        <w:t>2021 Divorce judgment</w:t>
      </w:r>
      <w:r w:rsidR="00BF0A51" w:rsidRPr="00333DA5">
        <w:rPr>
          <w:szCs w:val="24"/>
        </w:rPr>
        <w:t xml:space="preserve"> I addressed the legal issues engaged in </w:t>
      </w:r>
      <w:r w:rsidR="00E83F36" w:rsidRPr="00333DA5">
        <w:rPr>
          <w:szCs w:val="24"/>
        </w:rPr>
        <w:t xml:space="preserve">consideration of </w:t>
      </w:r>
      <w:r w:rsidR="00E83F36" w:rsidRPr="00333DA5">
        <w:rPr>
          <w:i/>
          <w:iCs/>
          <w:szCs w:val="24"/>
        </w:rPr>
        <w:t>Article 16 BIIR</w:t>
      </w:r>
      <w:r w:rsidR="00E83F36" w:rsidRPr="00333DA5">
        <w:rPr>
          <w:szCs w:val="24"/>
        </w:rPr>
        <w:t xml:space="preserve"> (see §</w:t>
      </w:r>
      <w:r w:rsidR="00E700FC" w:rsidRPr="00333DA5">
        <w:rPr>
          <w:szCs w:val="24"/>
        </w:rPr>
        <w:t>16-29</w:t>
      </w:r>
      <w:r w:rsidR="00E83F36" w:rsidRPr="00333DA5">
        <w:rPr>
          <w:szCs w:val="24"/>
        </w:rPr>
        <w:t xml:space="preserve"> of that judgment)</w:t>
      </w:r>
      <w:r w:rsidR="008F16DD" w:rsidRPr="00333DA5">
        <w:rPr>
          <w:szCs w:val="24"/>
        </w:rPr>
        <w:t>.</w:t>
      </w:r>
      <w:r w:rsidR="00812608" w:rsidRPr="00333DA5">
        <w:rPr>
          <w:szCs w:val="24"/>
        </w:rPr>
        <w:t xml:space="preserve"> </w:t>
      </w:r>
      <w:r w:rsidR="00C06719" w:rsidRPr="00333DA5">
        <w:rPr>
          <w:szCs w:val="24"/>
        </w:rPr>
        <w:t xml:space="preserve">At </w:t>
      </w:r>
      <w:r w:rsidR="00015A08" w:rsidRPr="00333DA5">
        <w:rPr>
          <w:szCs w:val="24"/>
        </w:rPr>
        <w:t>§</w:t>
      </w:r>
      <w:r w:rsidR="00A91BC0" w:rsidRPr="00333DA5">
        <w:rPr>
          <w:szCs w:val="24"/>
        </w:rPr>
        <w:t>9</w:t>
      </w:r>
      <w:r w:rsidR="00015A08" w:rsidRPr="00333DA5">
        <w:rPr>
          <w:szCs w:val="24"/>
        </w:rPr>
        <w:t xml:space="preserve"> above</w:t>
      </w:r>
      <w:r w:rsidR="00C06719" w:rsidRPr="00333DA5">
        <w:rPr>
          <w:szCs w:val="24"/>
        </w:rPr>
        <w:t xml:space="preserve">, I have reproduced the important </w:t>
      </w:r>
      <w:r w:rsidR="00015A08" w:rsidRPr="00333DA5">
        <w:rPr>
          <w:szCs w:val="24"/>
        </w:rPr>
        <w:t xml:space="preserve">passages from </w:t>
      </w:r>
      <w:r w:rsidR="00F317F6" w:rsidRPr="00333DA5">
        <w:rPr>
          <w:i/>
          <w:iCs/>
          <w:szCs w:val="24"/>
        </w:rPr>
        <w:t>MH v MH</w:t>
      </w:r>
      <w:r w:rsidR="00C06719" w:rsidRPr="00333DA5">
        <w:rPr>
          <w:szCs w:val="24"/>
        </w:rPr>
        <w:t xml:space="preserve"> on which I had earlier relied.  </w:t>
      </w:r>
      <w:r w:rsidR="00344F51" w:rsidRPr="00333DA5">
        <w:rPr>
          <w:szCs w:val="24"/>
        </w:rPr>
        <w:t xml:space="preserve">At §29 of the </w:t>
      </w:r>
      <w:r w:rsidR="00344F51" w:rsidRPr="00333DA5">
        <w:rPr>
          <w:i/>
          <w:iCs/>
          <w:szCs w:val="24"/>
        </w:rPr>
        <w:t>2021 Divorce judgment</w:t>
      </w:r>
      <w:r w:rsidR="00344F51" w:rsidRPr="00333DA5">
        <w:rPr>
          <w:szCs w:val="24"/>
        </w:rPr>
        <w:t xml:space="preserve"> </w:t>
      </w:r>
      <w:r w:rsidR="00795126" w:rsidRPr="00333DA5">
        <w:rPr>
          <w:szCs w:val="24"/>
        </w:rPr>
        <w:t xml:space="preserve">I </w:t>
      </w:r>
      <w:r w:rsidR="007E543C" w:rsidRPr="00333DA5">
        <w:rPr>
          <w:szCs w:val="24"/>
        </w:rPr>
        <w:t>reproduced a pass</w:t>
      </w:r>
      <w:r w:rsidR="00344F51" w:rsidRPr="00333DA5">
        <w:rPr>
          <w:szCs w:val="24"/>
        </w:rPr>
        <w:t>a</w:t>
      </w:r>
      <w:r w:rsidR="007E543C" w:rsidRPr="00333DA5">
        <w:rPr>
          <w:szCs w:val="24"/>
        </w:rPr>
        <w:t xml:space="preserve">ge from </w:t>
      </w:r>
      <w:r w:rsidR="00344F51" w:rsidRPr="00333DA5">
        <w:rPr>
          <w:szCs w:val="24"/>
        </w:rPr>
        <w:t xml:space="preserve">the Court of Appeal’s judgment in </w:t>
      </w:r>
      <w:r w:rsidR="00293F84" w:rsidRPr="00333DA5">
        <w:rPr>
          <w:i/>
          <w:iCs/>
          <w:color w:val="000000"/>
          <w:szCs w:val="24"/>
        </w:rPr>
        <w:t>Thum v Thum</w:t>
      </w:r>
      <w:r w:rsidR="00293F84" w:rsidRPr="00333DA5">
        <w:rPr>
          <w:color w:val="000000"/>
          <w:szCs w:val="24"/>
        </w:rPr>
        <w:t> </w:t>
      </w:r>
      <w:r w:rsidR="00293F84" w:rsidRPr="00333DA5">
        <w:rPr>
          <w:szCs w:val="24"/>
        </w:rPr>
        <w:t>[2018] EWCA Civ 624</w:t>
      </w:r>
      <w:r w:rsidR="007E543C" w:rsidRPr="00333DA5">
        <w:rPr>
          <w:szCs w:val="24"/>
        </w:rPr>
        <w:t xml:space="preserve">; </w:t>
      </w:r>
      <w:r w:rsidR="00535E8B" w:rsidRPr="00333DA5">
        <w:rPr>
          <w:szCs w:val="24"/>
        </w:rPr>
        <w:t>again,</w:t>
      </w:r>
      <w:r w:rsidR="007E543C" w:rsidRPr="00333DA5">
        <w:rPr>
          <w:szCs w:val="24"/>
        </w:rPr>
        <w:t xml:space="preserve"> for completeness, I reproduce this below:</w:t>
      </w:r>
    </w:p>
    <w:p w14:paraId="107736E2" w14:textId="395D1606" w:rsidR="007E543C" w:rsidRPr="00333DA5" w:rsidRDefault="007E543C" w:rsidP="001D0164">
      <w:pPr>
        <w:pStyle w:val="ParaLevel1"/>
        <w:numPr>
          <w:ilvl w:val="0"/>
          <w:numId w:val="0"/>
        </w:numPr>
        <w:ind w:left="1701" w:right="1505"/>
        <w:rPr>
          <w:szCs w:val="24"/>
        </w:rPr>
      </w:pPr>
      <w:r w:rsidRPr="00333DA5">
        <w:rPr>
          <w:color w:val="000000"/>
          <w:szCs w:val="24"/>
        </w:rPr>
        <w:t>“It can be clearly seen from </w:t>
      </w:r>
      <w:r w:rsidRPr="00333DA5">
        <w:rPr>
          <w:rStyle w:val="Emphasis"/>
          <w:color w:val="000000"/>
          <w:szCs w:val="24"/>
        </w:rPr>
        <w:t>MH v MH</w:t>
      </w:r>
      <w:r w:rsidRPr="00333DA5">
        <w:rPr>
          <w:color w:val="000000"/>
          <w:szCs w:val="24"/>
        </w:rPr>
        <w:t> that a court is seised once the petition is lodged with the court and that the overarching purpose of the proviso is protection from abuse of process. This case and the other authorities referred to above also establish, in my view, that in order for the proviso to apply there has to be a failure to comply with a </w:t>
      </w:r>
      <w:r w:rsidRPr="00333DA5">
        <w:rPr>
          <w:rStyle w:val="Emphasis"/>
          <w:color w:val="000000"/>
          <w:szCs w:val="24"/>
        </w:rPr>
        <w:t>specific</w:t>
      </w:r>
      <w:r w:rsidRPr="00333DA5">
        <w:rPr>
          <w:color w:val="000000"/>
          <w:szCs w:val="24"/>
        </w:rPr>
        <w:t> step required by the domestic law in order “to have service effected”, not a more general failure to effect service, and that the failure must be due to the </w:t>
      </w:r>
      <w:r w:rsidRPr="00333DA5">
        <w:rPr>
          <w:rStyle w:val="Emphasis"/>
          <w:color w:val="000000"/>
          <w:szCs w:val="24"/>
        </w:rPr>
        <w:t>applicant </w:t>
      </w:r>
      <w:r w:rsidRPr="00333DA5">
        <w:rPr>
          <w:color w:val="000000"/>
          <w:szCs w:val="24"/>
        </w:rPr>
        <w:t>having failed to act diligently by not taking the required step”</w:t>
      </w:r>
      <w:r w:rsidR="0054159E" w:rsidRPr="00333DA5">
        <w:rPr>
          <w:color w:val="000000"/>
          <w:szCs w:val="24"/>
        </w:rPr>
        <w:t xml:space="preserve"> (§55)</w:t>
      </w:r>
      <w:r w:rsidRPr="00333DA5">
        <w:rPr>
          <w:color w:val="000000"/>
          <w:szCs w:val="24"/>
        </w:rPr>
        <w:t>.</w:t>
      </w:r>
    </w:p>
    <w:p w14:paraId="7664E93A" w14:textId="73F03A0A" w:rsidR="00B37730" w:rsidRPr="00333DA5" w:rsidRDefault="007E543C" w:rsidP="001D0164">
      <w:pPr>
        <w:pStyle w:val="ParaLevel1"/>
        <w:rPr>
          <w:szCs w:val="24"/>
        </w:rPr>
      </w:pPr>
      <w:r w:rsidRPr="00333DA5">
        <w:rPr>
          <w:szCs w:val="24"/>
        </w:rPr>
        <w:t>A</w:t>
      </w:r>
      <w:r w:rsidR="00293F84" w:rsidRPr="00333DA5">
        <w:rPr>
          <w:szCs w:val="24"/>
        </w:rPr>
        <w:t xml:space="preserve">t this hearing, </w:t>
      </w:r>
      <w:r w:rsidR="006227F1" w:rsidRPr="00333DA5">
        <w:rPr>
          <w:szCs w:val="24"/>
        </w:rPr>
        <w:t xml:space="preserve">both </w:t>
      </w:r>
      <w:r w:rsidR="00293F84" w:rsidRPr="00333DA5">
        <w:rPr>
          <w:color w:val="000000"/>
          <w:szCs w:val="24"/>
        </w:rPr>
        <w:t xml:space="preserve">parties </w:t>
      </w:r>
      <w:r w:rsidR="0054159E" w:rsidRPr="00333DA5">
        <w:rPr>
          <w:color w:val="000000"/>
          <w:szCs w:val="24"/>
        </w:rPr>
        <w:t xml:space="preserve">returned to this </w:t>
      </w:r>
      <w:r w:rsidR="00676AB3" w:rsidRPr="00333DA5">
        <w:rPr>
          <w:color w:val="000000"/>
          <w:szCs w:val="24"/>
        </w:rPr>
        <w:t xml:space="preserve">exposition of law, bringing greater focus </w:t>
      </w:r>
      <w:r w:rsidR="00293F84" w:rsidRPr="00333DA5">
        <w:rPr>
          <w:color w:val="000000"/>
          <w:szCs w:val="24"/>
        </w:rPr>
        <w:t xml:space="preserve">on what </w:t>
      </w:r>
      <w:r w:rsidR="00676AB3" w:rsidRPr="00333DA5">
        <w:rPr>
          <w:color w:val="000000"/>
          <w:szCs w:val="24"/>
        </w:rPr>
        <w:t xml:space="preserve">Moylan LJ had </w:t>
      </w:r>
      <w:r w:rsidR="00293F84" w:rsidRPr="00333DA5">
        <w:rPr>
          <w:color w:val="000000"/>
          <w:szCs w:val="24"/>
        </w:rPr>
        <w:t xml:space="preserve">said </w:t>
      </w:r>
      <w:r w:rsidR="007B2619" w:rsidRPr="00333DA5">
        <w:rPr>
          <w:color w:val="000000"/>
          <w:szCs w:val="24"/>
        </w:rPr>
        <w:t xml:space="preserve">at </w:t>
      </w:r>
      <w:r w:rsidRPr="00333DA5">
        <w:rPr>
          <w:color w:val="000000"/>
          <w:szCs w:val="24"/>
        </w:rPr>
        <w:t>§</w:t>
      </w:r>
      <w:r w:rsidR="007F510E" w:rsidRPr="00333DA5">
        <w:rPr>
          <w:color w:val="000000"/>
          <w:szCs w:val="24"/>
        </w:rPr>
        <w:t xml:space="preserve">47 – 52 </w:t>
      </w:r>
      <w:r w:rsidR="00676AB3" w:rsidRPr="00333DA5">
        <w:rPr>
          <w:color w:val="000000"/>
          <w:szCs w:val="24"/>
        </w:rPr>
        <w:t xml:space="preserve">of his judgment in </w:t>
      </w:r>
      <w:r w:rsidR="007F510E" w:rsidRPr="00333DA5">
        <w:rPr>
          <w:color w:val="000000"/>
          <w:szCs w:val="24"/>
        </w:rPr>
        <w:t xml:space="preserve">the </w:t>
      </w:r>
      <w:r w:rsidR="007F510E" w:rsidRPr="00333DA5">
        <w:rPr>
          <w:i/>
          <w:iCs/>
          <w:color w:val="000000"/>
          <w:szCs w:val="24"/>
        </w:rPr>
        <w:t>Thum</w:t>
      </w:r>
      <w:r w:rsidR="007F510E" w:rsidRPr="00333DA5">
        <w:rPr>
          <w:color w:val="000000"/>
          <w:szCs w:val="24"/>
        </w:rPr>
        <w:t xml:space="preserve"> case.</w:t>
      </w:r>
      <w:r w:rsidR="00572CF3" w:rsidRPr="00333DA5">
        <w:rPr>
          <w:color w:val="000000"/>
          <w:szCs w:val="24"/>
        </w:rPr>
        <w:t xml:space="preserve">  </w:t>
      </w:r>
      <w:r w:rsidR="00A315B7" w:rsidRPr="00333DA5">
        <w:rPr>
          <w:color w:val="000000"/>
          <w:szCs w:val="24"/>
        </w:rPr>
        <w:t xml:space="preserve">It is </w:t>
      </w:r>
      <w:r w:rsidR="007224F7" w:rsidRPr="00333DA5">
        <w:rPr>
          <w:color w:val="000000"/>
          <w:szCs w:val="24"/>
        </w:rPr>
        <w:t xml:space="preserve">not immaterial to note that in that </w:t>
      </w:r>
      <w:r w:rsidR="00572CF3" w:rsidRPr="00333DA5">
        <w:rPr>
          <w:color w:val="000000"/>
          <w:szCs w:val="24"/>
        </w:rPr>
        <w:t xml:space="preserve">case, the wife had </w:t>
      </w:r>
      <w:r w:rsidR="00C721DE" w:rsidRPr="00333DA5">
        <w:rPr>
          <w:color w:val="000000"/>
          <w:szCs w:val="24"/>
        </w:rPr>
        <w:t xml:space="preserve">lodged a petition in the English </w:t>
      </w:r>
      <w:proofErr w:type="gramStart"/>
      <w:r w:rsidR="00C721DE" w:rsidRPr="00333DA5">
        <w:rPr>
          <w:color w:val="000000"/>
          <w:szCs w:val="24"/>
        </w:rPr>
        <w:t>Court</w:t>
      </w:r>
      <w:r w:rsidR="006A0758">
        <w:rPr>
          <w:color w:val="000000"/>
          <w:szCs w:val="24"/>
        </w:rPr>
        <w:t>,</w:t>
      </w:r>
      <w:r w:rsidR="00C721DE" w:rsidRPr="00333DA5">
        <w:rPr>
          <w:color w:val="000000"/>
          <w:szCs w:val="24"/>
        </w:rPr>
        <w:t xml:space="preserve"> but</w:t>
      </w:r>
      <w:proofErr w:type="gramEnd"/>
      <w:r w:rsidR="00C721DE" w:rsidRPr="00333DA5">
        <w:rPr>
          <w:color w:val="000000"/>
          <w:szCs w:val="24"/>
        </w:rPr>
        <w:t xml:space="preserve"> had </w:t>
      </w:r>
      <w:r w:rsidR="00572CF3" w:rsidRPr="00333DA5">
        <w:rPr>
          <w:color w:val="000000"/>
          <w:szCs w:val="24"/>
        </w:rPr>
        <w:t xml:space="preserve">delayed </w:t>
      </w:r>
      <w:r w:rsidR="00C70CC0" w:rsidRPr="00333DA5">
        <w:rPr>
          <w:color w:val="000000"/>
          <w:szCs w:val="24"/>
        </w:rPr>
        <w:t xml:space="preserve">for </w:t>
      </w:r>
      <w:r w:rsidR="00364504" w:rsidRPr="00333DA5">
        <w:rPr>
          <w:color w:val="000000"/>
          <w:szCs w:val="24"/>
        </w:rPr>
        <w:t xml:space="preserve">four </w:t>
      </w:r>
      <w:r w:rsidR="00C70CC0" w:rsidRPr="00333DA5">
        <w:rPr>
          <w:color w:val="000000"/>
          <w:szCs w:val="24"/>
        </w:rPr>
        <w:t xml:space="preserve">months before </w:t>
      </w:r>
      <w:r w:rsidR="00C721DE" w:rsidRPr="00333DA5">
        <w:rPr>
          <w:color w:val="000000"/>
          <w:szCs w:val="24"/>
        </w:rPr>
        <w:t xml:space="preserve">serving it </w:t>
      </w:r>
      <w:r w:rsidR="00C70CC0" w:rsidRPr="00333DA5">
        <w:rPr>
          <w:color w:val="000000"/>
          <w:szCs w:val="24"/>
        </w:rPr>
        <w:t>on the husband</w:t>
      </w:r>
      <w:r w:rsidR="00C721DE" w:rsidRPr="00333DA5">
        <w:rPr>
          <w:color w:val="000000"/>
          <w:szCs w:val="24"/>
        </w:rPr>
        <w:t>;</w:t>
      </w:r>
      <w:r w:rsidR="00961691" w:rsidRPr="00333DA5">
        <w:rPr>
          <w:color w:val="000000"/>
          <w:szCs w:val="24"/>
        </w:rPr>
        <w:t xml:space="preserve"> when she did so, </w:t>
      </w:r>
      <w:r w:rsidR="00C721DE" w:rsidRPr="00333DA5">
        <w:rPr>
          <w:color w:val="000000"/>
          <w:szCs w:val="24"/>
        </w:rPr>
        <w:t xml:space="preserve">she </w:t>
      </w:r>
      <w:r w:rsidR="007224F7" w:rsidRPr="00333DA5">
        <w:rPr>
          <w:color w:val="000000"/>
          <w:szCs w:val="24"/>
        </w:rPr>
        <w:t xml:space="preserve">did not in </w:t>
      </w:r>
      <w:r w:rsidR="00C721DE" w:rsidRPr="00333DA5">
        <w:rPr>
          <w:color w:val="000000"/>
          <w:szCs w:val="24"/>
        </w:rPr>
        <w:t xml:space="preserve">fact </w:t>
      </w:r>
      <w:r w:rsidR="000F1F73" w:rsidRPr="00333DA5">
        <w:rPr>
          <w:color w:val="000000"/>
          <w:szCs w:val="24"/>
        </w:rPr>
        <w:t>provide</w:t>
      </w:r>
      <w:r w:rsidR="007224F7" w:rsidRPr="00333DA5">
        <w:rPr>
          <w:color w:val="000000"/>
          <w:szCs w:val="24"/>
        </w:rPr>
        <w:t xml:space="preserve"> </w:t>
      </w:r>
      <w:r w:rsidR="000F1F73" w:rsidRPr="00333DA5">
        <w:rPr>
          <w:color w:val="000000"/>
          <w:szCs w:val="24"/>
        </w:rPr>
        <w:t xml:space="preserve">sufficient details </w:t>
      </w:r>
      <w:r w:rsidR="007224F7" w:rsidRPr="00333DA5">
        <w:rPr>
          <w:color w:val="000000"/>
          <w:szCs w:val="24"/>
        </w:rPr>
        <w:t xml:space="preserve">of the husband’s address </w:t>
      </w:r>
      <w:r w:rsidR="000F1F73" w:rsidRPr="00333DA5">
        <w:rPr>
          <w:color w:val="000000"/>
          <w:szCs w:val="24"/>
        </w:rPr>
        <w:t xml:space="preserve">to allow for </w:t>
      </w:r>
      <w:r w:rsidR="007224F7" w:rsidRPr="00333DA5">
        <w:rPr>
          <w:color w:val="000000"/>
          <w:szCs w:val="24"/>
        </w:rPr>
        <w:t xml:space="preserve">effective </w:t>
      </w:r>
      <w:r w:rsidR="000F1F73" w:rsidRPr="00333DA5">
        <w:rPr>
          <w:color w:val="000000"/>
          <w:szCs w:val="24"/>
        </w:rPr>
        <w:t>service</w:t>
      </w:r>
      <w:r w:rsidR="00F37EC3" w:rsidRPr="00333DA5">
        <w:rPr>
          <w:color w:val="000000"/>
          <w:szCs w:val="24"/>
        </w:rPr>
        <w:t xml:space="preserve">.  The </w:t>
      </w:r>
      <w:r w:rsidR="00D81AEA" w:rsidRPr="00333DA5">
        <w:rPr>
          <w:color w:val="000000"/>
          <w:szCs w:val="24"/>
        </w:rPr>
        <w:t>first instance c</w:t>
      </w:r>
      <w:r w:rsidR="00F37EC3" w:rsidRPr="00333DA5">
        <w:rPr>
          <w:color w:val="000000"/>
          <w:szCs w:val="24"/>
        </w:rPr>
        <w:t xml:space="preserve">ourt did not embark on any </w:t>
      </w:r>
      <w:r w:rsidR="00EC001A" w:rsidRPr="00333DA5">
        <w:rPr>
          <w:color w:val="000000"/>
          <w:szCs w:val="24"/>
        </w:rPr>
        <w:t>factual enquiry into her reasons for delay</w:t>
      </w:r>
      <w:r w:rsidR="007224F7" w:rsidRPr="00333DA5">
        <w:rPr>
          <w:color w:val="000000"/>
          <w:szCs w:val="24"/>
        </w:rPr>
        <w:t>ing</w:t>
      </w:r>
      <w:r w:rsidR="00813D5E" w:rsidRPr="00333DA5">
        <w:rPr>
          <w:color w:val="000000"/>
          <w:szCs w:val="24"/>
        </w:rPr>
        <w:t xml:space="preserve"> service, a point which was not criticised on appeal</w:t>
      </w:r>
      <w:r w:rsidR="00EC001A" w:rsidRPr="00333DA5">
        <w:rPr>
          <w:color w:val="000000"/>
          <w:szCs w:val="24"/>
        </w:rPr>
        <w:t xml:space="preserve"> (see §</w:t>
      </w:r>
      <w:r w:rsidR="00063E98" w:rsidRPr="00333DA5">
        <w:rPr>
          <w:color w:val="000000"/>
          <w:szCs w:val="24"/>
        </w:rPr>
        <w:t xml:space="preserve">8 of </w:t>
      </w:r>
      <w:r w:rsidR="00063E98" w:rsidRPr="00333DA5">
        <w:rPr>
          <w:i/>
          <w:iCs/>
          <w:color w:val="000000"/>
          <w:szCs w:val="24"/>
        </w:rPr>
        <w:t>Thum</w:t>
      </w:r>
      <w:r w:rsidR="001A7F52" w:rsidRPr="00333DA5">
        <w:rPr>
          <w:color w:val="000000"/>
          <w:szCs w:val="24"/>
        </w:rPr>
        <w:t>: “</w:t>
      </w:r>
      <w:bookmarkStart w:id="19" w:name="para8"/>
      <w:r w:rsidR="001A7F52" w:rsidRPr="00333DA5">
        <w:rPr>
          <w:color w:val="000000"/>
          <w:szCs w:val="24"/>
        </w:rPr>
        <w:t>rightly in my view in the circumstances of this case, Mostyn J does not appear to have been invited to explore the reasons why the wife had acted as she did</w:t>
      </w:r>
      <w:bookmarkEnd w:id="19"/>
      <w:r w:rsidR="00AD30CB" w:rsidRPr="00333DA5">
        <w:rPr>
          <w:color w:val="000000"/>
          <w:szCs w:val="24"/>
        </w:rPr>
        <w:t>”).</w:t>
      </w:r>
      <w:r w:rsidR="00063E98" w:rsidRPr="00333DA5">
        <w:rPr>
          <w:color w:val="000000"/>
          <w:szCs w:val="24"/>
        </w:rPr>
        <w:t xml:space="preserve">  </w:t>
      </w:r>
      <w:r w:rsidR="00F21189" w:rsidRPr="00333DA5">
        <w:rPr>
          <w:color w:val="000000"/>
          <w:szCs w:val="24"/>
        </w:rPr>
        <w:t>In giving the leading judgme</w:t>
      </w:r>
      <w:r w:rsidR="00F37EC3" w:rsidRPr="00333DA5">
        <w:rPr>
          <w:color w:val="000000"/>
          <w:szCs w:val="24"/>
        </w:rPr>
        <w:t>n</w:t>
      </w:r>
      <w:r w:rsidR="00F21189" w:rsidRPr="00333DA5">
        <w:rPr>
          <w:color w:val="000000"/>
          <w:szCs w:val="24"/>
        </w:rPr>
        <w:t xml:space="preserve">t </w:t>
      </w:r>
      <w:r w:rsidR="00D81AEA" w:rsidRPr="00333DA5">
        <w:rPr>
          <w:color w:val="000000"/>
          <w:szCs w:val="24"/>
        </w:rPr>
        <w:t xml:space="preserve">on appeal, </w:t>
      </w:r>
      <w:r w:rsidR="00343A1C" w:rsidRPr="00333DA5">
        <w:rPr>
          <w:color w:val="000000"/>
          <w:szCs w:val="24"/>
        </w:rPr>
        <w:t xml:space="preserve">Moylan LJ considered </w:t>
      </w:r>
      <w:r w:rsidR="00AD30CB" w:rsidRPr="00333DA5">
        <w:rPr>
          <w:color w:val="000000"/>
          <w:szCs w:val="24"/>
        </w:rPr>
        <w:t xml:space="preserve">extensively </w:t>
      </w:r>
      <w:r w:rsidR="00343A1C" w:rsidRPr="00333DA5">
        <w:rPr>
          <w:color w:val="000000"/>
          <w:szCs w:val="24"/>
        </w:rPr>
        <w:t xml:space="preserve">the dicta of the Court of Appeal </w:t>
      </w:r>
      <w:r w:rsidR="00163466" w:rsidRPr="00333DA5">
        <w:rPr>
          <w:color w:val="000000"/>
          <w:szCs w:val="24"/>
        </w:rPr>
        <w:t xml:space="preserve">in the case of </w:t>
      </w:r>
      <w:r w:rsidR="00F805E6" w:rsidRPr="00333DA5">
        <w:rPr>
          <w:i/>
          <w:iCs/>
          <w:color w:val="000000"/>
          <w:szCs w:val="24"/>
        </w:rPr>
        <w:t>Debt Collect London Ltd and another v SK Slavia Praha-Fotbal AS</w:t>
      </w:r>
      <w:r w:rsidR="00F805E6" w:rsidRPr="00333DA5">
        <w:rPr>
          <w:color w:val="000000"/>
          <w:szCs w:val="24"/>
        </w:rPr>
        <w:t> </w:t>
      </w:r>
      <w:r w:rsidR="00F805E6" w:rsidRPr="00333DA5">
        <w:rPr>
          <w:szCs w:val="24"/>
        </w:rPr>
        <w:t>[2011] 1 WLR 866</w:t>
      </w:r>
      <w:r w:rsidR="00F805E6" w:rsidRPr="00333DA5">
        <w:rPr>
          <w:color w:val="000000"/>
          <w:szCs w:val="24"/>
        </w:rPr>
        <w:t xml:space="preserve"> (‘</w:t>
      </w:r>
      <w:r w:rsidR="00F805E6" w:rsidRPr="00333DA5">
        <w:rPr>
          <w:i/>
          <w:iCs/>
          <w:color w:val="000000"/>
          <w:szCs w:val="24"/>
        </w:rPr>
        <w:t>Debt Collect</w:t>
      </w:r>
      <w:r w:rsidR="00F805E6" w:rsidRPr="00333DA5">
        <w:rPr>
          <w:color w:val="000000"/>
          <w:szCs w:val="24"/>
        </w:rPr>
        <w:t>’)</w:t>
      </w:r>
      <w:r w:rsidR="00D81AEA" w:rsidRPr="00333DA5">
        <w:rPr>
          <w:color w:val="000000"/>
          <w:szCs w:val="24"/>
        </w:rPr>
        <w:t xml:space="preserve"> in which </w:t>
      </w:r>
      <w:r w:rsidR="00773169" w:rsidRPr="00333DA5">
        <w:rPr>
          <w:color w:val="000000"/>
          <w:szCs w:val="24"/>
        </w:rPr>
        <w:t xml:space="preserve">Lloyd LJ had </w:t>
      </w:r>
      <w:r w:rsidR="00D81AEA" w:rsidRPr="00333DA5">
        <w:rPr>
          <w:color w:val="000000"/>
          <w:szCs w:val="24"/>
        </w:rPr>
        <w:t xml:space="preserve">determined </w:t>
      </w:r>
      <w:r w:rsidR="003E279F" w:rsidRPr="00333DA5">
        <w:rPr>
          <w:color w:val="000000"/>
          <w:szCs w:val="24"/>
        </w:rPr>
        <w:t xml:space="preserve">(in an </w:t>
      </w:r>
      <w:r w:rsidR="003E279F" w:rsidRPr="00333DA5">
        <w:rPr>
          <w:color w:val="000000"/>
          <w:szCs w:val="24"/>
        </w:rPr>
        <w:lastRenderedPageBreak/>
        <w:t xml:space="preserve">equivalent provision to </w:t>
      </w:r>
      <w:r w:rsidR="003E279F" w:rsidRPr="00333DA5">
        <w:rPr>
          <w:i/>
          <w:iCs/>
          <w:color w:val="000000"/>
          <w:szCs w:val="24"/>
        </w:rPr>
        <w:t>Article 16</w:t>
      </w:r>
      <w:r w:rsidR="00D95E0E" w:rsidRPr="00333DA5">
        <w:rPr>
          <w:rStyle w:val="FootnoteReference"/>
          <w:i/>
          <w:iCs/>
          <w:color w:val="000000"/>
          <w:szCs w:val="24"/>
        </w:rPr>
        <w:footnoteReference w:id="9"/>
      </w:r>
      <w:r w:rsidR="003E279F" w:rsidRPr="00333DA5">
        <w:rPr>
          <w:color w:val="000000"/>
          <w:szCs w:val="24"/>
        </w:rPr>
        <w:t xml:space="preserve">) </w:t>
      </w:r>
      <w:r w:rsidR="00773169" w:rsidRPr="00333DA5">
        <w:rPr>
          <w:color w:val="000000"/>
          <w:szCs w:val="24"/>
        </w:rPr>
        <w:t xml:space="preserve">that </w:t>
      </w:r>
      <w:r w:rsidR="003E279F" w:rsidRPr="00333DA5">
        <w:rPr>
          <w:color w:val="000000"/>
          <w:szCs w:val="24"/>
        </w:rPr>
        <w:t xml:space="preserve">a ‘failure’ to take a </w:t>
      </w:r>
      <w:r w:rsidR="00056522" w:rsidRPr="00333DA5">
        <w:rPr>
          <w:color w:val="000000"/>
          <w:szCs w:val="24"/>
        </w:rPr>
        <w:t xml:space="preserve">required step to effect service on the respondent had to be a </w:t>
      </w:r>
      <w:r w:rsidR="00E80275" w:rsidRPr="00333DA5">
        <w:rPr>
          <w:color w:val="000000"/>
          <w:szCs w:val="24"/>
        </w:rPr>
        <w:t>‘</w:t>
      </w:r>
      <w:r w:rsidR="00E80275" w:rsidRPr="00333DA5">
        <w:rPr>
          <w:i/>
          <w:iCs/>
          <w:color w:val="000000"/>
          <w:szCs w:val="24"/>
        </w:rPr>
        <w:t>culpable</w:t>
      </w:r>
      <w:r w:rsidR="00E80275" w:rsidRPr="00333DA5">
        <w:rPr>
          <w:color w:val="000000"/>
          <w:szCs w:val="24"/>
        </w:rPr>
        <w:t xml:space="preserve"> failure’:</w:t>
      </w:r>
    </w:p>
    <w:p w14:paraId="6F2AC420" w14:textId="010AD046" w:rsidR="00E80275" w:rsidRPr="00333DA5" w:rsidRDefault="00E80275" w:rsidP="001D0164">
      <w:pPr>
        <w:pStyle w:val="ParaLevel1"/>
        <w:numPr>
          <w:ilvl w:val="0"/>
          <w:numId w:val="0"/>
        </w:numPr>
        <w:ind w:left="1701" w:right="1505"/>
        <w:rPr>
          <w:szCs w:val="24"/>
        </w:rPr>
      </w:pPr>
      <w:r w:rsidRPr="00333DA5">
        <w:rPr>
          <w:color w:val="000000"/>
          <w:szCs w:val="24"/>
        </w:rPr>
        <w:t xml:space="preserve">“One of the issues is what is meant by failure to take steps in this context. It cannot refer only to the fact that the plaintiff has not yet taken the relevant steps. Otherwise, in practice, the court would only be seised once the required steps had been taken, even if they were taken promptly. That is clearly not the result that </w:t>
      </w:r>
      <w:r w:rsidRPr="00333DA5">
        <w:rPr>
          <w:i/>
          <w:iCs/>
          <w:color w:val="000000"/>
          <w:szCs w:val="24"/>
        </w:rPr>
        <w:t>article 30</w:t>
      </w:r>
      <w:r w:rsidRPr="00333DA5">
        <w:rPr>
          <w:color w:val="000000"/>
          <w:szCs w:val="24"/>
        </w:rPr>
        <w:t xml:space="preserve"> is intended to achieve. </w:t>
      </w:r>
      <w:r w:rsidRPr="00333DA5">
        <w:rPr>
          <w:color w:val="000000"/>
          <w:szCs w:val="24"/>
          <w:u w:val="single"/>
        </w:rPr>
        <w:t>The failure must be, in some sense at least, a culpable failure</w:t>
      </w:r>
      <w:r w:rsidRPr="00333DA5">
        <w:rPr>
          <w:color w:val="000000"/>
          <w:szCs w:val="24"/>
        </w:rPr>
        <w:t>.” </w:t>
      </w:r>
      <w:r w:rsidR="006227F1" w:rsidRPr="00333DA5">
        <w:rPr>
          <w:color w:val="000000"/>
          <w:szCs w:val="24"/>
        </w:rPr>
        <w:t>(emphasis added)</w:t>
      </w:r>
    </w:p>
    <w:p w14:paraId="7F160146" w14:textId="76FED1AC" w:rsidR="0065786D" w:rsidRPr="00333DA5" w:rsidRDefault="004D5638" w:rsidP="001D0164">
      <w:pPr>
        <w:pStyle w:val="ParaLevel1"/>
        <w:rPr>
          <w:szCs w:val="24"/>
        </w:rPr>
      </w:pPr>
      <w:r w:rsidRPr="00333DA5">
        <w:rPr>
          <w:szCs w:val="24"/>
        </w:rPr>
        <w:t xml:space="preserve">Moylan LJ went on to consider </w:t>
      </w:r>
      <w:r w:rsidRPr="00333DA5">
        <w:rPr>
          <w:i/>
          <w:iCs/>
          <w:szCs w:val="24"/>
        </w:rPr>
        <w:t>MH v MH</w:t>
      </w:r>
      <w:r w:rsidRPr="00333DA5">
        <w:rPr>
          <w:szCs w:val="24"/>
        </w:rPr>
        <w:t xml:space="preserve"> (see above)</w:t>
      </w:r>
      <w:r w:rsidR="00CA4B47" w:rsidRPr="00333DA5">
        <w:rPr>
          <w:szCs w:val="24"/>
        </w:rPr>
        <w:t>, and cited paragraphs 22-27 of that judgment (which I have largely reproduced at §</w:t>
      </w:r>
      <w:r w:rsidR="00822C80" w:rsidRPr="00333DA5">
        <w:rPr>
          <w:szCs w:val="24"/>
        </w:rPr>
        <w:t>9</w:t>
      </w:r>
      <w:r w:rsidR="00CA4B47" w:rsidRPr="00333DA5">
        <w:rPr>
          <w:szCs w:val="24"/>
        </w:rPr>
        <w:t xml:space="preserve"> above).  </w:t>
      </w:r>
      <w:r w:rsidR="00816B7D" w:rsidRPr="00333DA5">
        <w:rPr>
          <w:szCs w:val="24"/>
        </w:rPr>
        <w:t>Moylan LJ pointed out</w:t>
      </w:r>
      <w:r w:rsidR="0065786D" w:rsidRPr="00333DA5">
        <w:rPr>
          <w:szCs w:val="24"/>
        </w:rPr>
        <w:t xml:space="preserve"> that:</w:t>
      </w:r>
      <w:r w:rsidR="00816B7D" w:rsidRPr="00333DA5">
        <w:rPr>
          <w:szCs w:val="24"/>
        </w:rPr>
        <w:t xml:space="preserve"> </w:t>
      </w:r>
    </w:p>
    <w:p w14:paraId="329BC8EB" w14:textId="08A88156" w:rsidR="0065786D" w:rsidRPr="00333DA5" w:rsidRDefault="0065786D" w:rsidP="001D0164">
      <w:pPr>
        <w:pStyle w:val="ParaLevel1"/>
        <w:numPr>
          <w:ilvl w:val="0"/>
          <w:numId w:val="0"/>
        </w:numPr>
        <w:ind w:left="1701" w:right="1505"/>
        <w:rPr>
          <w:szCs w:val="24"/>
        </w:rPr>
      </w:pPr>
      <w:bookmarkStart w:id="21" w:name="para55"/>
      <w:r w:rsidRPr="00333DA5">
        <w:rPr>
          <w:color w:val="000000"/>
          <w:szCs w:val="24"/>
        </w:rPr>
        <w:t xml:space="preserve">“This case </w:t>
      </w:r>
      <w:r w:rsidR="007A7F30" w:rsidRPr="00333DA5">
        <w:rPr>
          <w:color w:val="000000"/>
          <w:szCs w:val="24"/>
        </w:rPr>
        <w:t xml:space="preserve">[i.e. </w:t>
      </w:r>
      <w:r w:rsidR="007A7F30" w:rsidRPr="00333DA5">
        <w:rPr>
          <w:i/>
          <w:iCs/>
          <w:color w:val="000000"/>
          <w:szCs w:val="24"/>
        </w:rPr>
        <w:t>MH</w:t>
      </w:r>
      <w:r w:rsidR="00EC5DCE" w:rsidRPr="00333DA5">
        <w:rPr>
          <w:color w:val="000000"/>
          <w:szCs w:val="24"/>
        </w:rPr>
        <w:t xml:space="preserve">] </w:t>
      </w:r>
      <w:r w:rsidRPr="00333DA5">
        <w:rPr>
          <w:color w:val="000000"/>
          <w:szCs w:val="24"/>
        </w:rPr>
        <w:t>and the other authorities referred to above also establish, in my view, that in order for the proviso to apply there has to be a failure to comply with a </w:t>
      </w:r>
      <w:r w:rsidRPr="00333DA5">
        <w:rPr>
          <w:i/>
          <w:iCs/>
          <w:color w:val="000000"/>
          <w:szCs w:val="24"/>
        </w:rPr>
        <w:t>specific</w:t>
      </w:r>
      <w:r w:rsidRPr="00333DA5">
        <w:rPr>
          <w:color w:val="000000"/>
          <w:szCs w:val="24"/>
        </w:rPr>
        <w:t> step required by the domestic law in order "to have service effected", not a more general failure to effect service, and that the failure must be due to the </w:t>
      </w:r>
      <w:r w:rsidRPr="00333DA5">
        <w:rPr>
          <w:i/>
          <w:iCs/>
          <w:color w:val="000000"/>
          <w:szCs w:val="24"/>
        </w:rPr>
        <w:t>applicant </w:t>
      </w:r>
      <w:r w:rsidRPr="00333DA5">
        <w:rPr>
          <w:color w:val="000000"/>
          <w:szCs w:val="24"/>
        </w:rPr>
        <w:t>having failed to act diligently by not taking the required step.</w:t>
      </w:r>
      <w:bookmarkEnd w:id="21"/>
      <w:r w:rsidRPr="00333DA5">
        <w:rPr>
          <w:color w:val="000000"/>
          <w:szCs w:val="24"/>
        </w:rPr>
        <w:t xml:space="preserve">” </w:t>
      </w:r>
      <w:r w:rsidRPr="00333DA5">
        <w:rPr>
          <w:szCs w:val="24"/>
        </w:rPr>
        <w:t xml:space="preserve">(§55 of </w:t>
      </w:r>
      <w:r w:rsidRPr="00333DA5">
        <w:rPr>
          <w:i/>
          <w:iCs/>
          <w:szCs w:val="24"/>
        </w:rPr>
        <w:t>Thum</w:t>
      </w:r>
      <w:r w:rsidRPr="00333DA5">
        <w:rPr>
          <w:szCs w:val="24"/>
        </w:rPr>
        <w:t>)</w:t>
      </w:r>
    </w:p>
    <w:p w14:paraId="24C25935" w14:textId="7D178323" w:rsidR="00862BA6" w:rsidRPr="00333DA5" w:rsidRDefault="00862BA6" w:rsidP="001D0164">
      <w:pPr>
        <w:pStyle w:val="ParaLevel1"/>
        <w:rPr>
          <w:szCs w:val="24"/>
        </w:rPr>
      </w:pPr>
      <w:r w:rsidRPr="00333DA5">
        <w:rPr>
          <w:szCs w:val="24"/>
        </w:rPr>
        <w:t xml:space="preserve">As the Court of Appeal had observed in </w:t>
      </w:r>
      <w:r w:rsidRPr="00333DA5">
        <w:rPr>
          <w:i/>
          <w:iCs/>
          <w:szCs w:val="24"/>
        </w:rPr>
        <w:t>MH</w:t>
      </w:r>
      <w:r w:rsidRPr="00333DA5">
        <w:rPr>
          <w:szCs w:val="24"/>
        </w:rPr>
        <w:t xml:space="preserve">, so he too described the “overarching purpose” of the proviso </w:t>
      </w:r>
      <w:r w:rsidR="00EC5DCE" w:rsidRPr="00333DA5">
        <w:rPr>
          <w:szCs w:val="24"/>
        </w:rPr>
        <w:t xml:space="preserve">in </w:t>
      </w:r>
      <w:r w:rsidR="00EC5DCE" w:rsidRPr="00333DA5">
        <w:rPr>
          <w:i/>
          <w:iCs/>
          <w:szCs w:val="24"/>
        </w:rPr>
        <w:t>Article 16</w:t>
      </w:r>
      <w:r w:rsidR="00EC5DCE" w:rsidRPr="00333DA5">
        <w:rPr>
          <w:szCs w:val="24"/>
        </w:rPr>
        <w:t xml:space="preserve"> </w:t>
      </w:r>
      <w:r w:rsidRPr="00333DA5">
        <w:rPr>
          <w:szCs w:val="24"/>
        </w:rPr>
        <w:t xml:space="preserve">as </w:t>
      </w:r>
      <w:r w:rsidR="00EC5DCE" w:rsidRPr="00333DA5">
        <w:rPr>
          <w:szCs w:val="24"/>
        </w:rPr>
        <w:t xml:space="preserve">the </w:t>
      </w:r>
      <w:r w:rsidRPr="00333DA5">
        <w:rPr>
          <w:szCs w:val="24"/>
        </w:rPr>
        <w:t xml:space="preserve">“protection from abuse of process” (§55 </w:t>
      </w:r>
      <w:r w:rsidRPr="00333DA5">
        <w:rPr>
          <w:i/>
          <w:iCs/>
          <w:szCs w:val="24"/>
        </w:rPr>
        <w:t>Thum</w:t>
      </w:r>
      <w:r w:rsidRPr="00333DA5">
        <w:rPr>
          <w:szCs w:val="24"/>
        </w:rPr>
        <w:t xml:space="preserve">). </w:t>
      </w:r>
    </w:p>
    <w:p w14:paraId="3A708074" w14:textId="38F37748" w:rsidR="00633A9D" w:rsidRPr="00333DA5" w:rsidRDefault="00A27758" w:rsidP="001D0164">
      <w:pPr>
        <w:pStyle w:val="ParaLevel1"/>
        <w:rPr>
          <w:szCs w:val="24"/>
        </w:rPr>
      </w:pPr>
      <w:r w:rsidRPr="00333DA5">
        <w:rPr>
          <w:szCs w:val="24"/>
        </w:rPr>
        <w:t xml:space="preserve">In </w:t>
      </w:r>
      <w:r w:rsidRPr="00333DA5">
        <w:rPr>
          <w:i/>
          <w:iCs/>
          <w:szCs w:val="24"/>
        </w:rPr>
        <w:t>Thum</w:t>
      </w:r>
      <w:r w:rsidR="0000763B" w:rsidRPr="00333DA5">
        <w:rPr>
          <w:szCs w:val="24"/>
        </w:rPr>
        <w:t>,</w:t>
      </w:r>
      <w:r w:rsidRPr="00333DA5">
        <w:rPr>
          <w:szCs w:val="24"/>
        </w:rPr>
        <w:t xml:space="preserve"> </w:t>
      </w:r>
      <w:r w:rsidR="00BB190B" w:rsidRPr="00333DA5">
        <w:rPr>
          <w:szCs w:val="24"/>
        </w:rPr>
        <w:t xml:space="preserve">Moylan LJ </w:t>
      </w:r>
      <w:r w:rsidR="0015255E" w:rsidRPr="00333DA5">
        <w:rPr>
          <w:szCs w:val="24"/>
        </w:rPr>
        <w:t xml:space="preserve">discussed </w:t>
      </w:r>
      <w:r w:rsidR="00507D7B" w:rsidRPr="00333DA5">
        <w:rPr>
          <w:szCs w:val="24"/>
        </w:rPr>
        <w:t>(§</w:t>
      </w:r>
      <w:r w:rsidR="00633A9D" w:rsidRPr="00333DA5">
        <w:rPr>
          <w:szCs w:val="24"/>
        </w:rPr>
        <w:t xml:space="preserve">57-77) </w:t>
      </w:r>
      <w:r w:rsidR="0015255E" w:rsidRPr="00333DA5">
        <w:rPr>
          <w:szCs w:val="24"/>
        </w:rPr>
        <w:t xml:space="preserve">the absence in the </w:t>
      </w:r>
      <w:r w:rsidR="0015255E" w:rsidRPr="00333DA5">
        <w:rPr>
          <w:i/>
          <w:iCs/>
          <w:szCs w:val="24"/>
        </w:rPr>
        <w:t>Family Procedure Rules 2010</w:t>
      </w:r>
      <w:r w:rsidR="0015255E" w:rsidRPr="00333DA5">
        <w:rPr>
          <w:szCs w:val="24"/>
        </w:rPr>
        <w:t xml:space="preserve"> </w:t>
      </w:r>
      <w:r w:rsidR="00CB5D49" w:rsidRPr="00333DA5">
        <w:rPr>
          <w:szCs w:val="24"/>
        </w:rPr>
        <w:t>(‘</w:t>
      </w:r>
      <w:r w:rsidR="00CB5D49" w:rsidRPr="00333DA5">
        <w:rPr>
          <w:i/>
          <w:iCs/>
          <w:szCs w:val="24"/>
        </w:rPr>
        <w:t>FPR 2010</w:t>
      </w:r>
      <w:r w:rsidR="00CB5D49" w:rsidRPr="00333DA5">
        <w:rPr>
          <w:szCs w:val="24"/>
        </w:rPr>
        <w:t xml:space="preserve">’) </w:t>
      </w:r>
      <w:r w:rsidR="0015255E" w:rsidRPr="00333DA5">
        <w:rPr>
          <w:szCs w:val="24"/>
        </w:rPr>
        <w:t xml:space="preserve">of any requirement to serve a petition within a defined period of </w:t>
      </w:r>
      <w:proofErr w:type="gramStart"/>
      <w:r w:rsidR="0015255E" w:rsidRPr="00333DA5">
        <w:rPr>
          <w:szCs w:val="24"/>
        </w:rPr>
        <w:t>time, and</w:t>
      </w:r>
      <w:proofErr w:type="gramEnd"/>
      <w:r w:rsidR="0015255E" w:rsidRPr="00333DA5">
        <w:rPr>
          <w:szCs w:val="24"/>
        </w:rPr>
        <w:t xml:space="preserve"> </w:t>
      </w:r>
      <w:r w:rsidR="00EF41EE" w:rsidRPr="00333DA5">
        <w:rPr>
          <w:szCs w:val="24"/>
        </w:rPr>
        <w:t xml:space="preserve">resisted </w:t>
      </w:r>
      <w:r w:rsidR="0000763B" w:rsidRPr="00333DA5">
        <w:rPr>
          <w:szCs w:val="24"/>
        </w:rPr>
        <w:t xml:space="preserve">counsel’s </w:t>
      </w:r>
      <w:r w:rsidR="00633A9D" w:rsidRPr="00333DA5">
        <w:rPr>
          <w:szCs w:val="24"/>
        </w:rPr>
        <w:t xml:space="preserve">invitation to </w:t>
      </w:r>
      <w:r w:rsidR="00EF41EE" w:rsidRPr="00333DA5">
        <w:rPr>
          <w:szCs w:val="24"/>
        </w:rPr>
        <w:t>import</w:t>
      </w:r>
      <w:r w:rsidR="00633A9D" w:rsidRPr="00333DA5">
        <w:rPr>
          <w:szCs w:val="24"/>
        </w:rPr>
        <w:t xml:space="preserve"> </w:t>
      </w:r>
      <w:r w:rsidR="00EF41EE" w:rsidRPr="00333DA5">
        <w:rPr>
          <w:szCs w:val="24"/>
        </w:rPr>
        <w:t xml:space="preserve">into the </w:t>
      </w:r>
      <w:r w:rsidR="00633A9D" w:rsidRPr="00333DA5">
        <w:rPr>
          <w:i/>
          <w:iCs/>
          <w:szCs w:val="24"/>
        </w:rPr>
        <w:t>FPR 2010</w:t>
      </w:r>
      <w:r w:rsidR="00633A9D" w:rsidRPr="00333DA5">
        <w:rPr>
          <w:szCs w:val="24"/>
        </w:rPr>
        <w:t xml:space="preserve"> </w:t>
      </w:r>
      <w:r w:rsidR="00EF41EE" w:rsidRPr="00333DA5">
        <w:rPr>
          <w:szCs w:val="24"/>
        </w:rPr>
        <w:t xml:space="preserve">any inferred </w:t>
      </w:r>
      <w:r w:rsidR="0000763B" w:rsidRPr="00333DA5">
        <w:rPr>
          <w:szCs w:val="24"/>
        </w:rPr>
        <w:t xml:space="preserve">term </w:t>
      </w:r>
      <w:r w:rsidR="00EF41EE" w:rsidRPr="00333DA5">
        <w:rPr>
          <w:szCs w:val="24"/>
        </w:rPr>
        <w:t xml:space="preserve">as to </w:t>
      </w:r>
      <w:r w:rsidR="00507D7B" w:rsidRPr="00333DA5">
        <w:rPr>
          <w:szCs w:val="24"/>
        </w:rPr>
        <w:t xml:space="preserve">service within a reasonable period of time, or as soon as practicable.  </w:t>
      </w:r>
      <w:r w:rsidR="00633A9D" w:rsidRPr="00333DA5">
        <w:rPr>
          <w:szCs w:val="24"/>
        </w:rPr>
        <w:t xml:space="preserve">Moylan LJ </w:t>
      </w:r>
      <w:r w:rsidR="0016292B" w:rsidRPr="00333DA5">
        <w:rPr>
          <w:szCs w:val="24"/>
        </w:rPr>
        <w:t xml:space="preserve">was clear that </w:t>
      </w:r>
      <w:bookmarkStart w:id="22" w:name="para74"/>
      <w:r w:rsidR="005F0C1A" w:rsidRPr="00333DA5">
        <w:rPr>
          <w:szCs w:val="24"/>
        </w:rPr>
        <w:t>there are no specific required steps in relation to the service of a petition (§</w:t>
      </w:r>
      <w:r w:rsidR="00704046" w:rsidRPr="00333DA5">
        <w:rPr>
          <w:szCs w:val="24"/>
        </w:rPr>
        <w:t xml:space="preserve">76) and, for the avoidance of doubt, </w:t>
      </w:r>
      <w:r w:rsidR="00AA1BA4" w:rsidRPr="00333DA5">
        <w:rPr>
          <w:szCs w:val="24"/>
        </w:rPr>
        <w:t xml:space="preserve">a </w:t>
      </w:r>
      <w:r w:rsidR="0016292B" w:rsidRPr="00333DA5">
        <w:rPr>
          <w:color w:val="000000"/>
          <w:szCs w:val="24"/>
        </w:rPr>
        <w:t xml:space="preserve">petitioner is </w:t>
      </w:r>
      <w:r w:rsidR="00AA1BA4" w:rsidRPr="00333DA5">
        <w:rPr>
          <w:i/>
          <w:iCs/>
          <w:color w:val="000000"/>
          <w:szCs w:val="24"/>
          <w:u w:val="single"/>
        </w:rPr>
        <w:t>not</w:t>
      </w:r>
      <w:r w:rsidR="00AA1BA4" w:rsidRPr="00333DA5">
        <w:rPr>
          <w:color w:val="000000"/>
          <w:szCs w:val="24"/>
        </w:rPr>
        <w:t xml:space="preserve"> “</w:t>
      </w:r>
      <w:r w:rsidR="0016292B" w:rsidRPr="00333DA5">
        <w:rPr>
          <w:color w:val="000000"/>
          <w:szCs w:val="24"/>
        </w:rPr>
        <w:t>required immediately to embark on effecting service</w:t>
      </w:r>
      <w:r w:rsidR="00AA1BA4" w:rsidRPr="00333DA5">
        <w:rPr>
          <w:color w:val="000000"/>
          <w:szCs w:val="24"/>
        </w:rPr>
        <w:t>” (§74)</w:t>
      </w:r>
      <w:r w:rsidR="00EE3EC2" w:rsidRPr="00333DA5">
        <w:rPr>
          <w:color w:val="000000"/>
          <w:szCs w:val="24"/>
        </w:rPr>
        <w:t xml:space="preserve">, even if the result of this analysis may lead to results which are </w:t>
      </w:r>
      <w:r w:rsidR="00862BA6" w:rsidRPr="00333DA5">
        <w:rPr>
          <w:color w:val="000000"/>
          <w:szCs w:val="24"/>
        </w:rPr>
        <w:t>“not entirely satisfactory” (§77)</w:t>
      </w:r>
      <w:r w:rsidR="0016292B" w:rsidRPr="00333DA5">
        <w:rPr>
          <w:color w:val="000000"/>
          <w:szCs w:val="24"/>
        </w:rPr>
        <w:t>.</w:t>
      </w:r>
      <w:bookmarkEnd w:id="22"/>
    </w:p>
    <w:p w14:paraId="1ADCCFB0" w14:textId="2F79813A" w:rsidR="001721F7" w:rsidRPr="00333DA5" w:rsidRDefault="001721F7" w:rsidP="001D0164">
      <w:pPr>
        <w:pStyle w:val="ParaLevel1"/>
        <w:numPr>
          <w:ilvl w:val="0"/>
          <w:numId w:val="0"/>
        </w:numPr>
        <w:rPr>
          <w:i/>
          <w:iCs/>
          <w:szCs w:val="24"/>
        </w:rPr>
      </w:pPr>
      <w:r w:rsidRPr="00333DA5">
        <w:rPr>
          <w:i/>
          <w:iCs/>
          <w:szCs w:val="24"/>
        </w:rPr>
        <w:t>Arguments</w:t>
      </w:r>
    </w:p>
    <w:p w14:paraId="6BB3E659" w14:textId="6D11AD29" w:rsidR="00886B3D" w:rsidRPr="00333DA5" w:rsidRDefault="003D75B5" w:rsidP="001D0164">
      <w:pPr>
        <w:pStyle w:val="ParaLevel1"/>
        <w:rPr>
          <w:szCs w:val="24"/>
        </w:rPr>
      </w:pPr>
      <w:r w:rsidRPr="00333DA5">
        <w:rPr>
          <w:szCs w:val="24"/>
        </w:rPr>
        <w:t xml:space="preserve">On behalf of the husband, </w:t>
      </w:r>
      <w:r w:rsidR="001721F7" w:rsidRPr="00333DA5">
        <w:rPr>
          <w:szCs w:val="24"/>
        </w:rPr>
        <w:t>Mr Birch argue</w:t>
      </w:r>
      <w:r w:rsidR="00C478D4" w:rsidRPr="00333DA5">
        <w:rPr>
          <w:szCs w:val="24"/>
        </w:rPr>
        <w:t>d</w:t>
      </w:r>
      <w:r w:rsidR="001721F7" w:rsidRPr="00333DA5">
        <w:rPr>
          <w:szCs w:val="24"/>
        </w:rPr>
        <w:t xml:space="preserve"> that </w:t>
      </w:r>
      <w:r w:rsidR="00DC14AC" w:rsidRPr="00333DA5">
        <w:rPr>
          <w:szCs w:val="24"/>
        </w:rPr>
        <w:t xml:space="preserve">on the material now </w:t>
      </w:r>
      <w:proofErr w:type="gramStart"/>
      <w:r w:rsidR="00DC14AC" w:rsidRPr="00333DA5">
        <w:rPr>
          <w:szCs w:val="24"/>
        </w:rPr>
        <w:t>available it is clear that</w:t>
      </w:r>
      <w:r w:rsidR="001547D3">
        <w:rPr>
          <w:szCs w:val="24"/>
        </w:rPr>
        <w:t>, contrary</w:t>
      </w:r>
      <w:proofErr w:type="gramEnd"/>
      <w:r w:rsidR="001547D3">
        <w:rPr>
          <w:szCs w:val="24"/>
        </w:rPr>
        <w:t xml:space="preserve"> to my </w:t>
      </w:r>
      <w:r w:rsidR="00F948AF">
        <w:rPr>
          <w:szCs w:val="24"/>
        </w:rPr>
        <w:t>earlier finding,</w:t>
      </w:r>
      <w:r w:rsidR="00DC14AC" w:rsidRPr="00333DA5">
        <w:rPr>
          <w:szCs w:val="24"/>
        </w:rPr>
        <w:t xml:space="preserve"> </w:t>
      </w:r>
      <w:r w:rsidR="001721F7" w:rsidRPr="00333DA5">
        <w:rPr>
          <w:szCs w:val="24"/>
        </w:rPr>
        <w:t xml:space="preserve">the English petition was not ‘lodged’ </w:t>
      </w:r>
      <w:r w:rsidR="00F948AF">
        <w:rPr>
          <w:szCs w:val="24"/>
        </w:rPr>
        <w:t>on 12 January 2020</w:t>
      </w:r>
      <w:r w:rsidR="00F22015" w:rsidRPr="00333DA5">
        <w:rPr>
          <w:szCs w:val="24"/>
        </w:rPr>
        <w:t xml:space="preserve">.  </w:t>
      </w:r>
      <w:r w:rsidR="00BD531E" w:rsidRPr="00333DA5">
        <w:rPr>
          <w:szCs w:val="24"/>
        </w:rPr>
        <w:t xml:space="preserve">He contends that for </w:t>
      </w:r>
      <w:r w:rsidR="00177A45" w:rsidRPr="00333DA5">
        <w:rPr>
          <w:i/>
          <w:iCs/>
          <w:szCs w:val="24"/>
        </w:rPr>
        <w:t>three</w:t>
      </w:r>
      <w:r w:rsidR="00177A45" w:rsidRPr="00333DA5">
        <w:rPr>
          <w:szCs w:val="24"/>
        </w:rPr>
        <w:t xml:space="preserve"> </w:t>
      </w:r>
      <w:r w:rsidR="00886B3D" w:rsidRPr="00333DA5">
        <w:rPr>
          <w:szCs w:val="24"/>
        </w:rPr>
        <w:t xml:space="preserve">reasons the petition was not ‘lodged’ </w:t>
      </w:r>
      <w:r w:rsidR="00F948AF">
        <w:rPr>
          <w:szCs w:val="24"/>
        </w:rPr>
        <w:t xml:space="preserve">until </w:t>
      </w:r>
      <w:r w:rsidR="00F948AF" w:rsidRPr="00333DA5">
        <w:rPr>
          <w:szCs w:val="24"/>
        </w:rPr>
        <w:t>after 20 February 2020</w:t>
      </w:r>
      <w:r w:rsidR="00886B3D" w:rsidRPr="00333DA5">
        <w:rPr>
          <w:szCs w:val="24"/>
        </w:rPr>
        <w:t>:</w:t>
      </w:r>
    </w:p>
    <w:p w14:paraId="5BDD5A48" w14:textId="0B8AA39C" w:rsidR="001721F7" w:rsidRPr="00333DA5" w:rsidRDefault="00886B3D" w:rsidP="001D0164">
      <w:pPr>
        <w:pStyle w:val="ParaLevel2"/>
        <w:rPr>
          <w:szCs w:val="24"/>
        </w:rPr>
      </w:pPr>
      <w:r w:rsidRPr="00333DA5">
        <w:rPr>
          <w:szCs w:val="24"/>
        </w:rPr>
        <w:t xml:space="preserve">Because the marriage certificate was not </w:t>
      </w:r>
      <w:r w:rsidR="000C3BDC" w:rsidRPr="00333DA5">
        <w:rPr>
          <w:szCs w:val="24"/>
        </w:rPr>
        <w:t xml:space="preserve">attached </w:t>
      </w:r>
      <w:r w:rsidR="00C478D4" w:rsidRPr="00333DA5">
        <w:rPr>
          <w:szCs w:val="24"/>
        </w:rPr>
        <w:t xml:space="preserve">to the petition on 12 January 2020 </w:t>
      </w:r>
      <w:r w:rsidR="000C3BDC" w:rsidRPr="00333DA5">
        <w:rPr>
          <w:szCs w:val="24"/>
        </w:rPr>
        <w:t>in a form which could be opened</w:t>
      </w:r>
      <w:r w:rsidR="00C478D4" w:rsidRPr="00333DA5">
        <w:rPr>
          <w:szCs w:val="24"/>
        </w:rPr>
        <w:t xml:space="preserve"> at the CTSC</w:t>
      </w:r>
      <w:r w:rsidR="000C3BDC" w:rsidRPr="00333DA5">
        <w:rPr>
          <w:szCs w:val="24"/>
        </w:rPr>
        <w:t>, and the petition could not therefore be processed</w:t>
      </w:r>
      <w:r w:rsidR="00C4000B" w:rsidRPr="00333DA5">
        <w:rPr>
          <w:szCs w:val="24"/>
        </w:rPr>
        <w:t xml:space="preserve"> on</w:t>
      </w:r>
      <w:r w:rsidR="00FF712D" w:rsidRPr="00333DA5">
        <w:rPr>
          <w:szCs w:val="24"/>
        </w:rPr>
        <w:t xml:space="preserve">, or immediately after, 12 January </w:t>
      </w:r>
      <w:proofErr w:type="gramStart"/>
      <w:r w:rsidR="00FF712D" w:rsidRPr="00333DA5">
        <w:rPr>
          <w:szCs w:val="24"/>
        </w:rPr>
        <w:t>2020</w:t>
      </w:r>
      <w:r w:rsidR="000C3BDC" w:rsidRPr="00333DA5">
        <w:rPr>
          <w:szCs w:val="24"/>
        </w:rPr>
        <w:t>;</w:t>
      </w:r>
      <w:proofErr w:type="gramEnd"/>
    </w:p>
    <w:p w14:paraId="60EB93A5" w14:textId="3F2944B6" w:rsidR="000C3BDC" w:rsidRPr="00333DA5" w:rsidRDefault="000C3BDC" w:rsidP="001D0164">
      <w:pPr>
        <w:pStyle w:val="ParaLevel2"/>
        <w:rPr>
          <w:szCs w:val="24"/>
        </w:rPr>
      </w:pPr>
      <w:r w:rsidRPr="00333DA5">
        <w:rPr>
          <w:szCs w:val="24"/>
        </w:rPr>
        <w:lastRenderedPageBreak/>
        <w:t xml:space="preserve">That the wife had </w:t>
      </w:r>
      <w:r w:rsidR="002A7D5E" w:rsidRPr="00333DA5">
        <w:rPr>
          <w:szCs w:val="24"/>
        </w:rPr>
        <w:t xml:space="preserve">not provided </w:t>
      </w:r>
      <w:r w:rsidR="00E412F8" w:rsidRPr="00333DA5">
        <w:rPr>
          <w:szCs w:val="24"/>
        </w:rPr>
        <w:t xml:space="preserve">a </w:t>
      </w:r>
      <w:r w:rsidR="002A7D5E" w:rsidRPr="00333DA5">
        <w:rPr>
          <w:szCs w:val="24"/>
        </w:rPr>
        <w:t>clear address for herself</w:t>
      </w:r>
      <w:r w:rsidR="00FF712D" w:rsidRPr="00333DA5">
        <w:rPr>
          <w:szCs w:val="24"/>
        </w:rPr>
        <w:t xml:space="preserve"> in the petition, and </w:t>
      </w:r>
      <w:r w:rsidR="00E412F8" w:rsidRPr="00333DA5">
        <w:rPr>
          <w:szCs w:val="24"/>
        </w:rPr>
        <w:t xml:space="preserve">the issue of her address </w:t>
      </w:r>
      <w:r w:rsidR="00FF712D" w:rsidRPr="00333DA5">
        <w:rPr>
          <w:szCs w:val="24"/>
        </w:rPr>
        <w:t>was not resolved until 19 February 2020 (</w:t>
      </w:r>
      <w:r w:rsidR="00535E8B" w:rsidRPr="00333DA5">
        <w:rPr>
          <w:szCs w:val="24"/>
        </w:rPr>
        <w:t>i.e.,</w:t>
      </w:r>
      <w:r w:rsidR="00FF712D" w:rsidRPr="00333DA5">
        <w:rPr>
          <w:szCs w:val="24"/>
        </w:rPr>
        <w:t xml:space="preserve"> after the </w:t>
      </w:r>
      <w:r w:rsidR="00E412F8" w:rsidRPr="00333DA5">
        <w:rPr>
          <w:szCs w:val="24"/>
        </w:rPr>
        <w:t xml:space="preserve">date on which the </w:t>
      </w:r>
      <w:r w:rsidR="00FF712D" w:rsidRPr="00333DA5">
        <w:rPr>
          <w:szCs w:val="24"/>
        </w:rPr>
        <w:t>husband’s petition ha</w:t>
      </w:r>
      <w:r w:rsidR="00E412F8" w:rsidRPr="00333DA5">
        <w:rPr>
          <w:szCs w:val="24"/>
        </w:rPr>
        <w:t xml:space="preserve">d </w:t>
      </w:r>
      <w:r w:rsidR="00FF712D" w:rsidRPr="00333DA5">
        <w:rPr>
          <w:szCs w:val="24"/>
        </w:rPr>
        <w:t>been issued in Bulgaria</w:t>
      </w:r>
      <w:proofErr w:type="gramStart"/>
      <w:r w:rsidR="00FF712D" w:rsidRPr="00333DA5">
        <w:rPr>
          <w:szCs w:val="24"/>
        </w:rPr>
        <w:t>)</w:t>
      </w:r>
      <w:r w:rsidR="002A7D5E" w:rsidRPr="00333DA5">
        <w:rPr>
          <w:szCs w:val="24"/>
        </w:rPr>
        <w:t>;</w:t>
      </w:r>
      <w:proofErr w:type="gramEnd"/>
    </w:p>
    <w:p w14:paraId="1C6A36AB" w14:textId="6102C55C" w:rsidR="0027162C" w:rsidRPr="00333DA5" w:rsidRDefault="002A7D5E" w:rsidP="001D0164">
      <w:pPr>
        <w:pStyle w:val="ParaLevel2"/>
        <w:rPr>
          <w:szCs w:val="24"/>
        </w:rPr>
      </w:pPr>
      <w:r w:rsidRPr="00333DA5">
        <w:rPr>
          <w:szCs w:val="24"/>
        </w:rPr>
        <w:t xml:space="preserve">That </w:t>
      </w:r>
      <w:r w:rsidR="0020117E">
        <w:rPr>
          <w:szCs w:val="24"/>
        </w:rPr>
        <w:t xml:space="preserve">by telephone and/or e-mail </w:t>
      </w:r>
      <w:r w:rsidR="001B1050" w:rsidRPr="00333DA5">
        <w:rPr>
          <w:szCs w:val="24"/>
        </w:rPr>
        <w:t xml:space="preserve">on </w:t>
      </w:r>
      <w:r w:rsidR="005939F0" w:rsidRPr="00333DA5">
        <w:rPr>
          <w:szCs w:val="24"/>
        </w:rPr>
        <w:t xml:space="preserve">13 January </w:t>
      </w:r>
      <w:r w:rsidR="0020117E">
        <w:rPr>
          <w:szCs w:val="24"/>
        </w:rPr>
        <w:t xml:space="preserve">2020 </w:t>
      </w:r>
      <w:r w:rsidR="00EA69B0" w:rsidRPr="00333DA5">
        <w:rPr>
          <w:szCs w:val="24"/>
        </w:rPr>
        <w:t xml:space="preserve">and again on 4 February </w:t>
      </w:r>
      <w:r w:rsidR="0020117E">
        <w:rPr>
          <w:szCs w:val="24"/>
        </w:rPr>
        <w:t xml:space="preserve">2020 </w:t>
      </w:r>
      <w:r w:rsidRPr="00333DA5">
        <w:rPr>
          <w:szCs w:val="24"/>
        </w:rPr>
        <w:t xml:space="preserve">the wife had specifically asked the CTSC </w:t>
      </w:r>
      <w:r w:rsidR="005939F0" w:rsidRPr="00333DA5">
        <w:rPr>
          <w:szCs w:val="24"/>
        </w:rPr>
        <w:t xml:space="preserve">to put the </w:t>
      </w:r>
      <w:r w:rsidRPr="00333DA5">
        <w:rPr>
          <w:szCs w:val="24"/>
        </w:rPr>
        <w:t>petition</w:t>
      </w:r>
      <w:r w:rsidR="005939F0" w:rsidRPr="00333DA5">
        <w:rPr>
          <w:szCs w:val="24"/>
        </w:rPr>
        <w:t xml:space="preserve"> ‘on hold’</w:t>
      </w:r>
      <w:r w:rsidR="007310ED" w:rsidRPr="00333DA5">
        <w:rPr>
          <w:szCs w:val="24"/>
        </w:rPr>
        <w:t>.</w:t>
      </w:r>
    </w:p>
    <w:p w14:paraId="6E6ACA38" w14:textId="3D0A9A0E" w:rsidR="00BD531E" w:rsidRPr="00333DA5" w:rsidRDefault="005314C0" w:rsidP="001D0164">
      <w:pPr>
        <w:pStyle w:val="ParaLevel2"/>
        <w:numPr>
          <w:ilvl w:val="0"/>
          <w:numId w:val="0"/>
        </w:numPr>
        <w:ind w:left="709"/>
        <w:rPr>
          <w:szCs w:val="24"/>
        </w:rPr>
      </w:pPr>
      <w:r w:rsidRPr="00333DA5">
        <w:rPr>
          <w:szCs w:val="24"/>
        </w:rPr>
        <w:t xml:space="preserve">He supported </w:t>
      </w:r>
      <w:r w:rsidR="007310ED" w:rsidRPr="00333DA5">
        <w:rPr>
          <w:szCs w:val="24"/>
        </w:rPr>
        <w:t xml:space="preserve">his contention that any one of those three </w:t>
      </w:r>
      <w:r w:rsidR="00F96BC8" w:rsidRPr="00333DA5">
        <w:rPr>
          <w:szCs w:val="24"/>
        </w:rPr>
        <w:t xml:space="preserve">factors </w:t>
      </w:r>
      <w:r w:rsidR="00F22886" w:rsidRPr="00333DA5">
        <w:rPr>
          <w:szCs w:val="24"/>
        </w:rPr>
        <w:t xml:space="preserve">individually, or all three together </w:t>
      </w:r>
      <w:r w:rsidRPr="00333DA5">
        <w:rPr>
          <w:szCs w:val="24"/>
        </w:rPr>
        <w:t xml:space="preserve">represented </w:t>
      </w:r>
      <w:r w:rsidR="00F96BC8" w:rsidRPr="00333DA5">
        <w:rPr>
          <w:szCs w:val="24"/>
        </w:rPr>
        <w:t>a mater</w:t>
      </w:r>
      <w:r w:rsidRPr="00333DA5">
        <w:rPr>
          <w:szCs w:val="24"/>
        </w:rPr>
        <w:t>i</w:t>
      </w:r>
      <w:r w:rsidR="00F96BC8" w:rsidRPr="00333DA5">
        <w:rPr>
          <w:szCs w:val="24"/>
        </w:rPr>
        <w:t xml:space="preserve">al failure on the part of the wife </w:t>
      </w:r>
      <w:r w:rsidR="005A5D83" w:rsidRPr="00333DA5">
        <w:rPr>
          <w:szCs w:val="24"/>
        </w:rPr>
        <w:t xml:space="preserve">“to take the steps [she] was required to take </w:t>
      </w:r>
      <w:r w:rsidRPr="00333DA5">
        <w:rPr>
          <w:szCs w:val="24"/>
        </w:rPr>
        <w:t>to have service effected on the respondent”</w:t>
      </w:r>
      <w:r w:rsidR="00150BB1">
        <w:rPr>
          <w:szCs w:val="24"/>
        </w:rPr>
        <w:t xml:space="preserve"> (</w:t>
      </w:r>
      <w:r w:rsidR="00150BB1">
        <w:rPr>
          <w:i/>
          <w:iCs/>
          <w:szCs w:val="24"/>
        </w:rPr>
        <w:t>Article 16</w:t>
      </w:r>
      <w:r w:rsidR="00150BB1">
        <w:rPr>
          <w:szCs w:val="24"/>
        </w:rPr>
        <w:t>)</w:t>
      </w:r>
      <w:r w:rsidR="00F96BC8" w:rsidRPr="00333DA5">
        <w:rPr>
          <w:szCs w:val="24"/>
        </w:rPr>
        <w:t xml:space="preserve"> </w:t>
      </w:r>
      <w:r w:rsidR="00F22886" w:rsidRPr="00333DA5">
        <w:rPr>
          <w:szCs w:val="24"/>
        </w:rPr>
        <w:t>by reference to the following points:</w:t>
      </w:r>
    </w:p>
    <w:p w14:paraId="01DCA142" w14:textId="4088384E" w:rsidR="002824EB" w:rsidRPr="00333DA5" w:rsidRDefault="00F96BC8" w:rsidP="001D0164">
      <w:pPr>
        <w:pStyle w:val="ParaLevel2"/>
        <w:rPr>
          <w:szCs w:val="24"/>
        </w:rPr>
      </w:pPr>
      <w:r w:rsidRPr="00333DA5">
        <w:rPr>
          <w:szCs w:val="24"/>
        </w:rPr>
        <w:t xml:space="preserve">The </w:t>
      </w:r>
      <w:r w:rsidR="00F22886" w:rsidRPr="00333DA5">
        <w:rPr>
          <w:szCs w:val="24"/>
        </w:rPr>
        <w:t xml:space="preserve">Operations Manager at the </w:t>
      </w:r>
      <w:r w:rsidRPr="00333DA5">
        <w:rPr>
          <w:szCs w:val="24"/>
        </w:rPr>
        <w:t xml:space="preserve">CTSC considered that </w:t>
      </w:r>
      <w:r w:rsidR="002824EB" w:rsidRPr="00333DA5">
        <w:rPr>
          <w:szCs w:val="24"/>
        </w:rPr>
        <w:t xml:space="preserve">the petition </w:t>
      </w:r>
      <w:r w:rsidRPr="00333DA5">
        <w:rPr>
          <w:szCs w:val="24"/>
        </w:rPr>
        <w:t xml:space="preserve">had </w:t>
      </w:r>
      <w:r w:rsidR="002824EB" w:rsidRPr="00333DA5">
        <w:rPr>
          <w:szCs w:val="24"/>
        </w:rPr>
        <w:t xml:space="preserve">been </w:t>
      </w:r>
      <w:r w:rsidRPr="00333DA5">
        <w:rPr>
          <w:szCs w:val="24"/>
        </w:rPr>
        <w:t>‘rejected’ on 29 January 2020</w:t>
      </w:r>
      <w:r w:rsidR="00D03D14" w:rsidRPr="00333DA5">
        <w:rPr>
          <w:szCs w:val="24"/>
        </w:rPr>
        <w:t xml:space="preserve"> (see §17 above</w:t>
      </w:r>
      <w:proofErr w:type="gramStart"/>
      <w:r w:rsidR="00D03D14" w:rsidRPr="00333DA5">
        <w:rPr>
          <w:szCs w:val="24"/>
        </w:rPr>
        <w:t>)</w:t>
      </w:r>
      <w:r w:rsidR="002824EB" w:rsidRPr="00333DA5">
        <w:rPr>
          <w:szCs w:val="24"/>
        </w:rPr>
        <w:t>;</w:t>
      </w:r>
      <w:proofErr w:type="gramEnd"/>
      <w:r w:rsidR="002824EB" w:rsidRPr="00333DA5">
        <w:rPr>
          <w:szCs w:val="24"/>
        </w:rPr>
        <w:t xml:space="preserve"> </w:t>
      </w:r>
    </w:p>
    <w:p w14:paraId="0213013A" w14:textId="2677F96D" w:rsidR="00F96BC8" w:rsidRPr="00333DA5" w:rsidRDefault="002824EB" w:rsidP="001D0164">
      <w:pPr>
        <w:pStyle w:val="ParaLevel2"/>
        <w:rPr>
          <w:szCs w:val="24"/>
        </w:rPr>
      </w:pPr>
      <w:r w:rsidRPr="00333DA5">
        <w:rPr>
          <w:szCs w:val="24"/>
        </w:rPr>
        <w:t>O</w:t>
      </w:r>
      <w:r w:rsidR="00F96BC8" w:rsidRPr="00333DA5">
        <w:rPr>
          <w:szCs w:val="24"/>
        </w:rPr>
        <w:t xml:space="preserve">n 19 February 2020 </w:t>
      </w:r>
      <w:r w:rsidRPr="00333DA5">
        <w:rPr>
          <w:szCs w:val="24"/>
        </w:rPr>
        <w:t xml:space="preserve">the wife </w:t>
      </w:r>
      <w:r w:rsidR="00F96BC8" w:rsidRPr="00333DA5">
        <w:rPr>
          <w:szCs w:val="24"/>
        </w:rPr>
        <w:t xml:space="preserve">had </w:t>
      </w:r>
      <w:r w:rsidR="00FD6387" w:rsidRPr="00333DA5">
        <w:rPr>
          <w:szCs w:val="24"/>
        </w:rPr>
        <w:t xml:space="preserve">apparently </w:t>
      </w:r>
      <w:r w:rsidR="00F96BC8" w:rsidRPr="00333DA5">
        <w:rPr>
          <w:szCs w:val="24"/>
        </w:rPr>
        <w:t xml:space="preserve">stated </w:t>
      </w:r>
      <w:r w:rsidRPr="00333DA5">
        <w:rPr>
          <w:szCs w:val="24"/>
        </w:rPr>
        <w:t xml:space="preserve">(per the </w:t>
      </w:r>
      <w:r w:rsidR="00FD6387" w:rsidRPr="00333DA5">
        <w:rPr>
          <w:szCs w:val="24"/>
        </w:rPr>
        <w:t xml:space="preserve">attendance </w:t>
      </w:r>
      <w:r w:rsidRPr="00333DA5">
        <w:rPr>
          <w:szCs w:val="24"/>
        </w:rPr>
        <w:t xml:space="preserve">note </w:t>
      </w:r>
      <w:r w:rsidR="00FD6387" w:rsidRPr="00333DA5">
        <w:rPr>
          <w:szCs w:val="24"/>
        </w:rPr>
        <w:t xml:space="preserve">of the CTSC employee) </w:t>
      </w:r>
      <w:r w:rsidR="00F96BC8" w:rsidRPr="00333DA5">
        <w:rPr>
          <w:szCs w:val="24"/>
        </w:rPr>
        <w:t xml:space="preserve">that she wished to “recommence” the divorce; this implies a second discrete process; </w:t>
      </w:r>
      <w:r w:rsidR="00F96BC8" w:rsidRPr="00333DA5">
        <w:rPr>
          <w:color w:val="000000"/>
          <w:szCs w:val="24"/>
        </w:rPr>
        <w:t>(see Chronology in §16 above</w:t>
      </w:r>
      <w:proofErr w:type="gramStart"/>
      <w:r w:rsidR="00F96BC8" w:rsidRPr="00333DA5">
        <w:rPr>
          <w:color w:val="000000"/>
          <w:szCs w:val="24"/>
        </w:rPr>
        <w:t>);</w:t>
      </w:r>
      <w:proofErr w:type="gramEnd"/>
    </w:p>
    <w:p w14:paraId="7DFEC186" w14:textId="50C87365" w:rsidR="006C2546" w:rsidRPr="00333DA5" w:rsidRDefault="0027162C" w:rsidP="001D0164">
      <w:pPr>
        <w:pStyle w:val="ParaLevel2"/>
        <w:rPr>
          <w:szCs w:val="24"/>
        </w:rPr>
      </w:pPr>
      <w:r w:rsidRPr="00333DA5">
        <w:rPr>
          <w:szCs w:val="24"/>
        </w:rPr>
        <w:t xml:space="preserve">That a </w:t>
      </w:r>
      <w:r w:rsidR="00957B3C">
        <w:rPr>
          <w:szCs w:val="24"/>
        </w:rPr>
        <w:t>‘</w:t>
      </w:r>
      <w:r w:rsidR="005445BA" w:rsidRPr="00333DA5">
        <w:rPr>
          <w:szCs w:val="24"/>
        </w:rPr>
        <w:t>second</w:t>
      </w:r>
      <w:r w:rsidR="00957B3C">
        <w:rPr>
          <w:szCs w:val="24"/>
        </w:rPr>
        <w:t>’</w:t>
      </w:r>
      <w:r w:rsidR="005445BA" w:rsidRPr="00333DA5">
        <w:rPr>
          <w:szCs w:val="24"/>
        </w:rPr>
        <w:t xml:space="preserve"> petition had been </w:t>
      </w:r>
      <w:r w:rsidRPr="00333DA5">
        <w:rPr>
          <w:szCs w:val="24"/>
        </w:rPr>
        <w:t xml:space="preserve">issued </w:t>
      </w:r>
      <w:r w:rsidR="005445BA" w:rsidRPr="00333DA5">
        <w:rPr>
          <w:szCs w:val="24"/>
        </w:rPr>
        <w:t>on or about</w:t>
      </w:r>
      <w:r w:rsidR="001B1050" w:rsidRPr="00333DA5">
        <w:rPr>
          <w:szCs w:val="24"/>
        </w:rPr>
        <w:t xml:space="preserve"> </w:t>
      </w:r>
      <w:r w:rsidRPr="00333DA5">
        <w:rPr>
          <w:szCs w:val="24"/>
        </w:rPr>
        <w:t xml:space="preserve">20 February 2020. </w:t>
      </w:r>
      <w:r w:rsidR="005445BA" w:rsidRPr="00333DA5">
        <w:rPr>
          <w:szCs w:val="24"/>
        </w:rPr>
        <w:t xml:space="preserve">Mr Birch </w:t>
      </w:r>
      <w:r w:rsidRPr="00333DA5">
        <w:rPr>
          <w:szCs w:val="24"/>
        </w:rPr>
        <w:t>points out that the wife “has not produced any response to the rejection of the petition on 29 January 2020”. He points to the fact that the wife herself in one of the documents refers to her “first petition” being issued on 29 January 2020 and maintains that the “second petition” was therefore issued on 20 February 2020</w:t>
      </w:r>
      <w:r w:rsidR="008F05F3" w:rsidRPr="00333DA5">
        <w:rPr>
          <w:szCs w:val="24"/>
        </w:rPr>
        <w:t>; he argues that this is “</w:t>
      </w:r>
      <w:r w:rsidRPr="00333DA5">
        <w:rPr>
          <w:szCs w:val="24"/>
        </w:rPr>
        <w:t xml:space="preserve">in effect </w:t>
      </w:r>
      <w:r w:rsidR="008F05F3" w:rsidRPr="00333DA5">
        <w:rPr>
          <w:szCs w:val="24"/>
        </w:rPr>
        <w:t xml:space="preserve">… </w:t>
      </w:r>
      <w:r w:rsidRPr="00333DA5">
        <w:rPr>
          <w:szCs w:val="24"/>
        </w:rPr>
        <w:t>the first petition, because of the previous one being rejected on 29 January 2020</w:t>
      </w:r>
      <w:proofErr w:type="gramStart"/>
      <w:r w:rsidR="008F05F3" w:rsidRPr="00333DA5">
        <w:rPr>
          <w:szCs w:val="24"/>
        </w:rPr>
        <w:t>”</w:t>
      </w:r>
      <w:r w:rsidR="006C2546" w:rsidRPr="00333DA5">
        <w:rPr>
          <w:szCs w:val="24"/>
        </w:rPr>
        <w:t>;</w:t>
      </w:r>
      <w:proofErr w:type="gramEnd"/>
    </w:p>
    <w:p w14:paraId="6A68AC8F" w14:textId="440D1789" w:rsidR="008E2EA7" w:rsidRPr="00333DA5" w:rsidRDefault="008E2EA7" w:rsidP="001D0164">
      <w:pPr>
        <w:pStyle w:val="ParaLevel2"/>
        <w:rPr>
          <w:szCs w:val="24"/>
        </w:rPr>
      </w:pPr>
      <w:r w:rsidRPr="00333DA5">
        <w:rPr>
          <w:szCs w:val="24"/>
        </w:rPr>
        <w:t xml:space="preserve">Within the meaning of </w:t>
      </w:r>
      <w:r w:rsidRPr="00333DA5">
        <w:rPr>
          <w:i/>
          <w:iCs/>
          <w:szCs w:val="24"/>
        </w:rPr>
        <w:t>Article 16</w:t>
      </w:r>
      <w:r w:rsidRPr="00333DA5">
        <w:rPr>
          <w:szCs w:val="24"/>
        </w:rPr>
        <w:t>, TP ‘fail</w:t>
      </w:r>
      <w:r w:rsidR="00A40AB9" w:rsidRPr="00333DA5">
        <w:rPr>
          <w:szCs w:val="24"/>
        </w:rPr>
        <w:t>ed</w:t>
      </w:r>
      <w:r w:rsidRPr="00333DA5">
        <w:rPr>
          <w:szCs w:val="24"/>
        </w:rPr>
        <w:t>’ “</w:t>
      </w:r>
      <w:r w:rsidRPr="00333DA5">
        <w:rPr>
          <w:color w:val="000000"/>
          <w:szCs w:val="24"/>
        </w:rPr>
        <w:t>to take the steps [she] was required to take to have service effected on the respondent”</w:t>
      </w:r>
      <w:r w:rsidR="00A40AB9" w:rsidRPr="00333DA5">
        <w:rPr>
          <w:color w:val="000000"/>
          <w:szCs w:val="24"/>
        </w:rPr>
        <w:t xml:space="preserve"> for many </w:t>
      </w:r>
      <w:proofErr w:type="gramStart"/>
      <w:r w:rsidR="00A40AB9" w:rsidRPr="00333DA5">
        <w:rPr>
          <w:color w:val="000000"/>
          <w:szCs w:val="24"/>
        </w:rPr>
        <w:t>weeks</w:t>
      </w:r>
      <w:r w:rsidRPr="00333DA5">
        <w:rPr>
          <w:color w:val="000000"/>
          <w:szCs w:val="24"/>
        </w:rPr>
        <w:t>;</w:t>
      </w:r>
      <w:proofErr w:type="gramEnd"/>
    </w:p>
    <w:p w14:paraId="217F13D4" w14:textId="26FB1CA4" w:rsidR="002A7D5E" w:rsidRPr="00333DA5" w:rsidRDefault="00A40AB9" w:rsidP="001D0164">
      <w:pPr>
        <w:pStyle w:val="ParaLevel2"/>
        <w:rPr>
          <w:szCs w:val="24"/>
        </w:rPr>
      </w:pPr>
      <w:r w:rsidRPr="00333DA5">
        <w:rPr>
          <w:szCs w:val="24"/>
        </w:rPr>
        <w:t xml:space="preserve">The </w:t>
      </w:r>
      <w:r w:rsidR="006C2546" w:rsidRPr="00333DA5">
        <w:rPr>
          <w:szCs w:val="24"/>
        </w:rPr>
        <w:t xml:space="preserve">filing of </w:t>
      </w:r>
      <w:r w:rsidRPr="00333DA5">
        <w:rPr>
          <w:szCs w:val="24"/>
        </w:rPr>
        <w:t xml:space="preserve">the husband’s </w:t>
      </w:r>
      <w:r w:rsidR="006C2546" w:rsidRPr="00333DA5">
        <w:rPr>
          <w:szCs w:val="24"/>
        </w:rPr>
        <w:t xml:space="preserve">divorce petition in Bulgarian Court on 4 February 2020 was </w:t>
      </w:r>
      <w:r w:rsidR="00962C48" w:rsidRPr="00333DA5">
        <w:rPr>
          <w:szCs w:val="24"/>
        </w:rPr>
        <w:t xml:space="preserve">the </w:t>
      </w:r>
      <w:r w:rsidR="006C2546" w:rsidRPr="00333DA5">
        <w:rPr>
          <w:szCs w:val="24"/>
        </w:rPr>
        <w:t>first in time and that the Bulgarian Court was first sei</w:t>
      </w:r>
      <w:r w:rsidR="00962C48" w:rsidRPr="00333DA5">
        <w:rPr>
          <w:szCs w:val="24"/>
        </w:rPr>
        <w:t>s</w:t>
      </w:r>
      <w:r w:rsidR="006C2546" w:rsidRPr="00333DA5">
        <w:rPr>
          <w:szCs w:val="24"/>
        </w:rPr>
        <w:t>ed</w:t>
      </w:r>
      <w:r w:rsidR="002A7D5E" w:rsidRPr="00333DA5">
        <w:rPr>
          <w:szCs w:val="24"/>
        </w:rPr>
        <w:t>.</w:t>
      </w:r>
    </w:p>
    <w:p w14:paraId="4F4020B8" w14:textId="2D593B80" w:rsidR="002A7D5E" w:rsidRPr="00333DA5" w:rsidRDefault="002A7D5E" w:rsidP="001D0164">
      <w:pPr>
        <w:pStyle w:val="ParaLevel1"/>
        <w:rPr>
          <w:szCs w:val="24"/>
        </w:rPr>
      </w:pPr>
      <w:r w:rsidRPr="00333DA5">
        <w:rPr>
          <w:szCs w:val="24"/>
        </w:rPr>
        <w:t>TP, addressing the court in person, argues to the contrary:</w:t>
      </w:r>
    </w:p>
    <w:p w14:paraId="7141469C" w14:textId="77777777" w:rsidR="00711A8C" w:rsidRPr="00333DA5" w:rsidRDefault="00E80BBC" w:rsidP="001D0164">
      <w:pPr>
        <w:pStyle w:val="ParaLevel2"/>
        <w:rPr>
          <w:szCs w:val="24"/>
        </w:rPr>
      </w:pPr>
      <w:r w:rsidRPr="00333DA5">
        <w:rPr>
          <w:szCs w:val="24"/>
        </w:rPr>
        <w:t>The records clearly show that her Petition was lodged on 12 January 2020</w:t>
      </w:r>
      <w:r w:rsidR="00711A8C" w:rsidRPr="00333DA5">
        <w:rPr>
          <w:szCs w:val="24"/>
        </w:rPr>
        <w:t>;</w:t>
      </w:r>
      <w:r w:rsidRPr="00333DA5">
        <w:rPr>
          <w:szCs w:val="24"/>
        </w:rPr>
        <w:t xml:space="preserve"> </w:t>
      </w:r>
      <w:r w:rsidR="005B01B8" w:rsidRPr="00333DA5">
        <w:rPr>
          <w:szCs w:val="24"/>
        </w:rPr>
        <w:t xml:space="preserve">documents generated by the CTSC even indicate that the petition was </w:t>
      </w:r>
      <w:r w:rsidR="00711A8C" w:rsidRPr="00333DA5">
        <w:rPr>
          <w:szCs w:val="24"/>
        </w:rPr>
        <w:t>“</w:t>
      </w:r>
      <w:r w:rsidRPr="00333DA5">
        <w:rPr>
          <w:szCs w:val="24"/>
        </w:rPr>
        <w:t>issued</w:t>
      </w:r>
      <w:r w:rsidR="00711A8C" w:rsidRPr="00333DA5">
        <w:rPr>
          <w:szCs w:val="24"/>
        </w:rPr>
        <w:t>”</w:t>
      </w:r>
      <w:r w:rsidRPr="00333DA5">
        <w:rPr>
          <w:szCs w:val="24"/>
        </w:rPr>
        <w:t xml:space="preserve"> </w:t>
      </w:r>
      <w:r w:rsidR="00711A8C" w:rsidRPr="00333DA5">
        <w:rPr>
          <w:szCs w:val="24"/>
        </w:rPr>
        <w:t>on that date</w:t>
      </w:r>
      <w:r w:rsidR="005B01B8" w:rsidRPr="00333DA5">
        <w:rPr>
          <w:szCs w:val="24"/>
        </w:rPr>
        <w:t xml:space="preserve"> (</w:t>
      </w:r>
      <w:r w:rsidR="008A5B17" w:rsidRPr="00333DA5">
        <w:rPr>
          <w:szCs w:val="24"/>
        </w:rPr>
        <w:t xml:space="preserve">although </w:t>
      </w:r>
      <w:r w:rsidR="005B01B8" w:rsidRPr="00333DA5">
        <w:rPr>
          <w:szCs w:val="24"/>
        </w:rPr>
        <w:t xml:space="preserve">I </w:t>
      </w:r>
      <w:r w:rsidR="00711A8C" w:rsidRPr="00333DA5">
        <w:rPr>
          <w:szCs w:val="24"/>
        </w:rPr>
        <w:t xml:space="preserve">can say that I </w:t>
      </w:r>
      <w:r w:rsidR="005B01B8" w:rsidRPr="00333DA5">
        <w:rPr>
          <w:szCs w:val="24"/>
        </w:rPr>
        <w:t xml:space="preserve">do not in fact </w:t>
      </w:r>
      <w:r w:rsidR="008A5B17" w:rsidRPr="00333DA5">
        <w:rPr>
          <w:szCs w:val="24"/>
        </w:rPr>
        <w:t xml:space="preserve">find </w:t>
      </w:r>
      <w:r w:rsidR="00E0427A" w:rsidRPr="00333DA5">
        <w:rPr>
          <w:szCs w:val="24"/>
        </w:rPr>
        <w:t>that it was</w:t>
      </w:r>
      <w:r w:rsidR="008A5B17" w:rsidRPr="00333DA5">
        <w:rPr>
          <w:szCs w:val="24"/>
        </w:rPr>
        <w:t xml:space="preserve"> issued at that stage</w:t>
      </w:r>
      <w:proofErr w:type="gramStart"/>
      <w:r w:rsidR="00E0427A" w:rsidRPr="00333DA5">
        <w:rPr>
          <w:szCs w:val="24"/>
        </w:rPr>
        <w:t>)</w:t>
      </w:r>
      <w:r w:rsidRPr="00333DA5">
        <w:rPr>
          <w:szCs w:val="24"/>
        </w:rPr>
        <w:t>;</w:t>
      </w:r>
      <w:proofErr w:type="gramEnd"/>
      <w:r w:rsidRPr="00333DA5">
        <w:rPr>
          <w:szCs w:val="24"/>
        </w:rPr>
        <w:t xml:space="preserve"> </w:t>
      </w:r>
    </w:p>
    <w:p w14:paraId="0F14C4B3" w14:textId="20765D63" w:rsidR="00E80BBC" w:rsidRPr="00333DA5" w:rsidRDefault="00711A8C" w:rsidP="001D0164">
      <w:pPr>
        <w:pStyle w:val="ParaLevel2"/>
        <w:rPr>
          <w:szCs w:val="24"/>
        </w:rPr>
      </w:pPr>
      <w:r w:rsidRPr="00333DA5">
        <w:rPr>
          <w:szCs w:val="24"/>
        </w:rPr>
        <w:t xml:space="preserve">At no time had she </w:t>
      </w:r>
      <w:r w:rsidR="00E80BBC" w:rsidRPr="00333DA5">
        <w:rPr>
          <w:szCs w:val="24"/>
        </w:rPr>
        <w:t xml:space="preserve">“withdrawn </w:t>
      </w:r>
      <w:r w:rsidR="00521FE1" w:rsidRPr="00333DA5">
        <w:rPr>
          <w:szCs w:val="24"/>
        </w:rPr>
        <w:t xml:space="preserve">[the petition] </w:t>
      </w:r>
      <w:r w:rsidR="00E80BBC" w:rsidRPr="00333DA5">
        <w:rPr>
          <w:szCs w:val="24"/>
        </w:rPr>
        <w:t xml:space="preserve">and I have never lodged a new one”. </w:t>
      </w:r>
      <w:r w:rsidR="00585D1D" w:rsidRPr="00333DA5">
        <w:rPr>
          <w:szCs w:val="24"/>
        </w:rPr>
        <w:t>There has only been one petition, and t</w:t>
      </w:r>
      <w:r w:rsidR="00E80BBC" w:rsidRPr="00333DA5">
        <w:rPr>
          <w:szCs w:val="24"/>
        </w:rPr>
        <w:t xml:space="preserve">he “effective date” of lodging </w:t>
      </w:r>
      <w:r w:rsidR="00585D1D" w:rsidRPr="00333DA5">
        <w:rPr>
          <w:szCs w:val="24"/>
        </w:rPr>
        <w:t xml:space="preserve">that </w:t>
      </w:r>
      <w:r w:rsidRPr="00333DA5">
        <w:rPr>
          <w:szCs w:val="24"/>
        </w:rPr>
        <w:t xml:space="preserve">petition </w:t>
      </w:r>
      <w:r w:rsidR="00E80BBC" w:rsidRPr="00333DA5">
        <w:rPr>
          <w:szCs w:val="24"/>
        </w:rPr>
        <w:t>is 12 January 2020</w:t>
      </w:r>
      <w:r w:rsidR="00521FE1" w:rsidRPr="00333DA5">
        <w:rPr>
          <w:szCs w:val="24"/>
        </w:rPr>
        <w:t>;</w:t>
      </w:r>
      <w:r w:rsidR="00FD4133" w:rsidRPr="00333DA5">
        <w:rPr>
          <w:szCs w:val="24"/>
        </w:rPr>
        <w:t xml:space="preserve"> </w:t>
      </w:r>
      <w:r w:rsidR="00E144A9" w:rsidRPr="00333DA5">
        <w:rPr>
          <w:szCs w:val="24"/>
        </w:rPr>
        <w:t xml:space="preserve">that she started her divorce process on 12 January 2020 was explicitly confirmed in an e-mail from the CTSC on 5 May </w:t>
      </w:r>
      <w:proofErr w:type="gramStart"/>
      <w:r w:rsidR="00E144A9" w:rsidRPr="00333DA5">
        <w:rPr>
          <w:szCs w:val="24"/>
        </w:rPr>
        <w:t>2020;</w:t>
      </w:r>
      <w:proofErr w:type="gramEnd"/>
    </w:p>
    <w:p w14:paraId="1C278BDA" w14:textId="07D57BF5" w:rsidR="00585D1D" w:rsidRPr="00333DA5" w:rsidRDefault="00E80BBC" w:rsidP="001D0164">
      <w:pPr>
        <w:pStyle w:val="ParaLevel2"/>
        <w:rPr>
          <w:szCs w:val="24"/>
        </w:rPr>
      </w:pPr>
      <w:r w:rsidRPr="00333DA5">
        <w:rPr>
          <w:szCs w:val="24"/>
        </w:rPr>
        <w:t xml:space="preserve">A valid </w:t>
      </w:r>
      <w:r w:rsidR="00E0427A" w:rsidRPr="00333DA5">
        <w:rPr>
          <w:szCs w:val="24"/>
        </w:rPr>
        <w:t>r</w:t>
      </w:r>
      <w:r w:rsidRPr="00333DA5">
        <w:rPr>
          <w:szCs w:val="24"/>
        </w:rPr>
        <w:t xml:space="preserve">eference number </w:t>
      </w:r>
      <w:r w:rsidR="00585D1D" w:rsidRPr="00333DA5">
        <w:rPr>
          <w:szCs w:val="24"/>
        </w:rPr>
        <w:t xml:space="preserve">for her petition </w:t>
      </w:r>
      <w:r w:rsidRPr="00333DA5">
        <w:rPr>
          <w:szCs w:val="24"/>
        </w:rPr>
        <w:t xml:space="preserve">was automatically </w:t>
      </w:r>
      <w:r w:rsidR="00585D1D" w:rsidRPr="00333DA5">
        <w:rPr>
          <w:szCs w:val="24"/>
        </w:rPr>
        <w:t xml:space="preserve">issued </w:t>
      </w:r>
      <w:r w:rsidRPr="00333DA5">
        <w:rPr>
          <w:szCs w:val="24"/>
        </w:rPr>
        <w:t xml:space="preserve">to </w:t>
      </w:r>
      <w:r w:rsidR="00585D1D" w:rsidRPr="00333DA5">
        <w:rPr>
          <w:szCs w:val="24"/>
        </w:rPr>
        <w:t xml:space="preserve">the wife </w:t>
      </w:r>
      <w:r w:rsidR="00E0427A" w:rsidRPr="00333DA5">
        <w:rPr>
          <w:szCs w:val="24"/>
        </w:rPr>
        <w:t>by the CTSC</w:t>
      </w:r>
      <w:r w:rsidR="00585D1D" w:rsidRPr="00333DA5">
        <w:rPr>
          <w:szCs w:val="24"/>
        </w:rPr>
        <w:t xml:space="preserve"> when the petition was lodged</w:t>
      </w:r>
      <w:r w:rsidR="00E0427A" w:rsidRPr="00333DA5">
        <w:rPr>
          <w:szCs w:val="24"/>
        </w:rPr>
        <w:t xml:space="preserve">; this </w:t>
      </w:r>
      <w:r w:rsidR="00585D1D" w:rsidRPr="00333DA5">
        <w:rPr>
          <w:szCs w:val="24"/>
        </w:rPr>
        <w:t xml:space="preserve">remained the reference number </w:t>
      </w:r>
      <w:r w:rsidR="00D77336" w:rsidRPr="00333DA5">
        <w:rPr>
          <w:szCs w:val="24"/>
        </w:rPr>
        <w:t xml:space="preserve">in all correspondence with the CTSC </w:t>
      </w:r>
      <w:r w:rsidR="00585D1D" w:rsidRPr="00333DA5">
        <w:rPr>
          <w:szCs w:val="24"/>
        </w:rPr>
        <w:t>throughout the process</w:t>
      </w:r>
      <w:r w:rsidR="00D77336" w:rsidRPr="00333DA5">
        <w:rPr>
          <w:szCs w:val="24"/>
        </w:rPr>
        <w:t xml:space="preserve"> until a case number was issued; it </w:t>
      </w:r>
      <w:r w:rsidRPr="00333DA5">
        <w:rPr>
          <w:szCs w:val="24"/>
        </w:rPr>
        <w:t xml:space="preserve">never </w:t>
      </w:r>
      <w:proofErr w:type="gramStart"/>
      <w:r w:rsidRPr="00333DA5">
        <w:rPr>
          <w:szCs w:val="24"/>
        </w:rPr>
        <w:t>changed</w:t>
      </w:r>
      <w:r w:rsidR="00DB2CFB" w:rsidRPr="00333DA5">
        <w:rPr>
          <w:szCs w:val="24"/>
        </w:rPr>
        <w:t>;</w:t>
      </w:r>
      <w:proofErr w:type="gramEnd"/>
    </w:p>
    <w:p w14:paraId="1CFD7336" w14:textId="3F33BCC2" w:rsidR="00DB2CFB" w:rsidRPr="00333DA5" w:rsidRDefault="00DB2CFB" w:rsidP="001D0164">
      <w:pPr>
        <w:pStyle w:val="ParaLevel2"/>
        <w:rPr>
          <w:szCs w:val="24"/>
        </w:rPr>
      </w:pPr>
      <w:r w:rsidRPr="00333DA5">
        <w:rPr>
          <w:szCs w:val="24"/>
        </w:rPr>
        <w:t xml:space="preserve">The CTSC </w:t>
      </w:r>
      <w:r w:rsidR="00FC552A" w:rsidRPr="00333DA5">
        <w:rPr>
          <w:szCs w:val="24"/>
        </w:rPr>
        <w:t xml:space="preserve">allocated </w:t>
      </w:r>
      <w:r w:rsidRPr="00333DA5">
        <w:rPr>
          <w:szCs w:val="24"/>
        </w:rPr>
        <w:t xml:space="preserve">the </w:t>
      </w:r>
      <w:r w:rsidR="00FC552A" w:rsidRPr="00333DA5">
        <w:rPr>
          <w:szCs w:val="24"/>
        </w:rPr>
        <w:t xml:space="preserve">petition with </w:t>
      </w:r>
      <w:r w:rsidRPr="00333DA5">
        <w:rPr>
          <w:szCs w:val="24"/>
        </w:rPr>
        <w:t>a case number [ZZ20D05011] on or before 29 January 2020</w:t>
      </w:r>
      <w:r w:rsidR="00FC552A" w:rsidRPr="00333DA5">
        <w:rPr>
          <w:szCs w:val="24"/>
        </w:rPr>
        <w:t xml:space="preserve">. It is notable that in the communication from the CTSC on </w:t>
      </w:r>
      <w:r w:rsidRPr="00333DA5">
        <w:rPr>
          <w:szCs w:val="24"/>
        </w:rPr>
        <w:t xml:space="preserve">12 </w:t>
      </w:r>
      <w:r w:rsidRPr="00333DA5">
        <w:rPr>
          <w:szCs w:val="24"/>
        </w:rPr>
        <w:lastRenderedPageBreak/>
        <w:t xml:space="preserve">January 2020 </w:t>
      </w:r>
      <w:r w:rsidR="00A47477" w:rsidRPr="00333DA5">
        <w:rPr>
          <w:szCs w:val="24"/>
        </w:rPr>
        <w:t xml:space="preserve">the wife had been </w:t>
      </w:r>
      <w:r w:rsidR="00FC552A" w:rsidRPr="00333DA5">
        <w:rPr>
          <w:szCs w:val="24"/>
        </w:rPr>
        <w:t xml:space="preserve">informed: </w:t>
      </w:r>
      <w:r w:rsidRPr="00333DA5">
        <w:rPr>
          <w:szCs w:val="24"/>
        </w:rPr>
        <w:t xml:space="preserve">“You’ll be given a full case number when your application </w:t>
      </w:r>
      <w:r w:rsidRPr="00333DA5">
        <w:rPr>
          <w:szCs w:val="24"/>
          <w:u w:val="single"/>
        </w:rPr>
        <w:t>has been accepted and issued</w:t>
      </w:r>
      <w:r w:rsidRPr="00333DA5">
        <w:rPr>
          <w:szCs w:val="24"/>
        </w:rPr>
        <w:t>”: my emphasis)</w:t>
      </w:r>
      <w:r w:rsidR="00FC552A" w:rsidRPr="00333DA5">
        <w:rPr>
          <w:szCs w:val="24"/>
        </w:rPr>
        <w:t xml:space="preserve">.  The number allocated on or before 29 January 2020 </w:t>
      </w:r>
      <w:r w:rsidRPr="00333DA5">
        <w:rPr>
          <w:szCs w:val="24"/>
        </w:rPr>
        <w:t xml:space="preserve">remains the same case number under which the petition has proceeded thereafter and to date; </w:t>
      </w:r>
      <w:r w:rsidR="00FC552A" w:rsidRPr="00333DA5">
        <w:rPr>
          <w:szCs w:val="24"/>
        </w:rPr>
        <w:t xml:space="preserve">she argues that </w:t>
      </w:r>
      <w:r w:rsidRPr="00333DA5">
        <w:rPr>
          <w:szCs w:val="24"/>
        </w:rPr>
        <w:t>had the petition which she had lodged on 12 January been ‘rejected’</w:t>
      </w:r>
      <w:r w:rsidR="00422F62" w:rsidRPr="00333DA5">
        <w:rPr>
          <w:szCs w:val="24"/>
        </w:rPr>
        <w:t xml:space="preserve"> after 29 January 2020</w:t>
      </w:r>
      <w:r w:rsidRPr="00333DA5">
        <w:rPr>
          <w:szCs w:val="24"/>
        </w:rPr>
        <w:t xml:space="preserve">, it is reasonable to assume that any subsequent petition would have been given a new </w:t>
      </w:r>
      <w:proofErr w:type="gramStart"/>
      <w:r w:rsidRPr="00333DA5">
        <w:rPr>
          <w:szCs w:val="24"/>
        </w:rPr>
        <w:t>number;</w:t>
      </w:r>
      <w:proofErr w:type="gramEnd"/>
    </w:p>
    <w:p w14:paraId="29ACF22D" w14:textId="582B7A54" w:rsidR="00E80BBC" w:rsidRPr="00333DA5" w:rsidRDefault="00E0427A" w:rsidP="001D0164">
      <w:pPr>
        <w:pStyle w:val="ParaLevel2"/>
        <w:rPr>
          <w:szCs w:val="24"/>
        </w:rPr>
      </w:pPr>
      <w:r w:rsidRPr="00333DA5">
        <w:rPr>
          <w:szCs w:val="24"/>
        </w:rPr>
        <w:t xml:space="preserve">The wife </w:t>
      </w:r>
      <w:r w:rsidR="00E80BBC" w:rsidRPr="00333DA5">
        <w:rPr>
          <w:szCs w:val="24"/>
        </w:rPr>
        <w:t>paid the court fee on 12 January 2020</w:t>
      </w:r>
      <w:r w:rsidR="00585D1D" w:rsidRPr="00333DA5">
        <w:rPr>
          <w:szCs w:val="24"/>
        </w:rPr>
        <w:t xml:space="preserve">; at no time was this reimbursed. </w:t>
      </w:r>
      <w:r w:rsidR="00E80BBC" w:rsidRPr="00333DA5">
        <w:rPr>
          <w:szCs w:val="24"/>
        </w:rPr>
        <w:t>In this regard, she had completed all necessary steps to consider her petition lodged</w:t>
      </w:r>
      <w:r w:rsidR="00044A61" w:rsidRPr="00333DA5">
        <w:rPr>
          <w:szCs w:val="24"/>
        </w:rPr>
        <w:t>;</w:t>
      </w:r>
    </w:p>
    <w:p w14:paraId="3D71E2EF" w14:textId="0BC2B097" w:rsidR="00E0427A" w:rsidRPr="00333DA5" w:rsidRDefault="00120E60" w:rsidP="001D0164">
      <w:pPr>
        <w:pStyle w:val="ParaLevel2"/>
        <w:rPr>
          <w:szCs w:val="24"/>
        </w:rPr>
      </w:pPr>
      <w:r w:rsidRPr="00333DA5">
        <w:rPr>
          <w:szCs w:val="24"/>
        </w:rPr>
        <w:t xml:space="preserve">Although </w:t>
      </w:r>
      <w:r w:rsidR="00E35734" w:rsidRPr="00333DA5">
        <w:rPr>
          <w:szCs w:val="24"/>
        </w:rPr>
        <w:t xml:space="preserve">the CTSC </w:t>
      </w:r>
      <w:r w:rsidR="00E50092" w:rsidRPr="00333DA5">
        <w:rPr>
          <w:szCs w:val="24"/>
        </w:rPr>
        <w:t xml:space="preserve">apparently </w:t>
      </w:r>
      <w:r w:rsidR="00E35734" w:rsidRPr="00333DA5">
        <w:rPr>
          <w:szCs w:val="24"/>
        </w:rPr>
        <w:t xml:space="preserve">had </w:t>
      </w:r>
      <w:r w:rsidRPr="00333DA5">
        <w:rPr>
          <w:szCs w:val="24"/>
        </w:rPr>
        <w:t xml:space="preserve">an issue </w:t>
      </w:r>
      <w:r w:rsidR="00E35734" w:rsidRPr="00333DA5">
        <w:rPr>
          <w:szCs w:val="24"/>
        </w:rPr>
        <w:t xml:space="preserve">in opening the JPEG </w:t>
      </w:r>
      <w:r w:rsidR="00402BD9" w:rsidRPr="00333DA5">
        <w:rPr>
          <w:szCs w:val="24"/>
        </w:rPr>
        <w:t>(</w:t>
      </w:r>
      <w:r w:rsidR="00535E8B" w:rsidRPr="00333DA5">
        <w:rPr>
          <w:szCs w:val="24"/>
        </w:rPr>
        <w:t>i.e.,</w:t>
      </w:r>
      <w:r w:rsidR="00402BD9" w:rsidRPr="00333DA5">
        <w:rPr>
          <w:szCs w:val="24"/>
        </w:rPr>
        <w:t xml:space="preserve"> the </w:t>
      </w:r>
      <w:r w:rsidR="00402BD9" w:rsidRPr="00333DA5">
        <w:rPr>
          <w:color w:val="202124"/>
          <w:szCs w:val="24"/>
          <w:shd w:val="clear" w:color="auto" w:fill="FFFFFF"/>
        </w:rPr>
        <w:t xml:space="preserve">standard image format for containing compressed image data) </w:t>
      </w:r>
      <w:r w:rsidR="00EF3DFC" w:rsidRPr="00333DA5">
        <w:rPr>
          <w:color w:val="202124"/>
          <w:szCs w:val="24"/>
          <w:shd w:val="clear" w:color="auto" w:fill="FFFFFF"/>
        </w:rPr>
        <w:t xml:space="preserve">which contained a photo of the </w:t>
      </w:r>
      <w:r w:rsidR="002A7D5E" w:rsidRPr="00333DA5">
        <w:rPr>
          <w:szCs w:val="24"/>
        </w:rPr>
        <w:t xml:space="preserve">marriage certificate </w:t>
      </w:r>
      <w:r w:rsidR="00F73328" w:rsidRPr="00333DA5">
        <w:rPr>
          <w:szCs w:val="24"/>
        </w:rPr>
        <w:t xml:space="preserve">this </w:t>
      </w:r>
      <w:r w:rsidR="002A7D5E" w:rsidRPr="00333DA5">
        <w:rPr>
          <w:szCs w:val="24"/>
        </w:rPr>
        <w:t xml:space="preserve">was </w:t>
      </w:r>
      <w:r w:rsidR="00F73328" w:rsidRPr="00333DA5">
        <w:rPr>
          <w:szCs w:val="24"/>
        </w:rPr>
        <w:t xml:space="preserve">satisfactorily </w:t>
      </w:r>
      <w:r w:rsidR="002A7D5E" w:rsidRPr="00333DA5">
        <w:rPr>
          <w:szCs w:val="24"/>
        </w:rPr>
        <w:t xml:space="preserve">resolved by </w:t>
      </w:r>
      <w:r w:rsidR="00EF3DFC" w:rsidRPr="00333DA5">
        <w:rPr>
          <w:szCs w:val="24"/>
        </w:rPr>
        <w:t>28 January</w:t>
      </w:r>
      <w:r w:rsidR="002F2FC3" w:rsidRPr="00333DA5">
        <w:rPr>
          <w:szCs w:val="24"/>
        </w:rPr>
        <w:t xml:space="preserve"> when </w:t>
      </w:r>
      <w:r w:rsidR="00CD20D8" w:rsidRPr="00333DA5">
        <w:rPr>
          <w:szCs w:val="24"/>
        </w:rPr>
        <w:t xml:space="preserve">it was </w:t>
      </w:r>
      <w:r w:rsidR="002F2FC3" w:rsidRPr="00333DA5">
        <w:rPr>
          <w:szCs w:val="24"/>
        </w:rPr>
        <w:t xml:space="preserve">uploaded to the </w:t>
      </w:r>
      <w:proofErr w:type="gramStart"/>
      <w:r w:rsidR="002F2FC3" w:rsidRPr="00333DA5">
        <w:rPr>
          <w:szCs w:val="24"/>
        </w:rPr>
        <w:t>system</w:t>
      </w:r>
      <w:r w:rsidR="00EA1ECC" w:rsidRPr="00333DA5">
        <w:rPr>
          <w:szCs w:val="24"/>
        </w:rPr>
        <w:t>;</w:t>
      </w:r>
      <w:proofErr w:type="gramEnd"/>
      <w:r w:rsidR="00EA1ECC" w:rsidRPr="00333DA5">
        <w:rPr>
          <w:szCs w:val="24"/>
        </w:rPr>
        <w:t xml:space="preserve"> </w:t>
      </w:r>
    </w:p>
    <w:p w14:paraId="6A131EE9" w14:textId="77E95D3A" w:rsidR="00D70E8C" w:rsidRPr="00333DA5" w:rsidRDefault="00D70E8C" w:rsidP="001D0164">
      <w:pPr>
        <w:pStyle w:val="ParaLevel2"/>
        <w:rPr>
          <w:szCs w:val="24"/>
        </w:rPr>
      </w:pPr>
      <w:r w:rsidRPr="00333DA5">
        <w:rPr>
          <w:szCs w:val="24"/>
        </w:rPr>
        <w:t xml:space="preserve">The fact that the wife wished for her own address to be kept confidential (though </w:t>
      </w:r>
      <w:r w:rsidR="00F73328" w:rsidRPr="00333DA5">
        <w:rPr>
          <w:szCs w:val="24"/>
        </w:rPr>
        <w:t xml:space="preserve">she </w:t>
      </w:r>
      <w:r w:rsidRPr="00333DA5">
        <w:rPr>
          <w:szCs w:val="24"/>
        </w:rPr>
        <w:t xml:space="preserve">had provided a service address) was not a reason for the petition not to be issued; she had provided the husband’s address for </w:t>
      </w:r>
      <w:proofErr w:type="gramStart"/>
      <w:r w:rsidRPr="00333DA5">
        <w:rPr>
          <w:szCs w:val="24"/>
        </w:rPr>
        <w:t>service;</w:t>
      </w:r>
      <w:proofErr w:type="gramEnd"/>
    </w:p>
    <w:p w14:paraId="67594BD9" w14:textId="73F3CA04" w:rsidR="000D72F8" w:rsidRPr="00333DA5" w:rsidRDefault="002F2FC3" w:rsidP="001D0164">
      <w:pPr>
        <w:pStyle w:val="ParaLevel2"/>
        <w:rPr>
          <w:szCs w:val="24"/>
        </w:rPr>
      </w:pPr>
      <w:r w:rsidRPr="00333DA5">
        <w:rPr>
          <w:szCs w:val="24"/>
        </w:rPr>
        <w:t>A</w:t>
      </w:r>
      <w:r w:rsidR="00EA1ECC" w:rsidRPr="00333DA5">
        <w:rPr>
          <w:szCs w:val="24"/>
        </w:rPr>
        <w:t xml:space="preserve">t no time did </w:t>
      </w:r>
      <w:r w:rsidR="00CD20D8" w:rsidRPr="00333DA5">
        <w:rPr>
          <w:szCs w:val="24"/>
        </w:rPr>
        <w:t xml:space="preserve">the wife </w:t>
      </w:r>
      <w:r w:rsidR="00EA1ECC" w:rsidRPr="00333DA5">
        <w:rPr>
          <w:szCs w:val="24"/>
        </w:rPr>
        <w:t xml:space="preserve">change the address for service on the </w:t>
      </w:r>
      <w:r w:rsidRPr="00333DA5">
        <w:rPr>
          <w:szCs w:val="24"/>
        </w:rPr>
        <w:t>husband</w:t>
      </w:r>
      <w:r w:rsidR="0043602C" w:rsidRPr="00333DA5">
        <w:rPr>
          <w:szCs w:val="24"/>
        </w:rPr>
        <w:t>;</w:t>
      </w:r>
      <w:r w:rsidR="000D72F8" w:rsidRPr="00333DA5">
        <w:rPr>
          <w:szCs w:val="24"/>
        </w:rPr>
        <w:t xml:space="preserve"> she had provided one service address and another home address which coincided with the husband’s home/service address; she argues that there was no issue </w:t>
      </w:r>
      <w:r w:rsidR="00CD20D8" w:rsidRPr="00333DA5">
        <w:rPr>
          <w:szCs w:val="24"/>
        </w:rPr>
        <w:t xml:space="preserve">in </w:t>
      </w:r>
      <w:r w:rsidR="000D72F8" w:rsidRPr="00333DA5">
        <w:rPr>
          <w:szCs w:val="24"/>
        </w:rPr>
        <w:t>keeping the confidentiality of her service address;</w:t>
      </w:r>
    </w:p>
    <w:p w14:paraId="6CD522BB" w14:textId="0C2397E5" w:rsidR="0043602C" w:rsidRPr="00333DA5" w:rsidRDefault="004E4726" w:rsidP="001D0164">
      <w:pPr>
        <w:pStyle w:val="ParaLevel2"/>
        <w:rPr>
          <w:szCs w:val="24"/>
        </w:rPr>
      </w:pPr>
      <w:r w:rsidRPr="00333DA5">
        <w:rPr>
          <w:szCs w:val="24"/>
        </w:rPr>
        <w:t>A</w:t>
      </w:r>
      <w:r w:rsidR="0043602C" w:rsidRPr="00333DA5">
        <w:rPr>
          <w:szCs w:val="24"/>
        </w:rPr>
        <w:t xml:space="preserve">t no time did she </w:t>
      </w:r>
      <w:r w:rsidR="002A733C" w:rsidRPr="00333DA5">
        <w:rPr>
          <w:szCs w:val="24"/>
        </w:rPr>
        <w:t xml:space="preserve">advise the CTSC </w:t>
      </w:r>
      <w:r w:rsidR="0043602C" w:rsidRPr="00333DA5">
        <w:rPr>
          <w:szCs w:val="24"/>
        </w:rPr>
        <w:t xml:space="preserve">that she was proposing </w:t>
      </w:r>
      <w:r w:rsidR="0050544B" w:rsidRPr="00333DA5">
        <w:rPr>
          <w:szCs w:val="24"/>
        </w:rPr>
        <w:t>t</w:t>
      </w:r>
      <w:r w:rsidR="0043602C" w:rsidRPr="00333DA5">
        <w:rPr>
          <w:szCs w:val="24"/>
        </w:rPr>
        <w:t xml:space="preserve">o withdraw the </w:t>
      </w:r>
      <w:r w:rsidR="00904CBF" w:rsidRPr="00333DA5">
        <w:rPr>
          <w:szCs w:val="24"/>
        </w:rPr>
        <w:t xml:space="preserve">petition; she </w:t>
      </w:r>
      <w:r w:rsidR="007E7949" w:rsidRPr="00333DA5">
        <w:rPr>
          <w:szCs w:val="24"/>
        </w:rPr>
        <w:t xml:space="preserve">submitted that at one time </w:t>
      </w:r>
      <w:r w:rsidR="002A733C" w:rsidRPr="00333DA5">
        <w:rPr>
          <w:szCs w:val="24"/>
        </w:rPr>
        <w:t xml:space="preserve">she had </w:t>
      </w:r>
      <w:r w:rsidR="007E7949" w:rsidRPr="00333DA5">
        <w:rPr>
          <w:szCs w:val="24"/>
        </w:rPr>
        <w:t xml:space="preserve">wanted to </w:t>
      </w:r>
      <w:r w:rsidRPr="00333DA5">
        <w:rPr>
          <w:szCs w:val="24"/>
        </w:rPr>
        <w:t xml:space="preserve">supplement </w:t>
      </w:r>
      <w:r w:rsidR="007E7949" w:rsidRPr="00333DA5">
        <w:rPr>
          <w:szCs w:val="24"/>
        </w:rPr>
        <w:t xml:space="preserve">the </w:t>
      </w:r>
      <w:r w:rsidRPr="00333DA5">
        <w:rPr>
          <w:szCs w:val="24"/>
        </w:rPr>
        <w:t xml:space="preserve">grounds for divorce in the </w:t>
      </w:r>
      <w:r w:rsidR="007E7949" w:rsidRPr="00333DA5">
        <w:rPr>
          <w:szCs w:val="24"/>
        </w:rPr>
        <w:t>petition (this is indeed confirmed by the e-mails) and asked how this could be done without having to withdraw the petition;</w:t>
      </w:r>
      <w:r w:rsidR="0072316A" w:rsidRPr="00333DA5">
        <w:rPr>
          <w:szCs w:val="24"/>
        </w:rPr>
        <w:t xml:space="preserve"> she asked for the petition to be put on hold</w:t>
      </w:r>
      <w:r w:rsidR="00DA4D72" w:rsidRPr="00333DA5">
        <w:rPr>
          <w:szCs w:val="24"/>
        </w:rPr>
        <w:t xml:space="preserve"> in order to obtain legal advice;</w:t>
      </w:r>
    </w:p>
    <w:p w14:paraId="3DAD1BBB" w14:textId="08AFB1CD" w:rsidR="0035606A" w:rsidRPr="00333DA5" w:rsidRDefault="0035606A" w:rsidP="001D0164">
      <w:pPr>
        <w:pStyle w:val="ParaLevel2"/>
        <w:rPr>
          <w:szCs w:val="24"/>
        </w:rPr>
      </w:pPr>
      <w:r w:rsidRPr="00333DA5">
        <w:rPr>
          <w:szCs w:val="24"/>
        </w:rPr>
        <w:t xml:space="preserve">She argues that she cannot/should not </w:t>
      </w:r>
      <w:r w:rsidR="00EC3480" w:rsidRPr="00333DA5">
        <w:rPr>
          <w:szCs w:val="24"/>
        </w:rPr>
        <w:t xml:space="preserve">be responsible for the “technical issues and mistakes” </w:t>
      </w:r>
      <w:r w:rsidR="002A733C" w:rsidRPr="00333DA5">
        <w:rPr>
          <w:szCs w:val="24"/>
        </w:rPr>
        <w:t xml:space="preserve">and delays, </w:t>
      </w:r>
      <w:r w:rsidR="00EC3480" w:rsidRPr="00333DA5">
        <w:rPr>
          <w:szCs w:val="24"/>
        </w:rPr>
        <w:t>in issuing her petition</w:t>
      </w:r>
      <w:r w:rsidR="002A733C" w:rsidRPr="00333DA5">
        <w:rPr>
          <w:szCs w:val="24"/>
        </w:rPr>
        <w:t>.</w:t>
      </w:r>
    </w:p>
    <w:p w14:paraId="76DBDE4D" w14:textId="77052CD2" w:rsidR="007F06F4" w:rsidRPr="00333DA5" w:rsidRDefault="007F06F4" w:rsidP="001D0164">
      <w:pPr>
        <w:pStyle w:val="ParaLevel1"/>
        <w:rPr>
          <w:szCs w:val="24"/>
        </w:rPr>
      </w:pPr>
      <w:r w:rsidRPr="00333DA5">
        <w:rPr>
          <w:szCs w:val="24"/>
        </w:rPr>
        <w:t xml:space="preserve">The wife’s secondary/reserve position was that the proceedings were not lawfully ‘lodged’ in Bulgaria until 20 February 2020 at the earliest and that even if the husband were able to show that the English proceedings were not effectively ‘lodged’ on 12 January 2020, they were certainly ‘lodged’ by 19 February 2020 when the wife asked the Court to advance the application.  The wife took me to </w:t>
      </w:r>
      <w:proofErr w:type="gramStart"/>
      <w:r w:rsidRPr="00333DA5">
        <w:rPr>
          <w:szCs w:val="24"/>
        </w:rPr>
        <w:t>a number of</w:t>
      </w:r>
      <w:proofErr w:type="gramEnd"/>
      <w:r w:rsidRPr="00333DA5">
        <w:rPr>
          <w:szCs w:val="24"/>
        </w:rPr>
        <w:t xml:space="preserve"> Bulgarian court orders which, she says, demonstrate that the divorce proceedings were </w:t>
      </w:r>
      <w:r w:rsidRPr="00333DA5">
        <w:rPr>
          <w:i/>
          <w:iCs/>
          <w:szCs w:val="24"/>
        </w:rPr>
        <w:t>not</w:t>
      </w:r>
      <w:r w:rsidRPr="00333DA5">
        <w:rPr>
          <w:szCs w:val="24"/>
        </w:rPr>
        <w:t xml:space="preserve"> effectively lodged </w:t>
      </w:r>
      <w:r w:rsidR="003B0CAC" w:rsidRPr="00333DA5">
        <w:rPr>
          <w:szCs w:val="24"/>
        </w:rPr>
        <w:t xml:space="preserve">there </w:t>
      </w:r>
      <w:r w:rsidRPr="00333DA5">
        <w:rPr>
          <w:szCs w:val="24"/>
        </w:rPr>
        <w:t xml:space="preserve">on 4 February.   </w:t>
      </w:r>
    </w:p>
    <w:p w14:paraId="275283D2" w14:textId="427984BD" w:rsidR="007F06F4" w:rsidRPr="00333DA5" w:rsidRDefault="007F06F4" w:rsidP="001D0164">
      <w:pPr>
        <w:pStyle w:val="ParaLevel1"/>
        <w:numPr>
          <w:ilvl w:val="0"/>
          <w:numId w:val="0"/>
        </w:numPr>
        <w:ind w:left="720" w:hanging="720"/>
        <w:rPr>
          <w:i/>
          <w:iCs/>
          <w:szCs w:val="24"/>
        </w:rPr>
      </w:pPr>
      <w:r w:rsidRPr="00333DA5">
        <w:rPr>
          <w:i/>
          <w:iCs/>
          <w:szCs w:val="24"/>
        </w:rPr>
        <w:t xml:space="preserve">Discussion and conclusion </w:t>
      </w:r>
    </w:p>
    <w:p w14:paraId="12068FCC" w14:textId="491A1B5F" w:rsidR="005C5285" w:rsidRPr="00333DA5" w:rsidRDefault="004C0FC9" w:rsidP="001D0164">
      <w:pPr>
        <w:pStyle w:val="ParaLevel1"/>
        <w:rPr>
          <w:szCs w:val="24"/>
        </w:rPr>
      </w:pPr>
      <w:r w:rsidRPr="00333DA5">
        <w:rPr>
          <w:szCs w:val="24"/>
        </w:rPr>
        <w:t xml:space="preserve">Having reviewed the new </w:t>
      </w:r>
      <w:r w:rsidR="00B45998" w:rsidRPr="00333DA5">
        <w:rPr>
          <w:szCs w:val="24"/>
        </w:rPr>
        <w:t xml:space="preserve">evidential </w:t>
      </w:r>
      <w:proofErr w:type="gramStart"/>
      <w:r w:rsidRPr="00333DA5">
        <w:rPr>
          <w:szCs w:val="24"/>
        </w:rPr>
        <w:t>material, and</w:t>
      </w:r>
      <w:proofErr w:type="gramEnd"/>
      <w:r w:rsidRPr="00333DA5">
        <w:rPr>
          <w:szCs w:val="24"/>
        </w:rPr>
        <w:t xml:space="preserve"> heard more extensive arg</w:t>
      </w:r>
      <w:r w:rsidR="00B45998" w:rsidRPr="00333DA5">
        <w:rPr>
          <w:szCs w:val="24"/>
        </w:rPr>
        <w:t xml:space="preserve">ument on the issue of seisin at this hearing, </w:t>
      </w:r>
      <w:r w:rsidR="000F55BE" w:rsidRPr="00333DA5">
        <w:rPr>
          <w:szCs w:val="24"/>
        </w:rPr>
        <w:t xml:space="preserve">I remain </w:t>
      </w:r>
      <w:r w:rsidR="00BD531E" w:rsidRPr="00333DA5">
        <w:rPr>
          <w:szCs w:val="24"/>
        </w:rPr>
        <w:t xml:space="preserve">firmly </w:t>
      </w:r>
      <w:r w:rsidR="000F55BE" w:rsidRPr="00333DA5">
        <w:rPr>
          <w:szCs w:val="24"/>
        </w:rPr>
        <w:t xml:space="preserve">of the view that the </w:t>
      </w:r>
      <w:r w:rsidR="00D44DDE" w:rsidRPr="00333DA5">
        <w:rPr>
          <w:szCs w:val="24"/>
        </w:rPr>
        <w:t xml:space="preserve">English Court was seised </w:t>
      </w:r>
      <w:r w:rsidRPr="00333DA5">
        <w:rPr>
          <w:szCs w:val="24"/>
        </w:rPr>
        <w:t xml:space="preserve">of the divorce process </w:t>
      </w:r>
      <w:r w:rsidR="000F55BE" w:rsidRPr="00333DA5">
        <w:rPr>
          <w:szCs w:val="24"/>
        </w:rPr>
        <w:t>on 12 January 2020.</w:t>
      </w:r>
      <w:r w:rsidR="00F12880" w:rsidRPr="00333DA5">
        <w:rPr>
          <w:szCs w:val="24"/>
        </w:rPr>
        <w:t xml:space="preserve">  </w:t>
      </w:r>
      <w:r w:rsidR="00222E0C">
        <w:rPr>
          <w:szCs w:val="24"/>
        </w:rPr>
        <w:t xml:space="preserve">The husband has failed to demonstrate </w:t>
      </w:r>
      <w:r w:rsidR="00F8497F">
        <w:rPr>
          <w:szCs w:val="24"/>
        </w:rPr>
        <w:t>any misstatement of the facts on which the original decision was based.</w:t>
      </w:r>
    </w:p>
    <w:p w14:paraId="3C380E25" w14:textId="3483966C" w:rsidR="00296CF5" w:rsidRPr="00333DA5" w:rsidRDefault="00296CF5" w:rsidP="001D0164">
      <w:pPr>
        <w:pStyle w:val="ParaLevel1"/>
        <w:rPr>
          <w:szCs w:val="24"/>
        </w:rPr>
      </w:pPr>
      <w:r w:rsidRPr="00333DA5">
        <w:rPr>
          <w:szCs w:val="24"/>
        </w:rPr>
        <w:lastRenderedPageBreak/>
        <w:t xml:space="preserve">First, </w:t>
      </w:r>
      <w:r w:rsidR="00B45998" w:rsidRPr="00333DA5">
        <w:rPr>
          <w:szCs w:val="24"/>
        </w:rPr>
        <w:t xml:space="preserve">it </w:t>
      </w:r>
      <w:r w:rsidR="008635E3" w:rsidRPr="00333DA5">
        <w:rPr>
          <w:szCs w:val="24"/>
        </w:rPr>
        <w:t xml:space="preserve">remains </w:t>
      </w:r>
      <w:r w:rsidR="00B45998" w:rsidRPr="00333DA5">
        <w:rPr>
          <w:szCs w:val="24"/>
        </w:rPr>
        <w:t xml:space="preserve">clear (indeed there </w:t>
      </w:r>
      <w:r w:rsidR="008635E3" w:rsidRPr="00333DA5">
        <w:rPr>
          <w:szCs w:val="24"/>
        </w:rPr>
        <w:t>was</w:t>
      </w:r>
      <w:r w:rsidR="00B45998" w:rsidRPr="00333DA5">
        <w:rPr>
          <w:szCs w:val="24"/>
        </w:rPr>
        <w:t xml:space="preserve"> no argument</w:t>
      </w:r>
      <w:r w:rsidR="008635E3" w:rsidRPr="00333DA5">
        <w:rPr>
          <w:szCs w:val="24"/>
        </w:rPr>
        <w:t xml:space="preserve"> to the contrary</w:t>
      </w:r>
      <w:r w:rsidR="00B45998" w:rsidRPr="00333DA5">
        <w:rPr>
          <w:szCs w:val="24"/>
        </w:rPr>
        <w:t xml:space="preserve">) </w:t>
      </w:r>
      <w:r w:rsidR="00D44DDE" w:rsidRPr="00333DA5">
        <w:rPr>
          <w:szCs w:val="24"/>
        </w:rPr>
        <w:t xml:space="preserve">that </w:t>
      </w:r>
      <w:r w:rsidR="006C432F" w:rsidRPr="00333DA5">
        <w:rPr>
          <w:szCs w:val="24"/>
        </w:rPr>
        <w:t xml:space="preserve">the wife lodged </w:t>
      </w:r>
      <w:r w:rsidR="00C9265C">
        <w:rPr>
          <w:szCs w:val="24"/>
        </w:rPr>
        <w:t xml:space="preserve">her </w:t>
      </w:r>
      <w:r w:rsidR="00D44DDE" w:rsidRPr="00333DA5">
        <w:rPr>
          <w:szCs w:val="24"/>
        </w:rPr>
        <w:t xml:space="preserve">petition </w:t>
      </w:r>
      <w:r w:rsidR="006C432F" w:rsidRPr="00333DA5">
        <w:rPr>
          <w:szCs w:val="24"/>
        </w:rPr>
        <w:t xml:space="preserve">for divorce </w:t>
      </w:r>
      <w:r w:rsidR="00D44DDE" w:rsidRPr="00333DA5">
        <w:rPr>
          <w:szCs w:val="24"/>
        </w:rPr>
        <w:t>on 12 January 2020</w:t>
      </w:r>
      <w:r w:rsidR="006C432F" w:rsidRPr="00333DA5">
        <w:rPr>
          <w:szCs w:val="24"/>
        </w:rPr>
        <w:t xml:space="preserve">; she </w:t>
      </w:r>
      <w:r w:rsidR="00D44DDE" w:rsidRPr="00333DA5">
        <w:rPr>
          <w:szCs w:val="24"/>
        </w:rPr>
        <w:t xml:space="preserve">made payment of the relevant fee on that day.   </w:t>
      </w:r>
      <w:r w:rsidR="00230DB4" w:rsidRPr="00333DA5">
        <w:rPr>
          <w:szCs w:val="24"/>
        </w:rPr>
        <w:t xml:space="preserve">The CTSC later confirmed (despite the various inconsistent </w:t>
      </w:r>
      <w:r w:rsidR="001239AB" w:rsidRPr="00333DA5">
        <w:rPr>
          <w:szCs w:val="24"/>
        </w:rPr>
        <w:t xml:space="preserve">messages) </w:t>
      </w:r>
      <w:r w:rsidR="00230DB4" w:rsidRPr="00333DA5">
        <w:rPr>
          <w:szCs w:val="24"/>
        </w:rPr>
        <w:t xml:space="preserve">that </w:t>
      </w:r>
      <w:r w:rsidR="001239AB" w:rsidRPr="00333DA5">
        <w:rPr>
          <w:szCs w:val="24"/>
        </w:rPr>
        <w:t xml:space="preserve">the wife </w:t>
      </w:r>
      <w:r w:rsidR="00230DB4" w:rsidRPr="00333DA5">
        <w:rPr>
          <w:szCs w:val="24"/>
        </w:rPr>
        <w:t xml:space="preserve">started her divorce process on 12 January 2020 </w:t>
      </w:r>
      <w:r w:rsidR="001239AB" w:rsidRPr="00333DA5">
        <w:rPr>
          <w:szCs w:val="24"/>
        </w:rPr>
        <w:t xml:space="preserve">(e-mail </w:t>
      </w:r>
      <w:r w:rsidR="00230DB4" w:rsidRPr="00333DA5">
        <w:rPr>
          <w:szCs w:val="24"/>
        </w:rPr>
        <w:t>5 May 2020</w:t>
      </w:r>
      <w:r w:rsidR="001239AB" w:rsidRPr="00333DA5">
        <w:rPr>
          <w:szCs w:val="24"/>
        </w:rPr>
        <w:t xml:space="preserve">).  </w:t>
      </w:r>
      <w:r w:rsidR="00C72F0B" w:rsidRPr="00333DA5">
        <w:rPr>
          <w:szCs w:val="24"/>
        </w:rPr>
        <w:t>In my finding this is the one and only petition lodged in this country</w:t>
      </w:r>
      <w:r w:rsidR="006C2EAC" w:rsidRPr="00333DA5">
        <w:rPr>
          <w:szCs w:val="24"/>
        </w:rPr>
        <w:t xml:space="preserve">, and is the </w:t>
      </w:r>
      <w:r w:rsidR="00A44E60" w:rsidRPr="00333DA5">
        <w:rPr>
          <w:szCs w:val="24"/>
        </w:rPr>
        <w:t xml:space="preserve">same </w:t>
      </w:r>
      <w:r w:rsidR="006C2EAC" w:rsidRPr="00333DA5">
        <w:rPr>
          <w:szCs w:val="24"/>
        </w:rPr>
        <w:t>petition which was the subject of the stay which I earlier lifted</w:t>
      </w:r>
      <w:r w:rsidR="00B5749B">
        <w:rPr>
          <w:szCs w:val="24"/>
        </w:rPr>
        <w:t>, eighteen months later</w:t>
      </w:r>
      <w:r w:rsidR="000A2D76" w:rsidRPr="00333DA5">
        <w:rPr>
          <w:szCs w:val="24"/>
        </w:rPr>
        <w:t>.</w:t>
      </w:r>
    </w:p>
    <w:p w14:paraId="6301FF36" w14:textId="1EA66C58" w:rsidR="00D760A6" w:rsidRPr="00333DA5" w:rsidRDefault="00D44DDE" w:rsidP="001D0164">
      <w:pPr>
        <w:pStyle w:val="ParaLevel1"/>
        <w:rPr>
          <w:szCs w:val="24"/>
        </w:rPr>
      </w:pPr>
      <w:r w:rsidRPr="00333DA5">
        <w:rPr>
          <w:szCs w:val="24"/>
        </w:rPr>
        <w:t xml:space="preserve">Secondly, </w:t>
      </w:r>
      <w:proofErr w:type="gramStart"/>
      <w:r w:rsidR="00A16874" w:rsidRPr="00333DA5">
        <w:rPr>
          <w:szCs w:val="24"/>
        </w:rPr>
        <w:t>in spite of</w:t>
      </w:r>
      <w:proofErr w:type="gramEnd"/>
      <w:r w:rsidR="00A16874" w:rsidRPr="00333DA5">
        <w:rPr>
          <w:szCs w:val="24"/>
        </w:rPr>
        <w:t xml:space="preserve"> the more extensive material available from the court file, I am satisfied that </w:t>
      </w:r>
      <w:r w:rsidR="00735D33" w:rsidRPr="00333DA5">
        <w:rPr>
          <w:szCs w:val="24"/>
        </w:rPr>
        <w:t xml:space="preserve">there was no specific step in the </w:t>
      </w:r>
      <w:r w:rsidR="006C2EAC" w:rsidRPr="00333DA5">
        <w:rPr>
          <w:szCs w:val="24"/>
        </w:rPr>
        <w:t xml:space="preserve">divorce </w:t>
      </w:r>
      <w:r w:rsidR="00735D33" w:rsidRPr="00333DA5">
        <w:rPr>
          <w:szCs w:val="24"/>
        </w:rPr>
        <w:t xml:space="preserve">process which the wife failed to take.  </w:t>
      </w:r>
      <w:r w:rsidR="00D760A6" w:rsidRPr="00333DA5">
        <w:rPr>
          <w:szCs w:val="24"/>
        </w:rPr>
        <w:t>The ‘old’</w:t>
      </w:r>
      <w:r w:rsidR="00D760A6" w:rsidRPr="00333DA5">
        <w:rPr>
          <w:rStyle w:val="FootnoteReference"/>
          <w:szCs w:val="24"/>
        </w:rPr>
        <w:footnoteReference w:id="10"/>
      </w:r>
      <w:r w:rsidR="00D760A6" w:rsidRPr="00333DA5">
        <w:rPr>
          <w:szCs w:val="24"/>
        </w:rPr>
        <w:t xml:space="preserve"> </w:t>
      </w:r>
      <w:r w:rsidR="00D760A6" w:rsidRPr="00333DA5">
        <w:rPr>
          <w:i/>
          <w:iCs/>
          <w:szCs w:val="24"/>
        </w:rPr>
        <w:t>Part 7</w:t>
      </w:r>
      <w:r w:rsidR="00D760A6" w:rsidRPr="00333DA5">
        <w:rPr>
          <w:szCs w:val="24"/>
        </w:rPr>
        <w:t xml:space="preserve"> of the </w:t>
      </w:r>
      <w:r w:rsidR="00D760A6" w:rsidRPr="00333DA5">
        <w:rPr>
          <w:i/>
          <w:iCs/>
          <w:szCs w:val="24"/>
        </w:rPr>
        <w:t>F</w:t>
      </w:r>
      <w:r w:rsidR="00970C73" w:rsidRPr="00333DA5">
        <w:rPr>
          <w:i/>
          <w:iCs/>
          <w:szCs w:val="24"/>
        </w:rPr>
        <w:t>PR</w:t>
      </w:r>
      <w:r w:rsidR="00D760A6" w:rsidRPr="00333DA5">
        <w:rPr>
          <w:i/>
          <w:iCs/>
          <w:szCs w:val="24"/>
        </w:rPr>
        <w:t xml:space="preserve"> 2010</w:t>
      </w:r>
      <w:r w:rsidR="00B5749B">
        <w:rPr>
          <w:szCs w:val="24"/>
        </w:rPr>
        <w:t>, which were in force at the material time,</w:t>
      </w:r>
      <w:r w:rsidR="00D760A6" w:rsidRPr="00333DA5">
        <w:rPr>
          <w:szCs w:val="24"/>
        </w:rPr>
        <w:t xml:space="preserve"> contain</w:t>
      </w:r>
      <w:r w:rsidR="00970C73" w:rsidRPr="00333DA5">
        <w:rPr>
          <w:szCs w:val="24"/>
        </w:rPr>
        <w:t>s</w:t>
      </w:r>
      <w:r w:rsidR="00D760A6" w:rsidRPr="00333DA5">
        <w:rPr>
          <w:szCs w:val="24"/>
        </w:rPr>
        <w:t xml:space="preserve"> no specific timeframe, nor other </w:t>
      </w:r>
      <w:r w:rsidR="00970C73" w:rsidRPr="00333DA5">
        <w:rPr>
          <w:szCs w:val="24"/>
        </w:rPr>
        <w:t xml:space="preserve">specific </w:t>
      </w:r>
      <w:r w:rsidR="00D760A6" w:rsidRPr="00333DA5">
        <w:rPr>
          <w:szCs w:val="24"/>
        </w:rPr>
        <w:t xml:space="preserve">step, with which it could be said that the wife had failed to comply.  Even if as a matter of fact the wife asked the CTSC to put the </w:t>
      </w:r>
      <w:r w:rsidR="00970C73" w:rsidRPr="00333DA5">
        <w:rPr>
          <w:szCs w:val="24"/>
        </w:rPr>
        <w:t xml:space="preserve">divorce </w:t>
      </w:r>
      <w:r w:rsidR="00D760A6" w:rsidRPr="00333DA5">
        <w:rPr>
          <w:szCs w:val="24"/>
        </w:rPr>
        <w:t>process ‘on hold’ for a short time</w:t>
      </w:r>
      <w:r w:rsidR="00A16874" w:rsidRPr="00333DA5">
        <w:rPr>
          <w:szCs w:val="24"/>
        </w:rPr>
        <w:t xml:space="preserve"> on the 13</w:t>
      </w:r>
      <w:r w:rsidR="00A16874" w:rsidRPr="00333DA5">
        <w:rPr>
          <w:szCs w:val="24"/>
          <w:vertAlign w:val="superscript"/>
        </w:rPr>
        <w:t>th</w:t>
      </w:r>
      <w:r w:rsidR="00A16874" w:rsidRPr="00333DA5">
        <w:rPr>
          <w:szCs w:val="24"/>
        </w:rPr>
        <w:t xml:space="preserve"> January and/or 4</w:t>
      </w:r>
      <w:r w:rsidR="00A16874" w:rsidRPr="00333DA5">
        <w:rPr>
          <w:szCs w:val="24"/>
          <w:vertAlign w:val="superscript"/>
        </w:rPr>
        <w:t>th</w:t>
      </w:r>
      <w:r w:rsidR="00A16874" w:rsidRPr="00333DA5">
        <w:rPr>
          <w:szCs w:val="24"/>
        </w:rPr>
        <w:t xml:space="preserve"> February</w:t>
      </w:r>
      <w:r w:rsidR="00D760A6" w:rsidRPr="00333DA5">
        <w:rPr>
          <w:szCs w:val="24"/>
        </w:rPr>
        <w:t xml:space="preserve">, </w:t>
      </w:r>
      <w:r w:rsidR="00D760A6" w:rsidRPr="00333DA5">
        <w:rPr>
          <w:color w:val="000000"/>
          <w:szCs w:val="24"/>
        </w:rPr>
        <w:t xml:space="preserve">she could not be said to have "failed" to take the "required" step to effect service on the </w:t>
      </w:r>
      <w:r w:rsidR="00BE276F" w:rsidRPr="00333DA5">
        <w:rPr>
          <w:color w:val="000000"/>
          <w:szCs w:val="24"/>
        </w:rPr>
        <w:t>husband</w:t>
      </w:r>
      <w:r w:rsidR="00D760A6" w:rsidRPr="00333DA5">
        <w:rPr>
          <w:color w:val="000000"/>
          <w:szCs w:val="24"/>
        </w:rPr>
        <w:t xml:space="preserve">.  </w:t>
      </w:r>
      <w:r w:rsidR="00AC05C1" w:rsidRPr="00333DA5">
        <w:rPr>
          <w:color w:val="000000"/>
          <w:szCs w:val="24"/>
        </w:rPr>
        <w:t xml:space="preserve">As in </w:t>
      </w:r>
      <w:r w:rsidR="00AC05C1" w:rsidRPr="00333DA5">
        <w:rPr>
          <w:i/>
          <w:iCs/>
          <w:color w:val="000000"/>
          <w:szCs w:val="24"/>
        </w:rPr>
        <w:t>Thum</w:t>
      </w:r>
      <w:r w:rsidR="00AC05C1" w:rsidRPr="00333DA5">
        <w:rPr>
          <w:color w:val="000000"/>
          <w:szCs w:val="24"/>
        </w:rPr>
        <w:t xml:space="preserve">, in the absence of evidence that the wife had failed to take a specific </w:t>
      </w:r>
      <w:r w:rsidR="00D11C35" w:rsidRPr="00333DA5">
        <w:rPr>
          <w:color w:val="000000"/>
          <w:szCs w:val="24"/>
        </w:rPr>
        <w:t xml:space="preserve">required </w:t>
      </w:r>
      <w:r w:rsidR="00AC05C1" w:rsidRPr="00333DA5">
        <w:rPr>
          <w:color w:val="000000"/>
          <w:szCs w:val="24"/>
        </w:rPr>
        <w:t>step</w:t>
      </w:r>
      <w:r w:rsidR="00D11C35" w:rsidRPr="00333DA5">
        <w:rPr>
          <w:color w:val="000000"/>
          <w:szCs w:val="24"/>
        </w:rPr>
        <w:t xml:space="preserve"> to prosecute her petition</w:t>
      </w:r>
      <w:r w:rsidR="00AC05C1" w:rsidRPr="00333DA5">
        <w:rPr>
          <w:color w:val="000000"/>
          <w:szCs w:val="24"/>
        </w:rPr>
        <w:t xml:space="preserve">, it is not </w:t>
      </w:r>
      <w:r w:rsidR="00B61DC0" w:rsidRPr="00333DA5">
        <w:rPr>
          <w:color w:val="000000"/>
          <w:szCs w:val="24"/>
        </w:rPr>
        <w:t>necessary for me to investigate her reasons</w:t>
      </w:r>
      <w:r w:rsidR="00D11C35" w:rsidRPr="00333DA5">
        <w:rPr>
          <w:color w:val="000000"/>
          <w:szCs w:val="24"/>
        </w:rPr>
        <w:t xml:space="preserve"> for delaying</w:t>
      </w:r>
      <w:r w:rsidR="00062D5B" w:rsidRPr="00333DA5">
        <w:rPr>
          <w:color w:val="000000"/>
          <w:szCs w:val="24"/>
        </w:rPr>
        <w:t>.</w:t>
      </w:r>
    </w:p>
    <w:p w14:paraId="79ACD3D4" w14:textId="2D5B9426" w:rsidR="00735D33" w:rsidRPr="00333DA5" w:rsidRDefault="00735D33" w:rsidP="001D0164">
      <w:pPr>
        <w:pStyle w:val="ParaLevel1"/>
        <w:rPr>
          <w:szCs w:val="24"/>
        </w:rPr>
      </w:pPr>
      <w:r w:rsidRPr="00333DA5">
        <w:rPr>
          <w:szCs w:val="24"/>
        </w:rPr>
        <w:t xml:space="preserve">Thirdly, insofar as there were delays in the service on the husband, </w:t>
      </w:r>
      <w:r w:rsidR="00320E5F" w:rsidRPr="00333DA5">
        <w:rPr>
          <w:szCs w:val="24"/>
        </w:rPr>
        <w:t xml:space="preserve">in my judgment </w:t>
      </w:r>
      <w:r w:rsidRPr="00333DA5">
        <w:rPr>
          <w:szCs w:val="24"/>
        </w:rPr>
        <w:t xml:space="preserve">these were not attributable to any </w:t>
      </w:r>
      <w:r w:rsidRPr="00333DA5">
        <w:rPr>
          <w:i/>
          <w:iCs/>
          <w:szCs w:val="24"/>
        </w:rPr>
        <w:t>culpability</w:t>
      </w:r>
      <w:r w:rsidRPr="00333DA5">
        <w:rPr>
          <w:szCs w:val="24"/>
        </w:rPr>
        <w:t xml:space="preserve"> on the part of the wife.</w:t>
      </w:r>
      <w:r w:rsidR="00733D9C" w:rsidRPr="00333DA5">
        <w:rPr>
          <w:szCs w:val="24"/>
        </w:rPr>
        <w:t xml:space="preserve">  I do not find, furthermore, that over the period between 12 January and 19 February she was responsible of any abuse of </w:t>
      </w:r>
      <w:r w:rsidR="006E2AAF">
        <w:rPr>
          <w:szCs w:val="24"/>
        </w:rPr>
        <w:t xml:space="preserve">the court’s due </w:t>
      </w:r>
      <w:r w:rsidR="00733D9C" w:rsidRPr="00333DA5">
        <w:rPr>
          <w:szCs w:val="24"/>
        </w:rPr>
        <w:t xml:space="preserve">process.  </w:t>
      </w:r>
    </w:p>
    <w:p w14:paraId="17342470" w14:textId="0D2230A7" w:rsidR="00D743EB" w:rsidRPr="00333DA5" w:rsidRDefault="002B7634" w:rsidP="001D0164">
      <w:pPr>
        <w:pStyle w:val="ParaLevel1"/>
        <w:rPr>
          <w:szCs w:val="24"/>
        </w:rPr>
      </w:pPr>
      <w:r w:rsidRPr="00333DA5">
        <w:rPr>
          <w:szCs w:val="24"/>
        </w:rPr>
        <w:t xml:space="preserve">I thus </w:t>
      </w:r>
      <w:r w:rsidR="00D743EB" w:rsidRPr="00333DA5">
        <w:rPr>
          <w:szCs w:val="24"/>
        </w:rPr>
        <w:t xml:space="preserve">reject Mr Birch’s </w:t>
      </w:r>
      <w:r w:rsidR="00D40A85" w:rsidRPr="00333DA5">
        <w:rPr>
          <w:color w:val="000000"/>
          <w:szCs w:val="24"/>
        </w:rPr>
        <w:t xml:space="preserve">argument </w:t>
      </w:r>
      <w:r w:rsidRPr="00333DA5">
        <w:rPr>
          <w:color w:val="000000"/>
          <w:szCs w:val="24"/>
        </w:rPr>
        <w:t xml:space="preserve">on behalf of the husband </w:t>
      </w:r>
      <w:r w:rsidR="00317645" w:rsidRPr="00333DA5">
        <w:rPr>
          <w:color w:val="000000"/>
          <w:szCs w:val="24"/>
        </w:rPr>
        <w:t xml:space="preserve">that the wife’s delay in serving the husband </w:t>
      </w:r>
      <w:r w:rsidR="001C05DE" w:rsidRPr="00333DA5">
        <w:rPr>
          <w:color w:val="000000"/>
          <w:szCs w:val="24"/>
        </w:rPr>
        <w:t>constituted a ‘failure’ to take the relevant step</w:t>
      </w:r>
      <w:r w:rsidR="00B610BF" w:rsidRPr="00333DA5">
        <w:rPr>
          <w:color w:val="000000"/>
          <w:szCs w:val="24"/>
        </w:rPr>
        <w:t>; this argument was</w:t>
      </w:r>
      <w:r w:rsidR="001C05DE" w:rsidRPr="00333DA5">
        <w:rPr>
          <w:color w:val="000000"/>
          <w:szCs w:val="24"/>
        </w:rPr>
        <w:t xml:space="preserve"> </w:t>
      </w:r>
      <w:r w:rsidR="00960287" w:rsidRPr="00333DA5">
        <w:rPr>
          <w:color w:val="000000"/>
          <w:szCs w:val="24"/>
        </w:rPr>
        <w:t xml:space="preserve">effectively dismantled in </w:t>
      </w:r>
      <w:r w:rsidR="00D40A85" w:rsidRPr="00333DA5">
        <w:rPr>
          <w:i/>
          <w:iCs/>
          <w:color w:val="000000"/>
          <w:szCs w:val="24"/>
        </w:rPr>
        <w:t>Thum</w:t>
      </w:r>
      <w:r w:rsidR="00D40A85" w:rsidRPr="00333DA5">
        <w:rPr>
          <w:color w:val="000000"/>
          <w:szCs w:val="24"/>
        </w:rPr>
        <w:t xml:space="preserve"> (see §36 of </w:t>
      </w:r>
      <w:r w:rsidR="00D40A85" w:rsidRPr="00333DA5">
        <w:rPr>
          <w:i/>
          <w:iCs/>
          <w:color w:val="000000"/>
          <w:szCs w:val="24"/>
        </w:rPr>
        <w:t>Thum</w:t>
      </w:r>
      <w:r w:rsidR="00D40A85" w:rsidRPr="00333DA5">
        <w:rPr>
          <w:color w:val="000000"/>
          <w:szCs w:val="24"/>
        </w:rPr>
        <w:t xml:space="preserve">). </w:t>
      </w:r>
      <w:r w:rsidR="00B21E1A" w:rsidRPr="00333DA5">
        <w:rPr>
          <w:color w:val="000000"/>
          <w:szCs w:val="24"/>
        </w:rPr>
        <w:t>As pointed out by Moylan LJ in that case</w:t>
      </w:r>
      <w:r w:rsidR="006E2AAF">
        <w:rPr>
          <w:color w:val="000000"/>
          <w:szCs w:val="24"/>
        </w:rPr>
        <w:t>,</w:t>
      </w:r>
      <w:r w:rsidR="00B21E1A" w:rsidRPr="00333DA5">
        <w:rPr>
          <w:color w:val="000000"/>
          <w:szCs w:val="24"/>
        </w:rPr>
        <w:t xml:space="preserve"> </w:t>
      </w:r>
      <w:r w:rsidR="00B610BF" w:rsidRPr="00333DA5">
        <w:rPr>
          <w:color w:val="000000"/>
          <w:szCs w:val="24"/>
        </w:rPr>
        <w:t>i</w:t>
      </w:r>
      <w:r w:rsidR="005E6993" w:rsidRPr="00333DA5">
        <w:rPr>
          <w:color w:val="000000"/>
          <w:szCs w:val="24"/>
        </w:rPr>
        <w:t xml:space="preserve">f </w:t>
      </w:r>
      <w:r w:rsidR="00062D5B" w:rsidRPr="00333DA5">
        <w:rPr>
          <w:color w:val="000000"/>
          <w:szCs w:val="24"/>
        </w:rPr>
        <w:t>t</w:t>
      </w:r>
      <w:r w:rsidR="001C05DE" w:rsidRPr="00333DA5">
        <w:rPr>
          <w:color w:val="000000"/>
          <w:szCs w:val="24"/>
        </w:rPr>
        <w:t xml:space="preserve">his </w:t>
      </w:r>
      <w:r w:rsidR="005E6993" w:rsidRPr="00333DA5">
        <w:rPr>
          <w:color w:val="000000"/>
          <w:szCs w:val="24"/>
        </w:rPr>
        <w:t xml:space="preserve">argument </w:t>
      </w:r>
      <w:r w:rsidR="00062D5B" w:rsidRPr="00333DA5">
        <w:rPr>
          <w:color w:val="000000"/>
          <w:szCs w:val="24"/>
        </w:rPr>
        <w:t xml:space="preserve">were to be </w:t>
      </w:r>
      <w:r w:rsidR="001C05DE" w:rsidRPr="00333DA5">
        <w:rPr>
          <w:color w:val="000000"/>
          <w:szCs w:val="24"/>
        </w:rPr>
        <w:t>correct</w:t>
      </w:r>
      <w:r w:rsidR="005E6993" w:rsidRPr="00333DA5">
        <w:rPr>
          <w:color w:val="000000"/>
          <w:szCs w:val="24"/>
        </w:rPr>
        <w:t xml:space="preserve"> then </w:t>
      </w:r>
      <w:r w:rsidR="00EA7129" w:rsidRPr="00333DA5">
        <w:rPr>
          <w:color w:val="000000"/>
          <w:szCs w:val="24"/>
        </w:rPr>
        <w:t xml:space="preserve">the court would </w:t>
      </w:r>
      <w:r w:rsidR="005E6993" w:rsidRPr="00333DA5">
        <w:rPr>
          <w:color w:val="000000"/>
          <w:szCs w:val="24"/>
        </w:rPr>
        <w:t xml:space="preserve">not be </w:t>
      </w:r>
      <w:r w:rsidR="00EA7129" w:rsidRPr="00333DA5">
        <w:rPr>
          <w:color w:val="000000"/>
          <w:szCs w:val="24"/>
        </w:rPr>
        <w:t xml:space="preserve">seised until, potentially, service was </w:t>
      </w:r>
      <w:proofErr w:type="gramStart"/>
      <w:r w:rsidR="00EA7129" w:rsidRPr="00333DA5">
        <w:rPr>
          <w:color w:val="000000"/>
          <w:szCs w:val="24"/>
        </w:rPr>
        <w:t>effected</w:t>
      </w:r>
      <w:proofErr w:type="gramEnd"/>
      <w:r w:rsidR="00B21E1A" w:rsidRPr="00333DA5">
        <w:rPr>
          <w:color w:val="000000"/>
          <w:szCs w:val="24"/>
        </w:rPr>
        <w:t xml:space="preserve">; </w:t>
      </w:r>
      <w:r w:rsidR="005E6993" w:rsidRPr="00333DA5">
        <w:rPr>
          <w:color w:val="000000"/>
          <w:szCs w:val="24"/>
        </w:rPr>
        <w:t xml:space="preserve">this </w:t>
      </w:r>
      <w:r w:rsidR="002A49E4" w:rsidRPr="00333DA5">
        <w:rPr>
          <w:color w:val="000000"/>
          <w:szCs w:val="24"/>
        </w:rPr>
        <w:t xml:space="preserve">would </w:t>
      </w:r>
      <w:r w:rsidR="00EA7129" w:rsidRPr="00333DA5">
        <w:rPr>
          <w:color w:val="000000"/>
          <w:szCs w:val="24"/>
        </w:rPr>
        <w:t xml:space="preserve">radically alter the meaning and effect of the proviso in </w:t>
      </w:r>
      <w:r w:rsidR="00EA7129" w:rsidRPr="00333DA5">
        <w:rPr>
          <w:i/>
          <w:iCs/>
          <w:color w:val="000000"/>
          <w:szCs w:val="24"/>
        </w:rPr>
        <w:t>Article 16(1)(a)</w:t>
      </w:r>
      <w:r w:rsidR="00EA7129" w:rsidRPr="00333DA5">
        <w:rPr>
          <w:color w:val="000000"/>
          <w:szCs w:val="24"/>
        </w:rPr>
        <w:t>. </w:t>
      </w:r>
      <w:r w:rsidR="00727C8E" w:rsidRPr="00333DA5">
        <w:rPr>
          <w:color w:val="000000"/>
          <w:szCs w:val="24"/>
        </w:rPr>
        <w:t xml:space="preserve">  </w:t>
      </w:r>
      <w:r w:rsidR="00435BD1" w:rsidRPr="00333DA5">
        <w:rPr>
          <w:color w:val="000000"/>
          <w:szCs w:val="24"/>
        </w:rPr>
        <w:t>I</w:t>
      </w:r>
      <w:r w:rsidR="00727C8E" w:rsidRPr="00333DA5">
        <w:rPr>
          <w:color w:val="000000"/>
          <w:szCs w:val="24"/>
        </w:rPr>
        <w:t>nsofar as the delay</w:t>
      </w:r>
      <w:r w:rsidR="00435BD1" w:rsidRPr="00333DA5">
        <w:rPr>
          <w:color w:val="000000"/>
          <w:szCs w:val="24"/>
        </w:rPr>
        <w:t>s</w:t>
      </w:r>
      <w:r w:rsidR="00727C8E" w:rsidRPr="00333DA5">
        <w:rPr>
          <w:color w:val="000000"/>
          <w:szCs w:val="24"/>
        </w:rPr>
        <w:t xml:space="preserve"> w</w:t>
      </w:r>
      <w:r w:rsidR="00435BD1" w:rsidRPr="00333DA5">
        <w:rPr>
          <w:color w:val="000000"/>
          <w:szCs w:val="24"/>
        </w:rPr>
        <w:t>ere</w:t>
      </w:r>
      <w:r w:rsidR="00727C8E" w:rsidRPr="00333DA5">
        <w:rPr>
          <w:color w:val="000000"/>
          <w:szCs w:val="24"/>
        </w:rPr>
        <w:t xml:space="preserve"> occasioned by the problems over the </w:t>
      </w:r>
      <w:r w:rsidR="00AC081E" w:rsidRPr="00333DA5">
        <w:rPr>
          <w:color w:val="000000"/>
          <w:szCs w:val="24"/>
        </w:rPr>
        <w:t xml:space="preserve">format in which the marriage certificate was submitted, I conclude that (a) this did not represent culpable failure on the part of the wife to </w:t>
      </w:r>
      <w:r w:rsidR="00B34ED9" w:rsidRPr="00333DA5">
        <w:rPr>
          <w:color w:val="000000"/>
          <w:szCs w:val="24"/>
        </w:rPr>
        <w:t xml:space="preserve">take steps to serve the petition, and (b) the issue was in any event resolved by </w:t>
      </w:r>
      <w:r w:rsidR="00435BD1" w:rsidRPr="00333DA5">
        <w:rPr>
          <w:color w:val="000000"/>
          <w:szCs w:val="24"/>
        </w:rPr>
        <w:t>28</w:t>
      </w:r>
      <w:r w:rsidR="00B34ED9" w:rsidRPr="00333DA5">
        <w:rPr>
          <w:color w:val="000000"/>
          <w:szCs w:val="24"/>
        </w:rPr>
        <w:t xml:space="preserve"> January 2020.  </w:t>
      </w:r>
      <w:r w:rsidR="00062D5B" w:rsidRPr="00333DA5">
        <w:rPr>
          <w:color w:val="000000"/>
          <w:szCs w:val="24"/>
        </w:rPr>
        <w:t xml:space="preserve">If the </w:t>
      </w:r>
      <w:r w:rsidR="00B34ED9" w:rsidRPr="00333DA5">
        <w:rPr>
          <w:color w:val="000000"/>
          <w:szCs w:val="24"/>
        </w:rPr>
        <w:t>issue of the confidential address impede</w:t>
      </w:r>
      <w:r w:rsidR="00062D5B" w:rsidRPr="00333DA5">
        <w:rPr>
          <w:color w:val="000000"/>
          <w:szCs w:val="24"/>
        </w:rPr>
        <w:t>d</w:t>
      </w:r>
      <w:r w:rsidR="00B34ED9" w:rsidRPr="00333DA5">
        <w:rPr>
          <w:color w:val="000000"/>
          <w:szCs w:val="24"/>
        </w:rPr>
        <w:t xml:space="preserve"> the ability of the CTSC to </w:t>
      </w:r>
      <w:r w:rsidR="00775BE0" w:rsidRPr="00333DA5">
        <w:rPr>
          <w:color w:val="000000"/>
          <w:szCs w:val="24"/>
        </w:rPr>
        <w:t>process the petition for service</w:t>
      </w:r>
      <w:r w:rsidR="00062D5B" w:rsidRPr="00333DA5">
        <w:rPr>
          <w:color w:val="000000"/>
          <w:szCs w:val="24"/>
        </w:rPr>
        <w:t>, this was not the fault of the wife</w:t>
      </w:r>
      <w:r w:rsidR="00775BE0" w:rsidRPr="00333DA5">
        <w:rPr>
          <w:color w:val="000000"/>
          <w:szCs w:val="24"/>
        </w:rPr>
        <w:t>.</w:t>
      </w:r>
    </w:p>
    <w:p w14:paraId="7A1A3B52" w14:textId="4E91354B" w:rsidR="00602D9B" w:rsidRPr="00333DA5" w:rsidRDefault="00661AE5" w:rsidP="001D0164">
      <w:pPr>
        <w:pStyle w:val="ParaLevel1"/>
        <w:rPr>
          <w:szCs w:val="24"/>
        </w:rPr>
      </w:pPr>
      <w:r w:rsidRPr="00333DA5">
        <w:rPr>
          <w:szCs w:val="24"/>
        </w:rPr>
        <w:t xml:space="preserve">I am further influenced </w:t>
      </w:r>
      <w:r w:rsidR="00435BD1" w:rsidRPr="00333DA5">
        <w:rPr>
          <w:szCs w:val="24"/>
        </w:rPr>
        <w:t xml:space="preserve">in reaching my conclusion </w:t>
      </w:r>
      <w:r w:rsidRPr="00333DA5">
        <w:rPr>
          <w:szCs w:val="24"/>
        </w:rPr>
        <w:t xml:space="preserve">by </w:t>
      </w:r>
      <w:r w:rsidR="00435BD1" w:rsidRPr="00333DA5">
        <w:rPr>
          <w:szCs w:val="24"/>
        </w:rPr>
        <w:t xml:space="preserve">a combination of the following </w:t>
      </w:r>
      <w:r w:rsidRPr="00333DA5">
        <w:rPr>
          <w:szCs w:val="24"/>
        </w:rPr>
        <w:t>fact</w:t>
      </w:r>
      <w:r w:rsidR="00435BD1" w:rsidRPr="00333DA5">
        <w:rPr>
          <w:szCs w:val="24"/>
        </w:rPr>
        <w:t>s</w:t>
      </w:r>
      <w:r w:rsidRPr="00333DA5">
        <w:rPr>
          <w:szCs w:val="24"/>
        </w:rPr>
        <w:t>:</w:t>
      </w:r>
    </w:p>
    <w:p w14:paraId="46207965" w14:textId="2F243D23" w:rsidR="0053398A" w:rsidRPr="00333DA5" w:rsidRDefault="0053398A" w:rsidP="001D0164">
      <w:pPr>
        <w:pStyle w:val="ParaLevel2"/>
        <w:rPr>
          <w:szCs w:val="24"/>
        </w:rPr>
      </w:pPr>
      <w:r w:rsidRPr="00333DA5">
        <w:rPr>
          <w:szCs w:val="24"/>
        </w:rPr>
        <w:t xml:space="preserve">The petition </w:t>
      </w:r>
      <w:r w:rsidR="00720A2A">
        <w:rPr>
          <w:szCs w:val="24"/>
        </w:rPr>
        <w:t xml:space="preserve">which was </w:t>
      </w:r>
      <w:r w:rsidRPr="00333DA5">
        <w:rPr>
          <w:szCs w:val="24"/>
        </w:rPr>
        <w:t xml:space="preserve">served on the husband </w:t>
      </w:r>
      <w:r w:rsidR="00435BD1" w:rsidRPr="00333DA5">
        <w:rPr>
          <w:szCs w:val="24"/>
        </w:rPr>
        <w:t xml:space="preserve">in February 2020 </w:t>
      </w:r>
      <w:r w:rsidRPr="00333DA5">
        <w:rPr>
          <w:szCs w:val="24"/>
        </w:rPr>
        <w:t xml:space="preserve">was the </w:t>
      </w:r>
      <w:r w:rsidR="00435BD1" w:rsidRPr="00333DA5">
        <w:rPr>
          <w:szCs w:val="24"/>
        </w:rPr>
        <w:t>same document</w:t>
      </w:r>
      <w:r w:rsidR="00720A2A">
        <w:rPr>
          <w:szCs w:val="24"/>
        </w:rPr>
        <w:t>, containing the same particulars,</w:t>
      </w:r>
      <w:r w:rsidR="00435BD1" w:rsidRPr="00333DA5">
        <w:rPr>
          <w:szCs w:val="24"/>
        </w:rPr>
        <w:t xml:space="preserve"> </w:t>
      </w:r>
      <w:r w:rsidRPr="00333DA5">
        <w:rPr>
          <w:szCs w:val="24"/>
        </w:rPr>
        <w:t xml:space="preserve">which had been lodged by the wife on 12 January </w:t>
      </w:r>
      <w:proofErr w:type="gramStart"/>
      <w:r w:rsidRPr="00333DA5">
        <w:rPr>
          <w:szCs w:val="24"/>
        </w:rPr>
        <w:t>2020;</w:t>
      </w:r>
      <w:proofErr w:type="gramEnd"/>
      <w:r w:rsidRPr="00333DA5">
        <w:rPr>
          <w:szCs w:val="24"/>
        </w:rPr>
        <w:t xml:space="preserve"> </w:t>
      </w:r>
    </w:p>
    <w:p w14:paraId="5E560FD0" w14:textId="65F2EB14" w:rsidR="007F00BC" w:rsidRPr="00333DA5" w:rsidRDefault="007F00BC" w:rsidP="001D0164">
      <w:pPr>
        <w:pStyle w:val="ParaLevel2"/>
        <w:rPr>
          <w:szCs w:val="24"/>
        </w:rPr>
      </w:pPr>
      <w:r w:rsidRPr="00333DA5">
        <w:rPr>
          <w:szCs w:val="24"/>
        </w:rPr>
        <w:t>On 12 January 2020, the CTSC had issued the wife with a reference number in relation to her petition (1578‐8624‐1959‐1360); this reference number did not change</w:t>
      </w:r>
      <w:r w:rsidR="00720A2A">
        <w:rPr>
          <w:szCs w:val="24"/>
        </w:rPr>
        <w:t>;</w:t>
      </w:r>
    </w:p>
    <w:p w14:paraId="69A8849E" w14:textId="5D1A5E92" w:rsidR="007F00BC" w:rsidRPr="00333DA5" w:rsidRDefault="007F00BC" w:rsidP="001D0164">
      <w:pPr>
        <w:pStyle w:val="ParaLevel2"/>
        <w:rPr>
          <w:szCs w:val="24"/>
        </w:rPr>
      </w:pPr>
      <w:r w:rsidRPr="00333DA5">
        <w:rPr>
          <w:szCs w:val="24"/>
        </w:rPr>
        <w:t xml:space="preserve">By 29 January the CTSC had ascribed the petition a case number; this is the same case number under which the petition was subsequently </w:t>
      </w:r>
      <w:proofErr w:type="gramStart"/>
      <w:r w:rsidRPr="00333DA5">
        <w:rPr>
          <w:szCs w:val="24"/>
        </w:rPr>
        <w:t>issued</w:t>
      </w:r>
      <w:r w:rsidR="000905FF" w:rsidRPr="00333DA5">
        <w:rPr>
          <w:szCs w:val="24"/>
        </w:rPr>
        <w:t>;</w:t>
      </w:r>
      <w:proofErr w:type="gramEnd"/>
    </w:p>
    <w:p w14:paraId="7C788709" w14:textId="721E5848" w:rsidR="00B7320C" w:rsidRPr="00333DA5" w:rsidRDefault="007A50C8" w:rsidP="001D0164">
      <w:pPr>
        <w:pStyle w:val="ParaLevel2"/>
        <w:rPr>
          <w:szCs w:val="24"/>
        </w:rPr>
      </w:pPr>
      <w:r w:rsidRPr="00333DA5">
        <w:rPr>
          <w:szCs w:val="24"/>
        </w:rPr>
        <w:lastRenderedPageBreak/>
        <w:t xml:space="preserve">There had been no effective break in the continuity of the process.  </w:t>
      </w:r>
      <w:r w:rsidR="00AF1148" w:rsidRPr="00333DA5">
        <w:rPr>
          <w:szCs w:val="24"/>
        </w:rPr>
        <w:t xml:space="preserve">Although Mr Birch relied on the CTSC’s description of the petition as having been ‘rejected’ in fact it was not in reality </w:t>
      </w:r>
      <w:r w:rsidR="00832742" w:rsidRPr="00333DA5">
        <w:rPr>
          <w:szCs w:val="24"/>
        </w:rPr>
        <w:t xml:space="preserve">ever </w:t>
      </w:r>
      <w:r w:rsidR="00B7320C" w:rsidRPr="00333DA5">
        <w:rPr>
          <w:szCs w:val="24"/>
        </w:rPr>
        <w:t>‘rejected’</w:t>
      </w:r>
      <w:r w:rsidR="00DA1411" w:rsidRPr="00333DA5">
        <w:rPr>
          <w:szCs w:val="24"/>
        </w:rPr>
        <w:t>:</w:t>
      </w:r>
      <w:r w:rsidR="00B7320C" w:rsidRPr="00333DA5">
        <w:rPr>
          <w:szCs w:val="24"/>
        </w:rPr>
        <w:t xml:space="preserve"> </w:t>
      </w:r>
    </w:p>
    <w:p w14:paraId="222FE6B3" w14:textId="1D6D22E4" w:rsidR="0048554E" w:rsidRPr="00333DA5" w:rsidRDefault="0048554E" w:rsidP="001D0164">
      <w:pPr>
        <w:pStyle w:val="ParaLevel2"/>
        <w:rPr>
          <w:szCs w:val="24"/>
        </w:rPr>
      </w:pPr>
      <w:r w:rsidRPr="00333DA5">
        <w:rPr>
          <w:szCs w:val="24"/>
        </w:rPr>
        <w:t xml:space="preserve">On 16 January 2020, the CTSC </w:t>
      </w:r>
      <w:r w:rsidR="00F31920" w:rsidRPr="00333DA5">
        <w:rPr>
          <w:szCs w:val="24"/>
        </w:rPr>
        <w:t xml:space="preserve">wrote to the </w:t>
      </w:r>
      <w:r w:rsidR="002B7A02" w:rsidRPr="00333DA5">
        <w:rPr>
          <w:szCs w:val="24"/>
        </w:rPr>
        <w:t xml:space="preserve">wife stating that it would </w:t>
      </w:r>
      <w:r w:rsidRPr="00333DA5">
        <w:rPr>
          <w:szCs w:val="24"/>
        </w:rPr>
        <w:t xml:space="preserve">return the petition to </w:t>
      </w:r>
      <w:r w:rsidR="002B7A02" w:rsidRPr="00333DA5">
        <w:rPr>
          <w:szCs w:val="24"/>
        </w:rPr>
        <w:t xml:space="preserve">her together with </w:t>
      </w:r>
      <w:r w:rsidR="00F31920" w:rsidRPr="00333DA5">
        <w:rPr>
          <w:szCs w:val="24"/>
        </w:rPr>
        <w:t xml:space="preserve">the fee </w:t>
      </w:r>
      <w:r w:rsidRPr="00333DA5">
        <w:rPr>
          <w:szCs w:val="24"/>
        </w:rPr>
        <w:t xml:space="preserve">for failure to provide </w:t>
      </w:r>
      <w:r w:rsidR="00DA13D6" w:rsidRPr="00333DA5">
        <w:rPr>
          <w:szCs w:val="24"/>
        </w:rPr>
        <w:t xml:space="preserve">legible copies of the marriage certificate </w:t>
      </w:r>
      <w:r w:rsidRPr="00333DA5">
        <w:rPr>
          <w:color w:val="000000"/>
          <w:szCs w:val="24"/>
        </w:rPr>
        <w:t>(see Chronology in §16 above)</w:t>
      </w:r>
      <w:r w:rsidR="00723631" w:rsidRPr="00333DA5">
        <w:rPr>
          <w:color w:val="000000"/>
          <w:szCs w:val="24"/>
        </w:rPr>
        <w:t xml:space="preserve">.  This communication is important </w:t>
      </w:r>
      <w:r w:rsidR="006409B7" w:rsidRPr="00333DA5">
        <w:rPr>
          <w:color w:val="000000"/>
          <w:szCs w:val="24"/>
        </w:rPr>
        <w:t xml:space="preserve">in </w:t>
      </w:r>
      <w:r w:rsidR="00723631" w:rsidRPr="00333DA5">
        <w:rPr>
          <w:color w:val="000000"/>
          <w:szCs w:val="24"/>
        </w:rPr>
        <w:t>demonstrat</w:t>
      </w:r>
      <w:r w:rsidR="006409B7" w:rsidRPr="00333DA5">
        <w:rPr>
          <w:color w:val="000000"/>
          <w:szCs w:val="24"/>
        </w:rPr>
        <w:t xml:space="preserve">ing </w:t>
      </w:r>
      <w:r w:rsidR="00723631" w:rsidRPr="00333DA5">
        <w:rPr>
          <w:color w:val="000000"/>
          <w:szCs w:val="24"/>
        </w:rPr>
        <w:t xml:space="preserve">that the CTSC would </w:t>
      </w:r>
      <w:r w:rsidR="00506338">
        <w:rPr>
          <w:color w:val="000000"/>
          <w:szCs w:val="24"/>
        </w:rPr>
        <w:t xml:space="preserve">or could </w:t>
      </w:r>
      <w:r w:rsidR="00723631" w:rsidRPr="00333DA5">
        <w:rPr>
          <w:color w:val="000000"/>
          <w:szCs w:val="24"/>
        </w:rPr>
        <w:t xml:space="preserve">have </w:t>
      </w:r>
      <w:r w:rsidR="00454D2A" w:rsidRPr="00333DA5">
        <w:rPr>
          <w:color w:val="000000"/>
          <w:szCs w:val="24"/>
        </w:rPr>
        <w:t xml:space="preserve">taken steps, which </w:t>
      </w:r>
      <w:r w:rsidRPr="00333DA5">
        <w:rPr>
          <w:szCs w:val="24"/>
        </w:rPr>
        <w:t xml:space="preserve">it </w:t>
      </w:r>
      <w:proofErr w:type="gramStart"/>
      <w:r w:rsidR="009B3C45" w:rsidRPr="00333DA5">
        <w:rPr>
          <w:szCs w:val="24"/>
        </w:rPr>
        <w:t xml:space="preserve">actually </w:t>
      </w:r>
      <w:r w:rsidRPr="00333DA5">
        <w:rPr>
          <w:szCs w:val="24"/>
        </w:rPr>
        <w:t>never</w:t>
      </w:r>
      <w:proofErr w:type="gramEnd"/>
      <w:r w:rsidRPr="00333DA5">
        <w:rPr>
          <w:szCs w:val="24"/>
        </w:rPr>
        <w:t xml:space="preserve"> did</w:t>
      </w:r>
      <w:r w:rsidR="00454D2A" w:rsidRPr="00333DA5">
        <w:rPr>
          <w:szCs w:val="24"/>
        </w:rPr>
        <w:t xml:space="preserve">, to bring the process to an end if it was not satisfied of the steps taken by the wife.  As it happens, and </w:t>
      </w:r>
      <w:r w:rsidR="00832742" w:rsidRPr="00333DA5">
        <w:rPr>
          <w:szCs w:val="24"/>
        </w:rPr>
        <w:t xml:space="preserve">insofar as there had been any real issue over the </w:t>
      </w:r>
      <w:r w:rsidR="00B971CC" w:rsidRPr="00333DA5">
        <w:rPr>
          <w:szCs w:val="24"/>
        </w:rPr>
        <w:t xml:space="preserve">integrity of the JPEG attachment, this </w:t>
      </w:r>
      <w:r w:rsidR="00832742" w:rsidRPr="00333DA5">
        <w:rPr>
          <w:szCs w:val="24"/>
        </w:rPr>
        <w:t xml:space="preserve">was cured by 28 January 2020 at the </w:t>
      </w:r>
      <w:proofErr w:type="gramStart"/>
      <w:r w:rsidR="00832742" w:rsidRPr="00333DA5">
        <w:rPr>
          <w:szCs w:val="24"/>
        </w:rPr>
        <w:t>latest;</w:t>
      </w:r>
      <w:proofErr w:type="gramEnd"/>
    </w:p>
    <w:p w14:paraId="48DCC6CB" w14:textId="7E030EBB" w:rsidR="00143616" w:rsidRPr="00333DA5" w:rsidRDefault="00143616" w:rsidP="001D0164">
      <w:pPr>
        <w:pStyle w:val="ParaLevel2"/>
        <w:rPr>
          <w:szCs w:val="24"/>
        </w:rPr>
      </w:pPr>
      <w:r w:rsidRPr="00333DA5">
        <w:rPr>
          <w:szCs w:val="24"/>
        </w:rPr>
        <w:t xml:space="preserve">The </w:t>
      </w:r>
      <w:r w:rsidR="00AD2F34" w:rsidRPr="00333DA5">
        <w:rPr>
          <w:szCs w:val="24"/>
        </w:rPr>
        <w:t xml:space="preserve">difficulties </w:t>
      </w:r>
      <w:r w:rsidR="00B354FA" w:rsidRPr="00333DA5">
        <w:rPr>
          <w:szCs w:val="24"/>
        </w:rPr>
        <w:t xml:space="preserve">which the CTSC encountered in </w:t>
      </w:r>
      <w:r w:rsidR="00AD2F34" w:rsidRPr="00333DA5">
        <w:rPr>
          <w:szCs w:val="24"/>
        </w:rPr>
        <w:t xml:space="preserve">processing the </w:t>
      </w:r>
      <w:r w:rsidR="00B354FA" w:rsidRPr="00333DA5">
        <w:rPr>
          <w:szCs w:val="24"/>
        </w:rPr>
        <w:t xml:space="preserve">wife’s </w:t>
      </w:r>
      <w:r w:rsidR="00AD2F34" w:rsidRPr="00333DA5">
        <w:rPr>
          <w:szCs w:val="24"/>
        </w:rPr>
        <w:t xml:space="preserve">petition given </w:t>
      </w:r>
      <w:r w:rsidR="00B354FA" w:rsidRPr="00333DA5">
        <w:rPr>
          <w:szCs w:val="24"/>
        </w:rPr>
        <w:t xml:space="preserve">her </w:t>
      </w:r>
      <w:r w:rsidR="00AD2F34" w:rsidRPr="00333DA5">
        <w:rPr>
          <w:szCs w:val="24"/>
        </w:rPr>
        <w:t xml:space="preserve">request for her home address to be kept confidential </w:t>
      </w:r>
      <w:r w:rsidR="00B354FA" w:rsidRPr="00333DA5">
        <w:rPr>
          <w:szCs w:val="24"/>
        </w:rPr>
        <w:t>was not a ‘failure’ on her part to take a relevant step;</w:t>
      </w:r>
      <w:r w:rsidR="00B85FD8" w:rsidRPr="00333DA5">
        <w:rPr>
          <w:szCs w:val="24"/>
        </w:rPr>
        <w:t xml:space="preserve"> there was never any </w:t>
      </w:r>
      <w:r w:rsidR="00C76581" w:rsidRPr="00333DA5">
        <w:rPr>
          <w:szCs w:val="24"/>
        </w:rPr>
        <w:t xml:space="preserve">lack of clarity about the husband’s address for </w:t>
      </w:r>
      <w:proofErr w:type="gramStart"/>
      <w:r w:rsidR="00C76581" w:rsidRPr="00333DA5">
        <w:rPr>
          <w:szCs w:val="24"/>
        </w:rPr>
        <w:t>service;</w:t>
      </w:r>
      <w:proofErr w:type="gramEnd"/>
    </w:p>
    <w:p w14:paraId="37FCD97F" w14:textId="12E18EF2" w:rsidR="00602D9B" w:rsidRPr="00333DA5" w:rsidRDefault="008B0B55" w:rsidP="001D0164">
      <w:pPr>
        <w:pStyle w:val="ParaLevel2"/>
        <w:rPr>
          <w:szCs w:val="24"/>
        </w:rPr>
      </w:pPr>
      <w:r w:rsidRPr="00333DA5">
        <w:rPr>
          <w:szCs w:val="24"/>
        </w:rPr>
        <w:t xml:space="preserve">The wife paid the court fee to </w:t>
      </w:r>
      <w:r w:rsidR="00602D9B" w:rsidRPr="00333DA5">
        <w:rPr>
          <w:szCs w:val="24"/>
        </w:rPr>
        <w:t xml:space="preserve">HMCTS on 12 January 2020.  At no time did </w:t>
      </w:r>
      <w:r w:rsidRPr="00333DA5">
        <w:rPr>
          <w:szCs w:val="24"/>
        </w:rPr>
        <w:t>HMCTS reimburse the fee</w:t>
      </w:r>
      <w:r w:rsidR="00E54835" w:rsidRPr="00333DA5">
        <w:rPr>
          <w:szCs w:val="24"/>
        </w:rPr>
        <w:t>; it seems to me that</w:t>
      </w:r>
      <w:r w:rsidRPr="00333DA5">
        <w:rPr>
          <w:szCs w:val="24"/>
        </w:rPr>
        <w:t xml:space="preserve"> it would have done </w:t>
      </w:r>
      <w:r w:rsidR="00E54835" w:rsidRPr="00333DA5">
        <w:rPr>
          <w:szCs w:val="24"/>
        </w:rPr>
        <w:t xml:space="preserve">so </w:t>
      </w:r>
      <w:r w:rsidRPr="00333DA5">
        <w:rPr>
          <w:szCs w:val="24"/>
        </w:rPr>
        <w:t xml:space="preserve">if the petition had not been </w:t>
      </w:r>
      <w:r w:rsidRPr="00333DA5">
        <w:rPr>
          <w:i/>
          <w:iCs/>
          <w:szCs w:val="24"/>
        </w:rPr>
        <w:t>effectively</w:t>
      </w:r>
      <w:r w:rsidRPr="00333DA5">
        <w:rPr>
          <w:szCs w:val="24"/>
        </w:rPr>
        <w:t xml:space="preserve"> lodged, </w:t>
      </w:r>
      <w:r w:rsidR="00C50ED2" w:rsidRPr="00333DA5">
        <w:rPr>
          <w:szCs w:val="24"/>
        </w:rPr>
        <w:t xml:space="preserve">or had been ‘rejected’, </w:t>
      </w:r>
      <w:r w:rsidRPr="00333DA5">
        <w:rPr>
          <w:szCs w:val="24"/>
        </w:rPr>
        <w:t xml:space="preserve">and was not being </w:t>
      </w:r>
      <w:proofErr w:type="gramStart"/>
      <w:r w:rsidRPr="00333DA5">
        <w:rPr>
          <w:szCs w:val="24"/>
        </w:rPr>
        <w:t>pursued;</w:t>
      </w:r>
      <w:proofErr w:type="gramEnd"/>
    </w:p>
    <w:p w14:paraId="7B528C28" w14:textId="47667EEA" w:rsidR="009832E2" w:rsidRPr="00333DA5" w:rsidRDefault="00C50ED2" w:rsidP="001D0164">
      <w:pPr>
        <w:pStyle w:val="ParaLevel2"/>
        <w:rPr>
          <w:szCs w:val="24"/>
        </w:rPr>
      </w:pPr>
      <w:r w:rsidRPr="00333DA5">
        <w:rPr>
          <w:szCs w:val="24"/>
        </w:rPr>
        <w:t xml:space="preserve">Insofar as there were obstacles to the swift service of her petition, </w:t>
      </w:r>
      <w:r w:rsidR="004B153D" w:rsidRPr="00333DA5">
        <w:rPr>
          <w:szCs w:val="24"/>
        </w:rPr>
        <w:t xml:space="preserve">I accept that there </w:t>
      </w:r>
      <w:r w:rsidR="002417E0">
        <w:rPr>
          <w:szCs w:val="24"/>
        </w:rPr>
        <w:t xml:space="preserve">appears to have been </w:t>
      </w:r>
      <w:proofErr w:type="gramStart"/>
      <w:r w:rsidR="004B153D" w:rsidRPr="00333DA5">
        <w:rPr>
          <w:szCs w:val="24"/>
        </w:rPr>
        <w:t xml:space="preserve">a </w:t>
      </w:r>
      <w:r w:rsidR="00C12061" w:rsidRPr="00333DA5">
        <w:rPr>
          <w:szCs w:val="24"/>
        </w:rPr>
        <w:t>number of</w:t>
      </w:r>
      <w:proofErr w:type="gramEnd"/>
      <w:r w:rsidR="00C12061" w:rsidRPr="00333DA5">
        <w:rPr>
          <w:szCs w:val="24"/>
        </w:rPr>
        <w:t xml:space="preserve"> technical errors in the processing of the petition</w:t>
      </w:r>
      <w:r w:rsidR="00AB0369" w:rsidRPr="00333DA5">
        <w:rPr>
          <w:szCs w:val="24"/>
        </w:rPr>
        <w:t xml:space="preserve">, </w:t>
      </w:r>
      <w:r w:rsidR="004B153D" w:rsidRPr="00333DA5">
        <w:rPr>
          <w:szCs w:val="24"/>
        </w:rPr>
        <w:t xml:space="preserve">perhaps attributable to the </w:t>
      </w:r>
      <w:r w:rsidR="008B2AED" w:rsidRPr="00333DA5">
        <w:rPr>
          <w:szCs w:val="24"/>
        </w:rPr>
        <w:t xml:space="preserve">fledgling digital service at the time, </w:t>
      </w:r>
      <w:r w:rsidR="00AB0369" w:rsidRPr="00333DA5">
        <w:rPr>
          <w:szCs w:val="24"/>
        </w:rPr>
        <w:t>including:</w:t>
      </w:r>
    </w:p>
    <w:p w14:paraId="587A278A" w14:textId="2108B724" w:rsidR="00C12061" w:rsidRPr="00333DA5" w:rsidRDefault="00D6625F" w:rsidP="001D0164">
      <w:pPr>
        <w:pStyle w:val="ParaLevel3"/>
        <w:rPr>
          <w:szCs w:val="24"/>
        </w:rPr>
      </w:pPr>
      <w:r>
        <w:rPr>
          <w:szCs w:val="24"/>
        </w:rPr>
        <w:t xml:space="preserve">The wife </w:t>
      </w:r>
      <w:r w:rsidR="009913C7" w:rsidRPr="00333DA5">
        <w:rPr>
          <w:szCs w:val="24"/>
        </w:rPr>
        <w:t xml:space="preserve">had </w:t>
      </w:r>
      <w:r>
        <w:rPr>
          <w:szCs w:val="24"/>
        </w:rPr>
        <w:t xml:space="preserve">stated that </w:t>
      </w:r>
      <w:r w:rsidR="009913C7" w:rsidRPr="00333DA5">
        <w:rPr>
          <w:szCs w:val="24"/>
        </w:rPr>
        <w:t xml:space="preserve">there was a child </w:t>
      </w:r>
      <w:r>
        <w:rPr>
          <w:szCs w:val="24"/>
        </w:rPr>
        <w:t xml:space="preserve">of the family when lodging her divorce petition; </w:t>
      </w:r>
      <w:r w:rsidR="009913C7" w:rsidRPr="00333DA5">
        <w:rPr>
          <w:szCs w:val="24"/>
        </w:rPr>
        <w:t xml:space="preserve">she had ticked </w:t>
      </w:r>
      <w:r w:rsidR="002E3B26">
        <w:rPr>
          <w:szCs w:val="24"/>
        </w:rPr>
        <w:t xml:space="preserve">the box indicating </w:t>
      </w:r>
      <w:r w:rsidR="009913C7" w:rsidRPr="00333DA5">
        <w:rPr>
          <w:szCs w:val="24"/>
        </w:rPr>
        <w:t xml:space="preserve">that she was also applying for financial orders for the child and her. </w:t>
      </w:r>
      <w:r w:rsidR="002E3B26">
        <w:rPr>
          <w:szCs w:val="24"/>
        </w:rPr>
        <w:t xml:space="preserve"> However</w:t>
      </w:r>
      <w:r w:rsidR="009913C7" w:rsidRPr="00333DA5">
        <w:rPr>
          <w:szCs w:val="24"/>
        </w:rPr>
        <w:t xml:space="preserve">, the text in the Family Man system </w:t>
      </w:r>
      <w:r w:rsidR="002E3B26">
        <w:rPr>
          <w:szCs w:val="24"/>
        </w:rPr>
        <w:t xml:space="preserve">erroneously </w:t>
      </w:r>
      <w:r w:rsidR="009913C7" w:rsidRPr="00333DA5">
        <w:rPr>
          <w:szCs w:val="24"/>
        </w:rPr>
        <w:t>indica</w:t>
      </w:r>
      <w:r w:rsidR="002E3B26">
        <w:rPr>
          <w:szCs w:val="24"/>
        </w:rPr>
        <w:t xml:space="preserve">ted </w:t>
      </w:r>
      <w:r w:rsidR="009913C7" w:rsidRPr="00333DA5">
        <w:rPr>
          <w:szCs w:val="24"/>
        </w:rPr>
        <w:t xml:space="preserve">“N” to </w:t>
      </w:r>
      <w:r w:rsidR="002E3B26">
        <w:rPr>
          <w:szCs w:val="24"/>
        </w:rPr>
        <w:t>‘</w:t>
      </w:r>
      <w:r w:rsidR="009913C7" w:rsidRPr="00333DA5">
        <w:rPr>
          <w:szCs w:val="24"/>
        </w:rPr>
        <w:t>children involved</w:t>
      </w:r>
      <w:r w:rsidR="002E3B26">
        <w:rPr>
          <w:szCs w:val="24"/>
        </w:rPr>
        <w:t>’</w:t>
      </w:r>
      <w:r w:rsidR="009913C7" w:rsidRPr="00333DA5">
        <w:rPr>
          <w:szCs w:val="24"/>
        </w:rPr>
        <w:t xml:space="preserve"> in the divorce is not correct;</w:t>
      </w:r>
    </w:p>
    <w:p w14:paraId="0D6CF17D" w14:textId="3D49B65F" w:rsidR="009913C7" w:rsidRPr="00333DA5" w:rsidRDefault="00D54239" w:rsidP="001D0164">
      <w:pPr>
        <w:pStyle w:val="ParaLevel3"/>
        <w:rPr>
          <w:szCs w:val="24"/>
        </w:rPr>
      </w:pPr>
      <w:r w:rsidRPr="00333DA5">
        <w:rPr>
          <w:szCs w:val="24"/>
        </w:rPr>
        <w:t xml:space="preserve">There was an entry in the system for 27 January 2020 </w:t>
      </w:r>
      <w:r w:rsidR="00F119B7" w:rsidRPr="00333DA5">
        <w:rPr>
          <w:szCs w:val="24"/>
        </w:rPr>
        <w:t xml:space="preserve">which apparently shows </w:t>
      </w:r>
      <w:r w:rsidRPr="00333DA5">
        <w:rPr>
          <w:szCs w:val="24"/>
        </w:rPr>
        <w:t xml:space="preserve">that </w:t>
      </w:r>
      <w:r w:rsidR="00F119B7" w:rsidRPr="00333DA5">
        <w:rPr>
          <w:szCs w:val="24"/>
        </w:rPr>
        <w:t xml:space="preserve">on that day </w:t>
      </w:r>
      <w:r w:rsidRPr="00333DA5">
        <w:rPr>
          <w:szCs w:val="24"/>
        </w:rPr>
        <w:t>the</w:t>
      </w:r>
      <w:r w:rsidR="00F119B7" w:rsidRPr="00333DA5">
        <w:rPr>
          <w:szCs w:val="24"/>
        </w:rPr>
        <w:t>re was a</w:t>
      </w:r>
      <w:r w:rsidRPr="00333DA5">
        <w:rPr>
          <w:szCs w:val="24"/>
        </w:rPr>
        <w:t xml:space="preserve"> case payment / submitted; this is</w:t>
      </w:r>
      <w:r w:rsidR="00F119B7" w:rsidRPr="00333DA5">
        <w:rPr>
          <w:szCs w:val="24"/>
        </w:rPr>
        <w:t xml:space="preserve">, to my </w:t>
      </w:r>
      <w:r w:rsidR="00DA1A80" w:rsidRPr="00333DA5">
        <w:rPr>
          <w:szCs w:val="24"/>
        </w:rPr>
        <w:t>satisfaction,</w:t>
      </w:r>
      <w:r w:rsidRPr="00333DA5">
        <w:rPr>
          <w:szCs w:val="24"/>
        </w:rPr>
        <w:t xml:space="preserve"> </w:t>
      </w:r>
      <w:r w:rsidR="00DA1A80" w:rsidRPr="00333DA5">
        <w:rPr>
          <w:szCs w:val="24"/>
        </w:rPr>
        <w:t xml:space="preserve">clearly </w:t>
      </w:r>
      <w:r w:rsidRPr="00333DA5">
        <w:rPr>
          <w:szCs w:val="24"/>
        </w:rPr>
        <w:t xml:space="preserve">contradicted by the evidence </w:t>
      </w:r>
      <w:r w:rsidR="00DA1A80" w:rsidRPr="00333DA5">
        <w:rPr>
          <w:szCs w:val="24"/>
        </w:rPr>
        <w:t xml:space="preserve">(which I accept) </w:t>
      </w:r>
      <w:r w:rsidRPr="00333DA5">
        <w:rPr>
          <w:szCs w:val="24"/>
        </w:rPr>
        <w:t>that the wife submitted payment on 12 January 2020</w:t>
      </w:r>
      <w:r w:rsidR="00DA1A80" w:rsidRPr="00333DA5">
        <w:rPr>
          <w:szCs w:val="24"/>
        </w:rPr>
        <w:t xml:space="preserve"> and received a </w:t>
      </w:r>
      <w:r w:rsidR="00535E8B" w:rsidRPr="00333DA5">
        <w:rPr>
          <w:szCs w:val="24"/>
        </w:rPr>
        <w:t>receipt</w:t>
      </w:r>
      <w:r w:rsidRPr="00333DA5">
        <w:rPr>
          <w:szCs w:val="24"/>
        </w:rPr>
        <w:t xml:space="preserve">. </w:t>
      </w:r>
      <w:r w:rsidR="004B15B6" w:rsidRPr="00333DA5">
        <w:rPr>
          <w:szCs w:val="24"/>
        </w:rPr>
        <w:t xml:space="preserve">She did not make </w:t>
      </w:r>
      <w:r w:rsidRPr="00333DA5">
        <w:rPr>
          <w:szCs w:val="24"/>
        </w:rPr>
        <w:t>any divorce application or payment on 27 January 2020</w:t>
      </w:r>
      <w:r w:rsidR="00F119B7" w:rsidRPr="00333DA5">
        <w:rPr>
          <w:szCs w:val="24"/>
        </w:rPr>
        <w:t>.</w:t>
      </w:r>
    </w:p>
    <w:p w14:paraId="5D2B6625" w14:textId="02BF236E" w:rsidR="00EF3ED8" w:rsidRPr="00333DA5" w:rsidRDefault="00EF3ED8" w:rsidP="001D0164">
      <w:pPr>
        <w:pStyle w:val="ParaLevel1"/>
        <w:rPr>
          <w:color w:val="000000"/>
          <w:szCs w:val="24"/>
          <w:lang w:eastAsia="en-GB"/>
        </w:rPr>
      </w:pPr>
      <w:r w:rsidRPr="00333DA5">
        <w:rPr>
          <w:color w:val="000000"/>
          <w:szCs w:val="24"/>
          <w:lang w:eastAsia="en-GB"/>
        </w:rPr>
        <w:t xml:space="preserve">In my earlier judgment, I had referenced the decision of Judge </w:t>
      </w:r>
      <w:r w:rsidR="00A55169" w:rsidRPr="00333DA5">
        <w:rPr>
          <w:color w:val="000000"/>
          <w:szCs w:val="24"/>
          <w:lang w:eastAsia="en-GB"/>
        </w:rPr>
        <w:t xml:space="preserve">Kostadinova </w:t>
      </w:r>
      <w:r w:rsidRPr="00333DA5">
        <w:rPr>
          <w:color w:val="000000"/>
          <w:szCs w:val="24"/>
          <w:lang w:eastAsia="en-GB"/>
        </w:rPr>
        <w:t xml:space="preserve">in Bulgaria, and indeed cited extensively from her judgment.  </w:t>
      </w:r>
      <w:r w:rsidR="00F116D3" w:rsidRPr="00333DA5">
        <w:rPr>
          <w:color w:val="000000"/>
          <w:szCs w:val="24"/>
          <w:lang w:eastAsia="en-GB"/>
        </w:rPr>
        <w:t xml:space="preserve">I remain of the view that this analysis was correct.  </w:t>
      </w:r>
      <w:r w:rsidRPr="00333DA5">
        <w:rPr>
          <w:color w:val="000000"/>
          <w:szCs w:val="24"/>
          <w:lang w:eastAsia="en-GB"/>
        </w:rPr>
        <w:t>The husband appealed that decision in the Bulgarian Court.  The Bulgarian Appeal Court rejected his appeal</w:t>
      </w:r>
      <w:r w:rsidR="00D27A93" w:rsidRPr="00333DA5">
        <w:rPr>
          <w:color w:val="000000"/>
          <w:szCs w:val="24"/>
          <w:lang w:eastAsia="en-GB"/>
        </w:rPr>
        <w:t xml:space="preserve"> on 4 February 2022</w:t>
      </w:r>
      <w:r w:rsidR="00AA5ECF" w:rsidRPr="00333DA5">
        <w:rPr>
          <w:color w:val="000000"/>
          <w:szCs w:val="24"/>
          <w:lang w:eastAsia="en-GB"/>
        </w:rPr>
        <w:t>.</w:t>
      </w:r>
    </w:p>
    <w:p w14:paraId="31F0454F" w14:textId="2AF1645C" w:rsidR="007F06F4" w:rsidRPr="00333DA5" w:rsidRDefault="007F06F4" w:rsidP="001D0164">
      <w:pPr>
        <w:pStyle w:val="ParaLevel1"/>
        <w:rPr>
          <w:color w:val="000000"/>
          <w:szCs w:val="24"/>
          <w:lang w:eastAsia="en-GB"/>
        </w:rPr>
      </w:pPr>
      <w:r w:rsidRPr="00333DA5">
        <w:rPr>
          <w:szCs w:val="24"/>
        </w:rPr>
        <w:t xml:space="preserve">For the avoidance of </w:t>
      </w:r>
      <w:r w:rsidR="00535E8B" w:rsidRPr="00333DA5">
        <w:rPr>
          <w:szCs w:val="24"/>
        </w:rPr>
        <w:t>doubt,</w:t>
      </w:r>
      <w:r w:rsidRPr="00333DA5">
        <w:rPr>
          <w:szCs w:val="24"/>
        </w:rPr>
        <w:t xml:space="preserve"> I should add that I decline to consider the wife’s secondary argument.  It is not a matter for me to determine whether, as a matter of Bulgarian law, the petition was </w:t>
      </w:r>
      <w:r w:rsidR="008118C4" w:rsidRPr="00333DA5">
        <w:rPr>
          <w:szCs w:val="24"/>
        </w:rPr>
        <w:t xml:space="preserve">or was not </w:t>
      </w:r>
      <w:r w:rsidRPr="00333DA5">
        <w:rPr>
          <w:szCs w:val="24"/>
        </w:rPr>
        <w:t xml:space="preserve">effectively lodged </w:t>
      </w:r>
      <w:r w:rsidR="008118C4" w:rsidRPr="00333DA5">
        <w:rPr>
          <w:szCs w:val="24"/>
        </w:rPr>
        <w:t xml:space="preserve">in that country </w:t>
      </w:r>
      <w:r w:rsidRPr="00333DA5">
        <w:rPr>
          <w:szCs w:val="24"/>
        </w:rPr>
        <w:t xml:space="preserve">on 4 February.  Moreover, it would be quite wrong for me to go behind Judge Kostadinova’s ruling (quoted in §30 </w:t>
      </w:r>
      <w:r w:rsidRPr="00333DA5">
        <w:rPr>
          <w:szCs w:val="24"/>
        </w:rPr>
        <w:lastRenderedPageBreak/>
        <w:t>of my earlier judgment) in which she said that: “</w:t>
      </w:r>
      <w:r w:rsidRPr="00333DA5">
        <w:rPr>
          <w:color w:val="000000"/>
          <w:szCs w:val="24"/>
        </w:rPr>
        <w:t>The proceedings in the present case were instituted by the claimant [NP] on 04.02.2020”</w:t>
      </w:r>
      <w:r w:rsidR="008118C4" w:rsidRPr="00333DA5">
        <w:rPr>
          <w:color w:val="000000"/>
          <w:szCs w:val="24"/>
        </w:rPr>
        <w:t>.</w:t>
      </w:r>
    </w:p>
    <w:p w14:paraId="18ABE489" w14:textId="73726EE3" w:rsidR="008118C4" w:rsidRPr="00333DA5" w:rsidRDefault="008118C4" w:rsidP="001D0164">
      <w:pPr>
        <w:pStyle w:val="ParaLevel1"/>
        <w:rPr>
          <w:color w:val="000000"/>
          <w:szCs w:val="24"/>
          <w:lang w:eastAsia="en-GB"/>
        </w:rPr>
      </w:pPr>
      <w:r w:rsidRPr="00333DA5">
        <w:rPr>
          <w:szCs w:val="24"/>
        </w:rPr>
        <w:t>For the reasons set out above, I refuse the husband’s application.</w:t>
      </w:r>
    </w:p>
    <w:p w14:paraId="0814FC78" w14:textId="697DCAD8" w:rsidR="008118C4" w:rsidRPr="00333DA5" w:rsidRDefault="008118C4" w:rsidP="001D0164">
      <w:pPr>
        <w:pStyle w:val="ParaLevel1"/>
        <w:rPr>
          <w:color w:val="000000"/>
          <w:szCs w:val="24"/>
          <w:lang w:eastAsia="en-GB"/>
        </w:rPr>
      </w:pPr>
      <w:r w:rsidRPr="00333DA5">
        <w:rPr>
          <w:szCs w:val="24"/>
        </w:rPr>
        <w:t>That is my judgment.</w:t>
      </w:r>
    </w:p>
    <w:p w14:paraId="257FA355" w14:textId="77777777" w:rsidR="00F217D7" w:rsidRPr="00333DA5" w:rsidRDefault="00F217D7" w:rsidP="001D0164">
      <w:pPr>
        <w:pStyle w:val="ParaLevel1"/>
        <w:numPr>
          <w:ilvl w:val="0"/>
          <w:numId w:val="0"/>
        </w:numPr>
        <w:rPr>
          <w:szCs w:val="24"/>
        </w:rPr>
      </w:pPr>
    </w:p>
    <w:p w14:paraId="51488098" w14:textId="77777777" w:rsidR="00B17779" w:rsidRPr="00333DA5" w:rsidRDefault="00B17779" w:rsidP="001D0164">
      <w:pPr>
        <w:pStyle w:val="ParaLevel1"/>
        <w:numPr>
          <w:ilvl w:val="0"/>
          <w:numId w:val="0"/>
        </w:numPr>
        <w:rPr>
          <w:color w:val="000000"/>
          <w:szCs w:val="24"/>
          <w:lang w:eastAsia="en-GB"/>
        </w:rPr>
      </w:pPr>
    </w:p>
    <w:sectPr w:rsidR="00B17779" w:rsidRPr="00333DA5" w:rsidSect="001D0164">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6370" w14:textId="77777777" w:rsidR="00D97AC6" w:rsidRDefault="00D97AC6">
      <w:r>
        <w:separator/>
      </w:r>
    </w:p>
  </w:endnote>
  <w:endnote w:type="continuationSeparator" w:id="0">
    <w:p w14:paraId="5FBEC406" w14:textId="77777777" w:rsidR="00D97AC6" w:rsidRDefault="00D97AC6">
      <w:r>
        <w:continuationSeparator/>
      </w:r>
    </w:p>
  </w:endnote>
  <w:endnote w:type="continuationNotice" w:id="1">
    <w:p w14:paraId="3D5803D4" w14:textId="77777777" w:rsidR="00D97AC6" w:rsidRDefault="00D97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BAB1" w14:textId="77777777" w:rsidR="001D0164" w:rsidRDefault="001D0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619C"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2A86" w14:textId="77777777" w:rsidR="001D0164" w:rsidRDefault="001D01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BB28" w14:textId="02AE98AF" w:rsidR="005E2342" w:rsidRPr="001D0164" w:rsidRDefault="005E2342" w:rsidP="001D0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3AD2" w14:textId="77777777" w:rsidR="00D97AC6" w:rsidRDefault="00D97AC6">
      <w:r>
        <w:separator/>
      </w:r>
    </w:p>
  </w:footnote>
  <w:footnote w:type="continuationSeparator" w:id="0">
    <w:p w14:paraId="1F2891F9" w14:textId="77777777" w:rsidR="00D97AC6" w:rsidRDefault="00D97AC6">
      <w:r>
        <w:continuationSeparator/>
      </w:r>
    </w:p>
  </w:footnote>
  <w:footnote w:type="continuationNotice" w:id="1">
    <w:p w14:paraId="0335C12C" w14:textId="77777777" w:rsidR="00D97AC6" w:rsidRDefault="00D97AC6"/>
  </w:footnote>
  <w:footnote w:id="2">
    <w:p w14:paraId="65C63848" w14:textId="77777777" w:rsidR="00013C92" w:rsidRDefault="00013C92" w:rsidP="00013C92">
      <w:pPr>
        <w:pStyle w:val="FootnoteText"/>
      </w:pPr>
      <w:r>
        <w:rPr>
          <w:rStyle w:val="FootnoteReference"/>
        </w:rPr>
        <w:footnoteRef/>
      </w:r>
      <w:r>
        <w:t xml:space="preserve"> The wife was described as ‘mother’ and the husband, ‘father’, in that judgment, as I was also dealing with wardship proceedings concerning the parties’ daughter.</w:t>
      </w:r>
    </w:p>
  </w:footnote>
  <w:footnote w:id="3">
    <w:p w14:paraId="10467187" w14:textId="3BBE0542" w:rsidR="00460432" w:rsidRPr="00D95E0E" w:rsidRDefault="00460432">
      <w:pPr>
        <w:pStyle w:val="FootnoteText"/>
      </w:pPr>
      <w:r w:rsidRPr="00D95E0E">
        <w:rPr>
          <w:rStyle w:val="FootnoteReference"/>
        </w:rPr>
        <w:footnoteRef/>
      </w:r>
      <w:r w:rsidRPr="00D95E0E">
        <w:t xml:space="preserve"> I</w:t>
      </w:r>
      <w:r w:rsidR="00D411D3">
        <w:t xml:space="preserve"> have realised</w:t>
      </w:r>
      <w:r w:rsidR="0048772C">
        <w:t xml:space="preserve">, in revisiting that earlier judgment, that I had </w:t>
      </w:r>
      <w:r w:rsidRPr="00D95E0E">
        <w:t xml:space="preserve">erroneously </w:t>
      </w:r>
      <w:r w:rsidR="00D30894" w:rsidRPr="00D95E0E">
        <w:t xml:space="preserve">given </w:t>
      </w:r>
      <w:r w:rsidR="0048772C">
        <w:t xml:space="preserve">the date for the petition here </w:t>
      </w:r>
      <w:r w:rsidRPr="00D95E0E">
        <w:t xml:space="preserve">as </w:t>
      </w:r>
      <w:r w:rsidRPr="00D95E0E">
        <w:rPr>
          <w:u w:val="single"/>
        </w:rPr>
        <w:t>2021</w:t>
      </w:r>
      <w:r w:rsidR="003E3606" w:rsidRPr="00D95E0E">
        <w:t xml:space="preserve"> when it should </w:t>
      </w:r>
      <w:r w:rsidR="00D30894" w:rsidRPr="00D95E0E">
        <w:t xml:space="preserve">obviously </w:t>
      </w:r>
      <w:r w:rsidR="003E3606" w:rsidRPr="00D95E0E">
        <w:t xml:space="preserve">have read </w:t>
      </w:r>
      <w:r w:rsidR="003E3606" w:rsidRPr="00D95E0E">
        <w:rPr>
          <w:u w:val="single"/>
        </w:rPr>
        <w:t>2020</w:t>
      </w:r>
      <w:r w:rsidR="003E3606" w:rsidRPr="00D95E0E">
        <w:t>.</w:t>
      </w:r>
    </w:p>
  </w:footnote>
  <w:footnote w:id="4">
    <w:p w14:paraId="54F21109" w14:textId="565570D4" w:rsidR="003E3606" w:rsidRPr="00D95E0E" w:rsidRDefault="003E3606">
      <w:pPr>
        <w:pStyle w:val="FootnoteText"/>
      </w:pPr>
      <w:r w:rsidRPr="00D95E0E">
        <w:rPr>
          <w:rStyle w:val="FootnoteReference"/>
        </w:rPr>
        <w:footnoteRef/>
      </w:r>
      <w:r w:rsidRPr="00D95E0E">
        <w:t xml:space="preserve"> ditto</w:t>
      </w:r>
    </w:p>
  </w:footnote>
  <w:footnote w:id="5">
    <w:p w14:paraId="6E2BF896" w14:textId="45D70514" w:rsidR="003E3606" w:rsidRPr="00D95E0E" w:rsidRDefault="003E3606">
      <w:pPr>
        <w:pStyle w:val="FootnoteText"/>
      </w:pPr>
      <w:r w:rsidRPr="00D95E0E">
        <w:rPr>
          <w:rStyle w:val="FootnoteReference"/>
        </w:rPr>
        <w:footnoteRef/>
      </w:r>
      <w:r w:rsidRPr="00D95E0E">
        <w:t xml:space="preserve"> ditto</w:t>
      </w:r>
    </w:p>
  </w:footnote>
  <w:footnote w:id="6">
    <w:p w14:paraId="19E9004C" w14:textId="7316E5A1" w:rsidR="003E3606" w:rsidRPr="00D95E0E" w:rsidRDefault="003E3606">
      <w:pPr>
        <w:pStyle w:val="FootnoteText"/>
      </w:pPr>
      <w:r w:rsidRPr="00D95E0E">
        <w:rPr>
          <w:rStyle w:val="FootnoteReference"/>
        </w:rPr>
        <w:footnoteRef/>
      </w:r>
      <w:r w:rsidRPr="00D95E0E">
        <w:t xml:space="preserve"> ditto</w:t>
      </w:r>
    </w:p>
  </w:footnote>
  <w:footnote w:id="7">
    <w:p w14:paraId="2D179A66" w14:textId="65290903" w:rsidR="00D30894" w:rsidRPr="00D95E0E" w:rsidRDefault="00D30894">
      <w:pPr>
        <w:pStyle w:val="FootnoteText"/>
      </w:pPr>
      <w:r w:rsidRPr="00D95E0E">
        <w:rPr>
          <w:rStyle w:val="FootnoteReference"/>
        </w:rPr>
        <w:footnoteRef/>
      </w:r>
      <w:r w:rsidRPr="00D95E0E">
        <w:t xml:space="preserve"> ditto</w:t>
      </w:r>
    </w:p>
  </w:footnote>
  <w:footnote w:id="8">
    <w:p w14:paraId="11DFD022" w14:textId="459AEBC5" w:rsidR="00101325" w:rsidRDefault="00101325">
      <w:pPr>
        <w:pStyle w:val="FootnoteText"/>
      </w:pPr>
      <w:r>
        <w:rPr>
          <w:rStyle w:val="FootnoteReference"/>
        </w:rPr>
        <w:footnoteRef/>
      </w:r>
      <w:r>
        <w:t xml:space="preserve"> In an e-mail sent to Mr Birch on the 10 June 2022 </w:t>
      </w:r>
    </w:p>
  </w:footnote>
  <w:footnote w:id="9">
    <w:p w14:paraId="2BEEBD11" w14:textId="1A71F9F8" w:rsidR="00D95E0E" w:rsidRPr="00D95E0E" w:rsidRDefault="00D95E0E" w:rsidP="00D95E0E">
      <w:pPr>
        <w:pStyle w:val="FootnoteText"/>
        <w:jc w:val="both"/>
      </w:pPr>
      <w:r w:rsidRPr="00D95E0E">
        <w:rPr>
          <w:rStyle w:val="FootnoteReference"/>
        </w:rPr>
        <w:footnoteRef/>
      </w:r>
      <w:r w:rsidRPr="00D95E0E">
        <w:t xml:space="preserve"> </w:t>
      </w:r>
      <w:bookmarkStart w:id="20" w:name="para2"/>
      <w:r w:rsidRPr="00D95E0E">
        <w:rPr>
          <w:color w:val="000000"/>
        </w:rPr>
        <w:t>Article 30.1 of the Council Regulation (EC) No 44/2001 of 22 December 2000 on Jurisdiction and the Recognition of Judgments in Civil and Commercial matters in the European Union (the Judgments Regulation)</w:t>
      </w:r>
      <w:bookmarkEnd w:id="20"/>
    </w:p>
  </w:footnote>
  <w:footnote w:id="10">
    <w:p w14:paraId="188F6474" w14:textId="53F2DFCA" w:rsidR="00D760A6" w:rsidRDefault="00D760A6" w:rsidP="00D760A6">
      <w:pPr>
        <w:pStyle w:val="FootnoteText"/>
        <w:jc w:val="both"/>
      </w:pPr>
      <w:r>
        <w:rPr>
          <w:rStyle w:val="FootnoteReference"/>
        </w:rPr>
        <w:footnoteRef/>
      </w:r>
      <w:r>
        <w:t xml:space="preserve"> The </w:t>
      </w:r>
      <w:r w:rsidRPr="00B9286C">
        <w:rPr>
          <w:i/>
          <w:iCs/>
        </w:rPr>
        <w:t>FPR 2010</w:t>
      </w:r>
      <w:r>
        <w:t xml:space="preserve"> of course changed on 6 April 2022, but even </w:t>
      </w:r>
      <w:r w:rsidR="00535E8B">
        <w:t>then,</w:t>
      </w:r>
      <w:r>
        <w:t xml:space="preserve"> no timeframe for service was incorporated.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593A" w14:textId="77777777" w:rsidR="001D0164" w:rsidRDefault="001D0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4619" w14:textId="77777777" w:rsidR="001D0164" w:rsidRDefault="001D0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5278" w14:textId="77777777" w:rsidR="001D0164" w:rsidRDefault="001D01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5E2342" w14:paraId="42B91CC5" w14:textId="77777777">
      <w:tc>
        <w:tcPr>
          <w:tcW w:w="4680" w:type="dxa"/>
        </w:tcPr>
        <w:p w14:paraId="01DEC70E" w14:textId="77777777" w:rsidR="001D0164" w:rsidRDefault="001D0164">
          <w:pPr>
            <w:pStyle w:val="Header"/>
            <w:rPr>
              <w:rFonts w:ascii="Times New Roman" w:hAnsi="Times New Roman"/>
              <w:b/>
              <w:sz w:val="16"/>
              <w:u w:val="single"/>
            </w:rPr>
          </w:pPr>
          <w:r>
            <w:rPr>
              <w:rFonts w:ascii="Times New Roman" w:hAnsi="Times New Roman"/>
              <w:b/>
              <w:sz w:val="16"/>
              <w:u w:val="single"/>
            </w:rPr>
            <w:t>THE HONOURABLE MR JUSTICE COBB</w:t>
          </w:r>
        </w:p>
        <w:p w14:paraId="2B1AC395" w14:textId="5A87079A" w:rsidR="005E2342" w:rsidRPr="001D0164" w:rsidRDefault="001D0164">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3CCDEAE5" w14:textId="54BCFC6B" w:rsidR="005E2342" w:rsidRDefault="00333DA5">
          <w:pPr>
            <w:pStyle w:val="Header"/>
            <w:jc w:val="right"/>
            <w:rPr>
              <w:rFonts w:ascii="Times New Roman" w:hAnsi="Times New Roman"/>
              <w:sz w:val="16"/>
            </w:rPr>
          </w:pPr>
          <w:r>
            <w:rPr>
              <w:rFonts w:ascii="Times New Roman" w:hAnsi="Times New Roman"/>
              <w:sz w:val="16"/>
            </w:rPr>
            <w:t>NP v TP (Divorce)</w:t>
          </w:r>
        </w:p>
      </w:tc>
    </w:tr>
  </w:tbl>
  <w:p w14:paraId="529199A4"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 w15:restartNumberingAfterBreak="0">
    <w:nsid w:val="7B6A5CBC"/>
    <w:multiLevelType w:val="multilevel"/>
    <w:tmpl w:val="CF5E0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2"/>
    <w:lvlOverride w:ilvl="0">
      <w:startOverride w:val="3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15"/>
    <w:rsid w:val="0000763B"/>
    <w:rsid w:val="00007A12"/>
    <w:rsid w:val="00010D04"/>
    <w:rsid w:val="0001326D"/>
    <w:rsid w:val="00013C92"/>
    <w:rsid w:val="00015A08"/>
    <w:rsid w:val="000177C4"/>
    <w:rsid w:val="00025B94"/>
    <w:rsid w:val="00030BD0"/>
    <w:rsid w:val="00040DDB"/>
    <w:rsid w:val="00044A61"/>
    <w:rsid w:val="00047105"/>
    <w:rsid w:val="00050704"/>
    <w:rsid w:val="000523FD"/>
    <w:rsid w:val="00052A76"/>
    <w:rsid w:val="00053368"/>
    <w:rsid w:val="000552E1"/>
    <w:rsid w:val="00055C91"/>
    <w:rsid w:val="00056522"/>
    <w:rsid w:val="00056647"/>
    <w:rsid w:val="00062D5B"/>
    <w:rsid w:val="00062E4D"/>
    <w:rsid w:val="00063E98"/>
    <w:rsid w:val="000655A9"/>
    <w:rsid w:val="00067E6B"/>
    <w:rsid w:val="000905C2"/>
    <w:rsid w:val="000905FF"/>
    <w:rsid w:val="000968C3"/>
    <w:rsid w:val="000A2D76"/>
    <w:rsid w:val="000A6825"/>
    <w:rsid w:val="000B0214"/>
    <w:rsid w:val="000B2BA5"/>
    <w:rsid w:val="000C3BDC"/>
    <w:rsid w:val="000C70F6"/>
    <w:rsid w:val="000D2CE7"/>
    <w:rsid w:val="000D32CA"/>
    <w:rsid w:val="000D4374"/>
    <w:rsid w:val="000D6505"/>
    <w:rsid w:val="000D72F8"/>
    <w:rsid w:val="000E0BB5"/>
    <w:rsid w:val="000E5135"/>
    <w:rsid w:val="000E66B9"/>
    <w:rsid w:val="000E7DAE"/>
    <w:rsid w:val="000F1F73"/>
    <w:rsid w:val="000F55BE"/>
    <w:rsid w:val="00101325"/>
    <w:rsid w:val="001133F7"/>
    <w:rsid w:val="001134AC"/>
    <w:rsid w:val="00120E60"/>
    <w:rsid w:val="001239AB"/>
    <w:rsid w:val="0014100B"/>
    <w:rsid w:val="00142587"/>
    <w:rsid w:val="0014324A"/>
    <w:rsid w:val="00143616"/>
    <w:rsid w:val="00145C87"/>
    <w:rsid w:val="00145F6A"/>
    <w:rsid w:val="00150A27"/>
    <w:rsid w:val="00150BB1"/>
    <w:rsid w:val="00152031"/>
    <w:rsid w:val="0015255E"/>
    <w:rsid w:val="001547D3"/>
    <w:rsid w:val="00161D54"/>
    <w:rsid w:val="001620D6"/>
    <w:rsid w:val="0016292B"/>
    <w:rsid w:val="00163075"/>
    <w:rsid w:val="00163466"/>
    <w:rsid w:val="00163F4D"/>
    <w:rsid w:val="00164B8C"/>
    <w:rsid w:val="001721F7"/>
    <w:rsid w:val="001723AA"/>
    <w:rsid w:val="00177243"/>
    <w:rsid w:val="00177A45"/>
    <w:rsid w:val="00180DEE"/>
    <w:rsid w:val="0018752E"/>
    <w:rsid w:val="001A127F"/>
    <w:rsid w:val="001A39A2"/>
    <w:rsid w:val="001A6260"/>
    <w:rsid w:val="001A7F52"/>
    <w:rsid w:val="001B1050"/>
    <w:rsid w:val="001B3048"/>
    <w:rsid w:val="001B5726"/>
    <w:rsid w:val="001C05DE"/>
    <w:rsid w:val="001C2452"/>
    <w:rsid w:val="001D0164"/>
    <w:rsid w:val="001D58C6"/>
    <w:rsid w:val="001E3D54"/>
    <w:rsid w:val="001E4812"/>
    <w:rsid w:val="001E6D45"/>
    <w:rsid w:val="001F1A08"/>
    <w:rsid w:val="001F3155"/>
    <w:rsid w:val="0020117E"/>
    <w:rsid w:val="00203760"/>
    <w:rsid w:val="00214AC1"/>
    <w:rsid w:val="0021580A"/>
    <w:rsid w:val="00222E0C"/>
    <w:rsid w:val="00230DB4"/>
    <w:rsid w:val="002417E0"/>
    <w:rsid w:val="00252C45"/>
    <w:rsid w:val="002616F1"/>
    <w:rsid w:val="00262096"/>
    <w:rsid w:val="0027162C"/>
    <w:rsid w:val="00275451"/>
    <w:rsid w:val="00277B2E"/>
    <w:rsid w:val="002824EB"/>
    <w:rsid w:val="00293F84"/>
    <w:rsid w:val="00294575"/>
    <w:rsid w:val="00296CF5"/>
    <w:rsid w:val="00297A2E"/>
    <w:rsid w:val="002A1D3B"/>
    <w:rsid w:val="002A49E4"/>
    <w:rsid w:val="002A733C"/>
    <w:rsid w:val="002A7D45"/>
    <w:rsid w:val="002A7D5E"/>
    <w:rsid w:val="002B460B"/>
    <w:rsid w:val="002B5190"/>
    <w:rsid w:val="002B7634"/>
    <w:rsid w:val="002B7A02"/>
    <w:rsid w:val="002D3327"/>
    <w:rsid w:val="002E3B26"/>
    <w:rsid w:val="002E6143"/>
    <w:rsid w:val="002F0ABF"/>
    <w:rsid w:val="002F2E98"/>
    <w:rsid w:val="002F2FC3"/>
    <w:rsid w:val="00301BB8"/>
    <w:rsid w:val="00303A30"/>
    <w:rsid w:val="00312693"/>
    <w:rsid w:val="00317250"/>
    <w:rsid w:val="00317645"/>
    <w:rsid w:val="00320CE1"/>
    <w:rsid w:val="00320E5F"/>
    <w:rsid w:val="00324E9B"/>
    <w:rsid w:val="003336B3"/>
    <w:rsid w:val="00333DA5"/>
    <w:rsid w:val="00335575"/>
    <w:rsid w:val="003365D5"/>
    <w:rsid w:val="00337662"/>
    <w:rsid w:val="003430F2"/>
    <w:rsid w:val="00343A1C"/>
    <w:rsid w:val="00344F51"/>
    <w:rsid w:val="00346EB5"/>
    <w:rsid w:val="0035606A"/>
    <w:rsid w:val="0035668D"/>
    <w:rsid w:val="00363995"/>
    <w:rsid w:val="00364504"/>
    <w:rsid w:val="0037794A"/>
    <w:rsid w:val="00390187"/>
    <w:rsid w:val="00395F32"/>
    <w:rsid w:val="003A401A"/>
    <w:rsid w:val="003B0CAC"/>
    <w:rsid w:val="003B2773"/>
    <w:rsid w:val="003B5836"/>
    <w:rsid w:val="003C089C"/>
    <w:rsid w:val="003C6B90"/>
    <w:rsid w:val="003D75B5"/>
    <w:rsid w:val="003D7AD9"/>
    <w:rsid w:val="003D7B63"/>
    <w:rsid w:val="003E279F"/>
    <w:rsid w:val="003E3606"/>
    <w:rsid w:val="003E4A40"/>
    <w:rsid w:val="003E70C9"/>
    <w:rsid w:val="003F240F"/>
    <w:rsid w:val="00402BD9"/>
    <w:rsid w:val="00404FD7"/>
    <w:rsid w:val="004058A5"/>
    <w:rsid w:val="00407975"/>
    <w:rsid w:val="004140EA"/>
    <w:rsid w:val="0042290B"/>
    <w:rsid w:val="00422F62"/>
    <w:rsid w:val="00423445"/>
    <w:rsid w:val="0042637E"/>
    <w:rsid w:val="0043161F"/>
    <w:rsid w:val="004329FC"/>
    <w:rsid w:val="00435715"/>
    <w:rsid w:val="00435BD1"/>
    <w:rsid w:val="0043602C"/>
    <w:rsid w:val="00440FF0"/>
    <w:rsid w:val="00441578"/>
    <w:rsid w:val="00454D2A"/>
    <w:rsid w:val="0045718A"/>
    <w:rsid w:val="00460432"/>
    <w:rsid w:val="0048554E"/>
    <w:rsid w:val="00485B2C"/>
    <w:rsid w:val="0048772C"/>
    <w:rsid w:val="004913AF"/>
    <w:rsid w:val="00491D84"/>
    <w:rsid w:val="00494195"/>
    <w:rsid w:val="004A10A2"/>
    <w:rsid w:val="004A586E"/>
    <w:rsid w:val="004B153D"/>
    <w:rsid w:val="004B15B6"/>
    <w:rsid w:val="004B4B0A"/>
    <w:rsid w:val="004C0FC9"/>
    <w:rsid w:val="004D081B"/>
    <w:rsid w:val="004D5638"/>
    <w:rsid w:val="004E1070"/>
    <w:rsid w:val="004E1E53"/>
    <w:rsid w:val="004E4726"/>
    <w:rsid w:val="0050544B"/>
    <w:rsid w:val="00505B8A"/>
    <w:rsid w:val="00506338"/>
    <w:rsid w:val="00507D7B"/>
    <w:rsid w:val="00516EFA"/>
    <w:rsid w:val="00521FE1"/>
    <w:rsid w:val="005314C0"/>
    <w:rsid w:val="0053398A"/>
    <w:rsid w:val="00535E8B"/>
    <w:rsid w:val="00536489"/>
    <w:rsid w:val="0054159E"/>
    <w:rsid w:val="00543A34"/>
    <w:rsid w:val="005445BA"/>
    <w:rsid w:val="00560E2A"/>
    <w:rsid w:val="00565F6E"/>
    <w:rsid w:val="00572CF3"/>
    <w:rsid w:val="0057433B"/>
    <w:rsid w:val="00577169"/>
    <w:rsid w:val="0057790B"/>
    <w:rsid w:val="00585D1D"/>
    <w:rsid w:val="0059352B"/>
    <w:rsid w:val="005939F0"/>
    <w:rsid w:val="005978A5"/>
    <w:rsid w:val="005A3E1B"/>
    <w:rsid w:val="005A5D83"/>
    <w:rsid w:val="005A6501"/>
    <w:rsid w:val="005A7A38"/>
    <w:rsid w:val="005B01B8"/>
    <w:rsid w:val="005B13F5"/>
    <w:rsid w:val="005B2DBB"/>
    <w:rsid w:val="005B6D73"/>
    <w:rsid w:val="005C15AC"/>
    <w:rsid w:val="005C5285"/>
    <w:rsid w:val="005D26FC"/>
    <w:rsid w:val="005D7F2A"/>
    <w:rsid w:val="005E06F8"/>
    <w:rsid w:val="005E1D6B"/>
    <w:rsid w:val="005E2342"/>
    <w:rsid w:val="005E2EA7"/>
    <w:rsid w:val="005E6993"/>
    <w:rsid w:val="005F015E"/>
    <w:rsid w:val="005F0C1A"/>
    <w:rsid w:val="005F3096"/>
    <w:rsid w:val="005F49AA"/>
    <w:rsid w:val="005F66F7"/>
    <w:rsid w:val="00602D9B"/>
    <w:rsid w:val="006227F1"/>
    <w:rsid w:val="00631124"/>
    <w:rsid w:val="00633A9D"/>
    <w:rsid w:val="006409B7"/>
    <w:rsid w:val="00640F88"/>
    <w:rsid w:val="006415DC"/>
    <w:rsid w:val="006417A1"/>
    <w:rsid w:val="00642E8C"/>
    <w:rsid w:val="00647745"/>
    <w:rsid w:val="0065786D"/>
    <w:rsid w:val="00661AE5"/>
    <w:rsid w:val="00662F3B"/>
    <w:rsid w:val="00664850"/>
    <w:rsid w:val="00670F32"/>
    <w:rsid w:val="0067383C"/>
    <w:rsid w:val="00676AB3"/>
    <w:rsid w:val="006A0758"/>
    <w:rsid w:val="006A77A1"/>
    <w:rsid w:val="006B1760"/>
    <w:rsid w:val="006B595A"/>
    <w:rsid w:val="006C2546"/>
    <w:rsid w:val="006C2EAC"/>
    <w:rsid w:val="006C432F"/>
    <w:rsid w:val="006C5A98"/>
    <w:rsid w:val="006D1E49"/>
    <w:rsid w:val="006D7A9E"/>
    <w:rsid w:val="006E0EDB"/>
    <w:rsid w:val="006E2AAF"/>
    <w:rsid w:val="006E2F95"/>
    <w:rsid w:val="006E3521"/>
    <w:rsid w:val="006E373D"/>
    <w:rsid w:val="006F242E"/>
    <w:rsid w:val="006F30EF"/>
    <w:rsid w:val="007036AB"/>
    <w:rsid w:val="00704046"/>
    <w:rsid w:val="007118B3"/>
    <w:rsid w:val="00711A8C"/>
    <w:rsid w:val="0071493D"/>
    <w:rsid w:val="00720A2A"/>
    <w:rsid w:val="007224F7"/>
    <w:rsid w:val="0072316A"/>
    <w:rsid w:val="00723631"/>
    <w:rsid w:val="00727C8E"/>
    <w:rsid w:val="007310ED"/>
    <w:rsid w:val="00733D9C"/>
    <w:rsid w:val="007341E6"/>
    <w:rsid w:val="0073430B"/>
    <w:rsid w:val="00735D33"/>
    <w:rsid w:val="007405FF"/>
    <w:rsid w:val="007450C3"/>
    <w:rsid w:val="007473B4"/>
    <w:rsid w:val="00773169"/>
    <w:rsid w:val="00775BE0"/>
    <w:rsid w:val="00795126"/>
    <w:rsid w:val="007A50C8"/>
    <w:rsid w:val="007A5634"/>
    <w:rsid w:val="007A63E6"/>
    <w:rsid w:val="007A7F30"/>
    <w:rsid w:val="007B088A"/>
    <w:rsid w:val="007B2619"/>
    <w:rsid w:val="007B7360"/>
    <w:rsid w:val="007E543C"/>
    <w:rsid w:val="007E7949"/>
    <w:rsid w:val="007F00BC"/>
    <w:rsid w:val="007F06F4"/>
    <w:rsid w:val="007F510E"/>
    <w:rsid w:val="00805196"/>
    <w:rsid w:val="008118C4"/>
    <w:rsid w:val="00812608"/>
    <w:rsid w:val="00813D5E"/>
    <w:rsid w:val="00816B7D"/>
    <w:rsid w:val="00822C80"/>
    <w:rsid w:val="00831802"/>
    <w:rsid w:val="00832742"/>
    <w:rsid w:val="008432CE"/>
    <w:rsid w:val="0084548F"/>
    <w:rsid w:val="00857256"/>
    <w:rsid w:val="00861082"/>
    <w:rsid w:val="0086247C"/>
    <w:rsid w:val="00862BA6"/>
    <w:rsid w:val="008635E3"/>
    <w:rsid w:val="00881923"/>
    <w:rsid w:val="00885903"/>
    <w:rsid w:val="00886B3D"/>
    <w:rsid w:val="0089226A"/>
    <w:rsid w:val="00892AFF"/>
    <w:rsid w:val="00897E91"/>
    <w:rsid w:val="008A3FD9"/>
    <w:rsid w:val="008A5B17"/>
    <w:rsid w:val="008A6638"/>
    <w:rsid w:val="008B0B55"/>
    <w:rsid w:val="008B2AED"/>
    <w:rsid w:val="008C71C9"/>
    <w:rsid w:val="008D7858"/>
    <w:rsid w:val="008E2EA7"/>
    <w:rsid w:val="008E5A63"/>
    <w:rsid w:val="008F05F3"/>
    <w:rsid w:val="008F16DD"/>
    <w:rsid w:val="008F4358"/>
    <w:rsid w:val="008F72BB"/>
    <w:rsid w:val="00904CBF"/>
    <w:rsid w:val="009100E6"/>
    <w:rsid w:val="00916283"/>
    <w:rsid w:val="00924B16"/>
    <w:rsid w:val="00931878"/>
    <w:rsid w:val="00942129"/>
    <w:rsid w:val="00945EE2"/>
    <w:rsid w:val="009552BD"/>
    <w:rsid w:val="00957B3C"/>
    <w:rsid w:val="00960287"/>
    <w:rsid w:val="00961691"/>
    <w:rsid w:val="00962C48"/>
    <w:rsid w:val="009631FD"/>
    <w:rsid w:val="00970C73"/>
    <w:rsid w:val="0097231A"/>
    <w:rsid w:val="009832E2"/>
    <w:rsid w:val="009845CD"/>
    <w:rsid w:val="009913C7"/>
    <w:rsid w:val="009A2C14"/>
    <w:rsid w:val="009B3C45"/>
    <w:rsid w:val="009C012A"/>
    <w:rsid w:val="009C5215"/>
    <w:rsid w:val="009C7F9C"/>
    <w:rsid w:val="009F33DD"/>
    <w:rsid w:val="00A02BD5"/>
    <w:rsid w:val="00A05E65"/>
    <w:rsid w:val="00A05FC6"/>
    <w:rsid w:val="00A146DA"/>
    <w:rsid w:val="00A15B45"/>
    <w:rsid w:val="00A16874"/>
    <w:rsid w:val="00A207A1"/>
    <w:rsid w:val="00A27758"/>
    <w:rsid w:val="00A315B7"/>
    <w:rsid w:val="00A338A2"/>
    <w:rsid w:val="00A40AB9"/>
    <w:rsid w:val="00A418D6"/>
    <w:rsid w:val="00A43A8A"/>
    <w:rsid w:val="00A44E60"/>
    <w:rsid w:val="00A45DDF"/>
    <w:rsid w:val="00A47477"/>
    <w:rsid w:val="00A5254F"/>
    <w:rsid w:val="00A55169"/>
    <w:rsid w:val="00A60000"/>
    <w:rsid w:val="00A61D80"/>
    <w:rsid w:val="00A6611B"/>
    <w:rsid w:val="00A76582"/>
    <w:rsid w:val="00A80C3A"/>
    <w:rsid w:val="00A85856"/>
    <w:rsid w:val="00A91BC0"/>
    <w:rsid w:val="00A94678"/>
    <w:rsid w:val="00A94C23"/>
    <w:rsid w:val="00AA1295"/>
    <w:rsid w:val="00AA1BA4"/>
    <w:rsid w:val="00AA5E1D"/>
    <w:rsid w:val="00AA5ECF"/>
    <w:rsid w:val="00AB0369"/>
    <w:rsid w:val="00AB1A52"/>
    <w:rsid w:val="00AC05C1"/>
    <w:rsid w:val="00AC081E"/>
    <w:rsid w:val="00AC085F"/>
    <w:rsid w:val="00AD2F34"/>
    <w:rsid w:val="00AD30CB"/>
    <w:rsid w:val="00AD38BB"/>
    <w:rsid w:val="00AE3DAF"/>
    <w:rsid w:val="00AE3FE1"/>
    <w:rsid w:val="00AF1148"/>
    <w:rsid w:val="00AF49E3"/>
    <w:rsid w:val="00AF7AC4"/>
    <w:rsid w:val="00B04EFD"/>
    <w:rsid w:val="00B17779"/>
    <w:rsid w:val="00B21E1A"/>
    <w:rsid w:val="00B30E66"/>
    <w:rsid w:val="00B34ED9"/>
    <w:rsid w:val="00B354FA"/>
    <w:rsid w:val="00B37730"/>
    <w:rsid w:val="00B40C5E"/>
    <w:rsid w:val="00B45998"/>
    <w:rsid w:val="00B47010"/>
    <w:rsid w:val="00B52A3F"/>
    <w:rsid w:val="00B5480E"/>
    <w:rsid w:val="00B5749B"/>
    <w:rsid w:val="00B610BF"/>
    <w:rsid w:val="00B61DC0"/>
    <w:rsid w:val="00B70DFE"/>
    <w:rsid w:val="00B7320C"/>
    <w:rsid w:val="00B84051"/>
    <w:rsid w:val="00B85FD8"/>
    <w:rsid w:val="00B9286C"/>
    <w:rsid w:val="00B951D7"/>
    <w:rsid w:val="00B957BA"/>
    <w:rsid w:val="00B971CC"/>
    <w:rsid w:val="00BA0FE1"/>
    <w:rsid w:val="00BA379A"/>
    <w:rsid w:val="00BB03FE"/>
    <w:rsid w:val="00BB190B"/>
    <w:rsid w:val="00BB4639"/>
    <w:rsid w:val="00BB667B"/>
    <w:rsid w:val="00BB6BF4"/>
    <w:rsid w:val="00BC4176"/>
    <w:rsid w:val="00BD531E"/>
    <w:rsid w:val="00BD759E"/>
    <w:rsid w:val="00BE276F"/>
    <w:rsid w:val="00BE7765"/>
    <w:rsid w:val="00BF0A51"/>
    <w:rsid w:val="00C06719"/>
    <w:rsid w:val="00C07558"/>
    <w:rsid w:val="00C11678"/>
    <w:rsid w:val="00C12061"/>
    <w:rsid w:val="00C136EF"/>
    <w:rsid w:val="00C210F4"/>
    <w:rsid w:val="00C30688"/>
    <w:rsid w:val="00C4000B"/>
    <w:rsid w:val="00C431FB"/>
    <w:rsid w:val="00C45931"/>
    <w:rsid w:val="00C478D4"/>
    <w:rsid w:val="00C50C93"/>
    <w:rsid w:val="00C50ED2"/>
    <w:rsid w:val="00C60315"/>
    <w:rsid w:val="00C70CC0"/>
    <w:rsid w:val="00C721DE"/>
    <w:rsid w:val="00C72F0B"/>
    <w:rsid w:val="00C76581"/>
    <w:rsid w:val="00C76A32"/>
    <w:rsid w:val="00C813DC"/>
    <w:rsid w:val="00C83787"/>
    <w:rsid w:val="00C86496"/>
    <w:rsid w:val="00C9265C"/>
    <w:rsid w:val="00C9386D"/>
    <w:rsid w:val="00CA4B47"/>
    <w:rsid w:val="00CB4D71"/>
    <w:rsid w:val="00CB5D49"/>
    <w:rsid w:val="00CD20D8"/>
    <w:rsid w:val="00CD5299"/>
    <w:rsid w:val="00CE3A40"/>
    <w:rsid w:val="00CF468A"/>
    <w:rsid w:val="00CF5553"/>
    <w:rsid w:val="00D03D14"/>
    <w:rsid w:val="00D11C35"/>
    <w:rsid w:val="00D14830"/>
    <w:rsid w:val="00D22F7A"/>
    <w:rsid w:val="00D245ED"/>
    <w:rsid w:val="00D27A93"/>
    <w:rsid w:val="00D30894"/>
    <w:rsid w:val="00D350B0"/>
    <w:rsid w:val="00D37592"/>
    <w:rsid w:val="00D40A85"/>
    <w:rsid w:val="00D411D3"/>
    <w:rsid w:val="00D44DDE"/>
    <w:rsid w:val="00D54239"/>
    <w:rsid w:val="00D55EC4"/>
    <w:rsid w:val="00D617F2"/>
    <w:rsid w:val="00D63FFA"/>
    <w:rsid w:val="00D6625F"/>
    <w:rsid w:val="00D70E8C"/>
    <w:rsid w:val="00D743EB"/>
    <w:rsid w:val="00D760A6"/>
    <w:rsid w:val="00D77336"/>
    <w:rsid w:val="00D81AEA"/>
    <w:rsid w:val="00D8492E"/>
    <w:rsid w:val="00D87F29"/>
    <w:rsid w:val="00D95E0E"/>
    <w:rsid w:val="00D97AC6"/>
    <w:rsid w:val="00DA13D6"/>
    <w:rsid w:val="00DA1411"/>
    <w:rsid w:val="00DA1A80"/>
    <w:rsid w:val="00DA30DE"/>
    <w:rsid w:val="00DA4D72"/>
    <w:rsid w:val="00DA7D5E"/>
    <w:rsid w:val="00DB2CFB"/>
    <w:rsid w:val="00DB6C78"/>
    <w:rsid w:val="00DC14AC"/>
    <w:rsid w:val="00DC1960"/>
    <w:rsid w:val="00DC398A"/>
    <w:rsid w:val="00DC5D06"/>
    <w:rsid w:val="00DD4CC7"/>
    <w:rsid w:val="00DD4E1B"/>
    <w:rsid w:val="00E0427A"/>
    <w:rsid w:val="00E04CCC"/>
    <w:rsid w:val="00E144A9"/>
    <w:rsid w:val="00E14681"/>
    <w:rsid w:val="00E1481D"/>
    <w:rsid w:val="00E22DFD"/>
    <w:rsid w:val="00E34C57"/>
    <w:rsid w:val="00E35734"/>
    <w:rsid w:val="00E412F8"/>
    <w:rsid w:val="00E42F02"/>
    <w:rsid w:val="00E4429F"/>
    <w:rsid w:val="00E50092"/>
    <w:rsid w:val="00E53277"/>
    <w:rsid w:val="00E54835"/>
    <w:rsid w:val="00E56518"/>
    <w:rsid w:val="00E670C7"/>
    <w:rsid w:val="00E675FD"/>
    <w:rsid w:val="00E679D3"/>
    <w:rsid w:val="00E700FC"/>
    <w:rsid w:val="00E751DE"/>
    <w:rsid w:val="00E80275"/>
    <w:rsid w:val="00E80BBC"/>
    <w:rsid w:val="00E82C16"/>
    <w:rsid w:val="00E83F36"/>
    <w:rsid w:val="00E86B22"/>
    <w:rsid w:val="00E94A2F"/>
    <w:rsid w:val="00E965C2"/>
    <w:rsid w:val="00EA0EEC"/>
    <w:rsid w:val="00EA1ECC"/>
    <w:rsid w:val="00EA69B0"/>
    <w:rsid w:val="00EA6AE7"/>
    <w:rsid w:val="00EA7129"/>
    <w:rsid w:val="00EB0044"/>
    <w:rsid w:val="00EB1ADB"/>
    <w:rsid w:val="00EB29F8"/>
    <w:rsid w:val="00EC001A"/>
    <w:rsid w:val="00EC3480"/>
    <w:rsid w:val="00EC49C1"/>
    <w:rsid w:val="00EC5DCE"/>
    <w:rsid w:val="00EC7049"/>
    <w:rsid w:val="00ED0807"/>
    <w:rsid w:val="00ED3482"/>
    <w:rsid w:val="00ED7465"/>
    <w:rsid w:val="00EE3EC2"/>
    <w:rsid w:val="00EF3DFC"/>
    <w:rsid w:val="00EF3ED8"/>
    <w:rsid w:val="00EF41EE"/>
    <w:rsid w:val="00EF5F4E"/>
    <w:rsid w:val="00F02DDA"/>
    <w:rsid w:val="00F116D3"/>
    <w:rsid w:val="00F119B7"/>
    <w:rsid w:val="00F12880"/>
    <w:rsid w:val="00F21189"/>
    <w:rsid w:val="00F217D7"/>
    <w:rsid w:val="00F219AE"/>
    <w:rsid w:val="00F22015"/>
    <w:rsid w:val="00F22886"/>
    <w:rsid w:val="00F316A3"/>
    <w:rsid w:val="00F317F6"/>
    <w:rsid w:val="00F31920"/>
    <w:rsid w:val="00F3228A"/>
    <w:rsid w:val="00F37EC3"/>
    <w:rsid w:val="00F4761F"/>
    <w:rsid w:val="00F52481"/>
    <w:rsid w:val="00F57B33"/>
    <w:rsid w:val="00F669ED"/>
    <w:rsid w:val="00F71A27"/>
    <w:rsid w:val="00F73328"/>
    <w:rsid w:val="00F7593D"/>
    <w:rsid w:val="00F76769"/>
    <w:rsid w:val="00F805E6"/>
    <w:rsid w:val="00F8497F"/>
    <w:rsid w:val="00F948AF"/>
    <w:rsid w:val="00F95143"/>
    <w:rsid w:val="00F95461"/>
    <w:rsid w:val="00F96BC8"/>
    <w:rsid w:val="00FA302B"/>
    <w:rsid w:val="00FA7DC2"/>
    <w:rsid w:val="00FB04D2"/>
    <w:rsid w:val="00FB5B7D"/>
    <w:rsid w:val="00FB6D83"/>
    <w:rsid w:val="00FB76EC"/>
    <w:rsid w:val="00FC552A"/>
    <w:rsid w:val="00FC5FA7"/>
    <w:rsid w:val="00FD22B8"/>
    <w:rsid w:val="00FD4133"/>
    <w:rsid w:val="00FD6387"/>
    <w:rsid w:val="00FF6F24"/>
    <w:rsid w:val="00FF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D559A"/>
  <w15:chartTrackingRefBased/>
  <w15:docId w15:val="{1261C659-8B91-404D-9C10-488E8A24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5F66F7"/>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uiPriority w:val="99"/>
    <w:unhideWhenUsed/>
    <w:rsid w:val="004B4B0A"/>
    <w:rPr>
      <w:strike w:val="0"/>
      <w:dstrike w:val="0"/>
      <w:color w:val="004B91"/>
      <w:u w:val="none"/>
      <w:effect w:val="none"/>
    </w:rPr>
  </w:style>
  <w:style w:type="paragraph" w:customStyle="1" w:styleId="eMailBlock">
    <w:name w:val="eMailBlock"/>
    <w:basedOn w:val="Title"/>
    <w:rPr>
      <w:sz w:val="26"/>
    </w:rPr>
  </w:style>
  <w:style w:type="character" w:styleId="Emphasis">
    <w:name w:val="Emphasis"/>
    <w:uiPriority w:val="20"/>
    <w:qFormat/>
    <w:rsid w:val="004B4B0A"/>
    <w:rPr>
      <w:i/>
      <w:iCs/>
    </w:rPr>
  </w:style>
  <w:style w:type="paragraph" w:customStyle="1" w:styleId="paralevel10">
    <w:name w:val="paralevel1"/>
    <w:basedOn w:val="Normal"/>
    <w:rsid w:val="00E82C16"/>
    <w:pPr>
      <w:spacing w:before="100" w:beforeAutospacing="1" w:after="100" w:afterAutospacing="1"/>
    </w:pPr>
    <w:rPr>
      <w:lang w:eastAsia="en-GB"/>
    </w:rPr>
  </w:style>
  <w:style w:type="paragraph" w:customStyle="1" w:styleId="paralevel20">
    <w:name w:val="paralevel2"/>
    <w:basedOn w:val="Normal"/>
    <w:rsid w:val="00EC49C1"/>
    <w:pPr>
      <w:spacing w:before="100" w:beforeAutospacing="1" w:after="100" w:afterAutospacing="1"/>
    </w:pPr>
    <w:rPr>
      <w:lang w:eastAsia="en-GB"/>
    </w:rPr>
  </w:style>
  <w:style w:type="paragraph" w:customStyle="1" w:styleId="paralevel30">
    <w:name w:val="paralevel3"/>
    <w:basedOn w:val="Normal"/>
    <w:rsid w:val="000E66B9"/>
    <w:pPr>
      <w:spacing w:before="100" w:beforeAutospacing="1" w:after="100" w:afterAutospacing="1"/>
    </w:pPr>
    <w:rPr>
      <w:lang w:eastAsia="en-GB"/>
    </w:rPr>
  </w:style>
  <w:style w:type="paragraph" w:styleId="FootnoteText">
    <w:name w:val="footnote text"/>
    <w:basedOn w:val="Normal"/>
    <w:link w:val="FootnoteTextChar"/>
    <w:rsid w:val="00460432"/>
    <w:rPr>
      <w:sz w:val="20"/>
      <w:szCs w:val="20"/>
    </w:rPr>
  </w:style>
  <w:style w:type="character" w:customStyle="1" w:styleId="FootnoteTextChar">
    <w:name w:val="Footnote Text Char"/>
    <w:link w:val="FootnoteText"/>
    <w:rsid w:val="00460432"/>
    <w:rPr>
      <w:lang w:eastAsia="en-US"/>
    </w:rPr>
  </w:style>
  <w:style w:type="character" w:styleId="FootnoteReference">
    <w:name w:val="footnote reference"/>
    <w:rsid w:val="00460432"/>
    <w:rPr>
      <w:vertAlign w:val="superscript"/>
    </w:rPr>
  </w:style>
  <w:style w:type="table" w:styleId="TableGrid">
    <w:name w:val="Table Grid"/>
    <w:basedOn w:val="TableNormal"/>
    <w:uiPriority w:val="39"/>
    <w:rsid w:val="0042344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2031"/>
    <w:pPr>
      <w:spacing w:before="100" w:beforeAutospacing="1" w:after="100" w:afterAutospacing="1"/>
    </w:pPr>
    <w:rPr>
      <w:lang w:eastAsia="en-GB"/>
    </w:rPr>
  </w:style>
  <w:style w:type="character" w:customStyle="1" w:styleId="Heading6Char">
    <w:name w:val="Heading 6 Char"/>
    <w:basedOn w:val="DefaultParagraphFont"/>
    <w:link w:val="Heading6"/>
    <w:semiHidden/>
    <w:rsid w:val="005F66F7"/>
    <w:rPr>
      <w:rFonts w:asciiTheme="minorHAnsi" w:eastAsiaTheme="minorEastAsia"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103">
      <w:bodyDiv w:val="1"/>
      <w:marLeft w:val="0"/>
      <w:marRight w:val="0"/>
      <w:marTop w:val="0"/>
      <w:marBottom w:val="0"/>
      <w:divBdr>
        <w:top w:val="none" w:sz="0" w:space="0" w:color="auto"/>
        <w:left w:val="none" w:sz="0" w:space="0" w:color="auto"/>
        <w:bottom w:val="none" w:sz="0" w:space="0" w:color="auto"/>
        <w:right w:val="none" w:sz="0" w:space="0" w:color="auto"/>
      </w:divBdr>
    </w:div>
    <w:div w:id="152986456">
      <w:bodyDiv w:val="1"/>
      <w:marLeft w:val="0"/>
      <w:marRight w:val="0"/>
      <w:marTop w:val="0"/>
      <w:marBottom w:val="0"/>
      <w:divBdr>
        <w:top w:val="none" w:sz="0" w:space="0" w:color="auto"/>
        <w:left w:val="none" w:sz="0" w:space="0" w:color="auto"/>
        <w:bottom w:val="none" w:sz="0" w:space="0" w:color="auto"/>
        <w:right w:val="none" w:sz="0" w:space="0" w:color="auto"/>
      </w:divBdr>
    </w:div>
    <w:div w:id="389116857">
      <w:bodyDiv w:val="1"/>
      <w:marLeft w:val="0"/>
      <w:marRight w:val="0"/>
      <w:marTop w:val="0"/>
      <w:marBottom w:val="0"/>
      <w:divBdr>
        <w:top w:val="none" w:sz="0" w:space="0" w:color="auto"/>
        <w:left w:val="none" w:sz="0" w:space="0" w:color="auto"/>
        <w:bottom w:val="none" w:sz="0" w:space="0" w:color="auto"/>
        <w:right w:val="none" w:sz="0" w:space="0" w:color="auto"/>
      </w:divBdr>
    </w:div>
    <w:div w:id="881131576">
      <w:bodyDiv w:val="1"/>
      <w:marLeft w:val="0"/>
      <w:marRight w:val="0"/>
      <w:marTop w:val="0"/>
      <w:marBottom w:val="0"/>
      <w:divBdr>
        <w:top w:val="none" w:sz="0" w:space="0" w:color="auto"/>
        <w:left w:val="none" w:sz="0" w:space="0" w:color="auto"/>
        <w:bottom w:val="none" w:sz="0" w:space="0" w:color="auto"/>
        <w:right w:val="none" w:sz="0" w:space="0" w:color="auto"/>
      </w:divBdr>
    </w:div>
    <w:div w:id="995835722">
      <w:bodyDiv w:val="1"/>
      <w:marLeft w:val="0"/>
      <w:marRight w:val="0"/>
      <w:marTop w:val="0"/>
      <w:marBottom w:val="0"/>
      <w:divBdr>
        <w:top w:val="none" w:sz="0" w:space="0" w:color="auto"/>
        <w:left w:val="none" w:sz="0" w:space="0" w:color="auto"/>
        <w:bottom w:val="none" w:sz="0" w:space="0" w:color="auto"/>
        <w:right w:val="none" w:sz="0" w:space="0" w:color="auto"/>
      </w:divBdr>
    </w:div>
    <w:div w:id="1131904949">
      <w:bodyDiv w:val="1"/>
      <w:marLeft w:val="0"/>
      <w:marRight w:val="0"/>
      <w:marTop w:val="0"/>
      <w:marBottom w:val="0"/>
      <w:divBdr>
        <w:top w:val="none" w:sz="0" w:space="0" w:color="auto"/>
        <w:left w:val="none" w:sz="0" w:space="0" w:color="auto"/>
        <w:bottom w:val="none" w:sz="0" w:space="0" w:color="auto"/>
        <w:right w:val="none" w:sz="0" w:space="0" w:color="auto"/>
      </w:divBdr>
    </w:div>
    <w:div w:id="1149593654">
      <w:bodyDiv w:val="1"/>
      <w:marLeft w:val="0"/>
      <w:marRight w:val="0"/>
      <w:marTop w:val="0"/>
      <w:marBottom w:val="0"/>
      <w:divBdr>
        <w:top w:val="none" w:sz="0" w:space="0" w:color="auto"/>
        <w:left w:val="none" w:sz="0" w:space="0" w:color="auto"/>
        <w:bottom w:val="none" w:sz="0" w:space="0" w:color="auto"/>
        <w:right w:val="none" w:sz="0" w:space="0" w:color="auto"/>
      </w:divBdr>
    </w:div>
    <w:div w:id="1396970061">
      <w:bodyDiv w:val="1"/>
      <w:marLeft w:val="0"/>
      <w:marRight w:val="0"/>
      <w:marTop w:val="0"/>
      <w:marBottom w:val="0"/>
      <w:divBdr>
        <w:top w:val="none" w:sz="0" w:space="0" w:color="auto"/>
        <w:left w:val="none" w:sz="0" w:space="0" w:color="auto"/>
        <w:bottom w:val="none" w:sz="0" w:space="0" w:color="auto"/>
        <w:right w:val="none" w:sz="0" w:space="0" w:color="auto"/>
      </w:divBdr>
    </w:div>
    <w:div w:id="1919291534">
      <w:bodyDiv w:val="1"/>
      <w:marLeft w:val="0"/>
      <w:marRight w:val="0"/>
      <w:marTop w:val="0"/>
      <w:marBottom w:val="0"/>
      <w:divBdr>
        <w:top w:val="none" w:sz="0" w:space="0" w:color="auto"/>
        <w:left w:val="none" w:sz="0" w:space="0" w:color="auto"/>
        <w:bottom w:val="none" w:sz="0" w:space="0" w:color="auto"/>
        <w:right w:val="none" w:sz="0" w:space="0" w:color="auto"/>
      </w:divBdr>
      <w:divsChild>
        <w:div w:id="49814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807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55418">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35477">
              <w:blockQuote w:val="1"/>
              <w:marLeft w:val="720"/>
              <w:marRight w:val="720"/>
              <w:marTop w:val="100"/>
              <w:marBottom w:val="100"/>
              <w:divBdr>
                <w:top w:val="none" w:sz="0" w:space="0" w:color="auto"/>
                <w:left w:val="none" w:sz="0" w:space="0" w:color="auto"/>
                <w:bottom w:val="none" w:sz="0" w:space="0" w:color="auto"/>
                <w:right w:val="none" w:sz="0" w:space="0" w:color="auto"/>
              </w:divBdr>
            </w:div>
            <w:div w:id="274141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022446">
              <w:blockQuote w:val="1"/>
              <w:marLeft w:val="720"/>
              <w:marRight w:val="720"/>
              <w:marTop w:val="100"/>
              <w:marBottom w:val="100"/>
              <w:divBdr>
                <w:top w:val="none" w:sz="0" w:space="0" w:color="auto"/>
                <w:left w:val="none" w:sz="0" w:space="0" w:color="auto"/>
                <w:bottom w:val="none" w:sz="0" w:space="0" w:color="auto"/>
                <w:right w:val="none" w:sz="0" w:space="0" w:color="auto"/>
              </w:divBdr>
            </w:div>
            <w:div w:id="94125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09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583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7810792">
      <w:bodyDiv w:val="1"/>
      <w:marLeft w:val="0"/>
      <w:marRight w:val="0"/>
      <w:marTop w:val="0"/>
      <w:marBottom w:val="0"/>
      <w:divBdr>
        <w:top w:val="none" w:sz="0" w:space="0" w:color="auto"/>
        <w:left w:val="none" w:sz="0" w:space="0" w:color="auto"/>
        <w:bottom w:val="none" w:sz="0" w:space="0" w:color="auto"/>
        <w:right w:val="none" w:sz="0" w:space="0" w:color="auto"/>
      </w:divBdr>
    </w:div>
    <w:div w:id="2032954247">
      <w:bodyDiv w:val="1"/>
      <w:marLeft w:val="0"/>
      <w:marRight w:val="0"/>
      <w:marTop w:val="0"/>
      <w:marBottom w:val="0"/>
      <w:divBdr>
        <w:top w:val="none" w:sz="0" w:space="0" w:color="auto"/>
        <w:left w:val="none" w:sz="0" w:space="0" w:color="auto"/>
        <w:bottom w:val="none" w:sz="0" w:space="0" w:color="auto"/>
        <w:right w:val="none" w:sz="0" w:space="0" w:color="auto"/>
      </w:divBdr>
      <w:divsChild>
        <w:div w:id="61490364">
          <w:marLeft w:val="360"/>
          <w:marRight w:val="360"/>
          <w:marTop w:val="240"/>
          <w:marBottom w:val="240"/>
          <w:divBdr>
            <w:top w:val="none" w:sz="0" w:space="0" w:color="auto"/>
            <w:left w:val="none" w:sz="0" w:space="0" w:color="auto"/>
            <w:bottom w:val="none" w:sz="0" w:space="0" w:color="auto"/>
            <w:right w:val="none" w:sz="0" w:space="0" w:color="auto"/>
          </w:divBdr>
          <w:divsChild>
            <w:div w:id="2116510507">
              <w:marLeft w:val="0"/>
              <w:marRight w:val="0"/>
              <w:marTop w:val="0"/>
              <w:marBottom w:val="0"/>
              <w:divBdr>
                <w:top w:val="none" w:sz="0" w:space="0" w:color="auto"/>
                <w:left w:val="none" w:sz="0" w:space="0" w:color="auto"/>
                <w:bottom w:val="none" w:sz="0" w:space="0" w:color="auto"/>
                <w:right w:val="none" w:sz="0" w:space="0" w:color="auto"/>
              </w:divBdr>
              <w:divsChild>
                <w:div w:id="1659650349">
                  <w:marLeft w:val="0"/>
                  <w:marRight w:val="0"/>
                  <w:marTop w:val="0"/>
                  <w:marBottom w:val="0"/>
                  <w:divBdr>
                    <w:top w:val="none" w:sz="0" w:space="0" w:color="auto"/>
                    <w:left w:val="none" w:sz="0" w:space="0" w:color="auto"/>
                    <w:bottom w:val="none" w:sz="0" w:space="0" w:color="auto"/>
                    <w:right w:val="none" w:sz="0" w:space="0" w:color="auto"/>
                  </w:divBdr>
                  <w:divsChild>
                    <w:div w:id="1117792855">
                      <w:marLeft w:val="0"/>
                      <w:marRight w:val="0"/>
                      <w:marTop w:val="0"/>
                      <w:marBottom w:val="0"/>
                      <w:divBdr>
                        <w:top w:val="none" w:sz="0" w:space="0" w:color="auto"/>
                        <w:left w:val="none" w:sz="0" w:space="0" w:color="auto"/>
                        <w:bottom w:val="none" w:sz="0" w:space="0" w:color="auto"/>
                        <w:right w:val="none" w:sz="0" w:space="0" w:color="auto"/>
                      </w:divBdr>
                      <w:divsChild>
                        <w:div w:id="444429709">
                          <w:marLeft w:val="0"/>
                          <w:marRight w:val="0"/>
                          <w:marTop w:val="0"/>
                          <w:marBottom w:val="0"/>
                          <w:divBdr>
                            <w:top w:val="none" w:sz="0" w:space="0" w:color="auto"/>
                            <w:left w:val="none" w:sz="0" w:space="0" w:color="auto"/>
                            <w:bottom w:val="none" w:sz="0" w:space="0" w:color="auto"/>
                            <w:right w:val="none" w:sz="0" w:space="0" w:color="auto"/>
                          </w:divBdr>
                          <w:divsChild>
                            <w:div w:id="1502969031">
                              <w:marLeft w:val="0"/>
                              <w:marRight w:val="0"/>
                              <w:marTop w:val="0"/>
                              <w:marBottom w:val="0"/>
                              <w:divBdr>
                                <w:top w:val="none" w:sz="0" w:space="0" w:color="auto"/>
                                <w:left w:val="none" w:sz="0" w:space="0" w:color="auto"/>
                                <w:bottom w:val="none" w:sz="0" w:space="0" w:color="auto"/>
                                <w:right w:val="none" w:sz="0" w:space="0" w:color="auto"/>
                              </w:divBdr>
                              <w:divsChild>
                                <w:div w:id="6526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60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bbMrJustice\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E7609-0EC6-49C9-84A5-6FDAA69D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1</TotalTime>
  <Pages>19</Pages>
  <Words>7931</Words>
  <Characters>38038</Characters>
  <Application>Microsoft Office Word</Application>
  <DocSecurity>0</DocSecurity>
  <Lines>316</Lines>
  <Paragraphs>91</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Cobb, Mr Justice</dc:creator>
  <cp:keywords/>
  <dc:description/>
  <cp:lastModifiedBy>Stokes, Lucinda (LNG-HBE)</cp:lastModifiedBy>
  <cp:revision>2</cp:revision>
  <cp:lastPrinted>2022-07-08T07:47:00Z</cp:lastPrinted>
  <dcterms:created xsi:type="dcterms:W3CDTF">2022-08-03T20:05:00Z</dcterms:created>
  <dcterms:modified xsi:type="dcterms:W3CDTF">2022-08-03T20:05:00Z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Date">
    <vt:lpwstr>23/06/2022</vt:lpwstr>
  </property>
  <property fmtid="{D5CDD505-2E9C-101B-9397-08002B2CF9AE}" pid="9" name="NCJudge">
    <vt:lpwstr>THE HONOURABLE MR JUSTICE COBB</vt:lpwstr>
  </property>
  <property fmtid="{D5CDD505-2E9C-101B-9397-08002B2CF9AE}" pid="10" name="NCCaseNum">
    <vt:lpwstr>ZZ20D05011</vt:lpwstr>
  </property>
  <property fmtid="{D5CDD505-2E9C-101B-9397-08002B2CF9AE}" pid="11" name="NCNumber">
    <vt:lpwstr>[2022] EWHC 78 (Fam)</vt:lpwstr>
  </property>
</Properties>
</file>