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B5CCC" w14:textId="7AC4779B" w:rsidR="005E2342" w:rsidRDefault="00760439" w:rsidP="00760439">
      <w:pPr>
        <w:jc w:val="center"/>
      </w:pPr>
      <w:r w:rsidRPr="00760439">
        <w:rPr>
          <w:noProof/>
        </w:rPr>
        <w:drawing>
          <wp:inline distT="0" distB="0" distL="0" distR="0" wp14:anchorId="0065B59E" wp14:editId="2D4D4945">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7D1CA81B" w14:textId="77777777" w:rsidR="00760439" w:rsidRDefault="00760439">
      <w:pPr>
        <w:jc w:val="center"/>
      </w:pPr>
    </w:p>
    <w:p w14:paraId="7EE3B8ED" w14:textId="263846DC" w:rsidR="005E2342" w:rsidRDefault="005E2342">
      <w:pPr>
        <w:pStyle w:val="CoverText"/>
        <w:jc w:val="left"/>
        <w:rPr>
          <w:bCs/>
          <w:sz w:val="20"/>
          <w:u w:val="none"/>
        </w:rPr>
      </w:pPr>
      <w:r>
        <w:rPr>
          <w:bCs/>
        </w:rPr>
        <w:t xml:space="preserve">Neutral Citation Number: </w:t>
      </w:r>
      <w:r w:rsidR="004F29CE">
        <w:rPr>
          <w:bCs/>
        </w:rPr>
        <w:t>[2022] EWFC 53</w:t>
      </w:r>
      <w:r>
        <w:rPr>
          <w:bCs/>
        </w:rPr>
        <w:br/>
      </w:r>
    </w:p>
    <w:p w14:paraId="013A4C7F" w14:textId="1A7BF394" w:rsidR="005E2342" w:rsidRDefault="005E2342">
      <w:pPr>
        <w:pStyle w:val="CoverText"/>
        <w:rPr>
          <w:b/>
          <w:spacing w:val="-3"/>
        </w:rPr>
      </w:pPr>
      <w:r>
        <w:t xml:space="preserve">Case No: </w:t>
      </w:r>
      <w:r w:rsidR="006E4938" w:rsidRPr="006E4938">
        <w:t>LV20D03547</w:t>
      </w:r>
    </w:p>
    <w:p w14:paraId="5D359767" w14:textId="760F5EEE" w:rsidR="005E2342" w:rsidRDefault="005E2342" w:rsidP="0085748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rPr>
      </w:pPr>
      <w:r>
        <w:t xml:space="preserve">IN THE </w:t>
      </w:r>
      <w:r w:rsidR="00857489">
        <w:t>FAMILY</w:t>
      </w:r>
      <w:r>
        <w:t xml:space="preserve"> COURT </w:t>
      </w:r>
    </w:p>
    <w:p w14:paraId="6BFE21D2" w14:textId="77777777" w:rsidR="005E2342" w:rsidRDefault="005E2342">
      <w:pPr>
        <w:suppressAutoHyphens/>
        <w:rPr>
          <w:b/>
          <w:spacing w:val="-3"/>
          <w:u w:val="single"/>
        </w:rPr>
      </w:pPr>
    </w:p>
    <w:p w14:paraId="0F645DE4" w14:textId="77777777" w:rsidR="005E2342" w:rsidRDefault="005E2342">
      <w:pPr>
        <w:pStyle w:val="CoverText"/>
      </w:pPr>
      <w:r>
        <w:t>Royal Courts of Justice</w:t>
      </w:r>
    </w:p>
    <w:p w14:paraId="1872BD30" w14:textId="77777777" w:rsidR="005E2342" w:rsidRDefault="005E2342">
      <w:pPr>
        <w:pStyle w:val="CoverText"/>
      </w:pPr>
      <w:r>
        <w:t>Strand, London, WC2A 2LL</w:t>
      </w:r>
    </w:p>
    <w:p w14:paraId="04D08740" w14:textId="77777777" w:rsidR="005E2342" w:rsidRDefault="005E2342">
      <w:pPr>
        <w:suppressAutoHyphens/>
        <w:jc w:val="right"/>
        <w:rPr>
          <w:spacing w:val="-3"/>
          <w:u w:val="single"/>
        </w:rPr>
      </w:pPr>
    </w:p>
    <w:p w14:paraId="4EE14730" w14:textId="6BD27BC6" w:rsidR="005E2342" w:rsidRDefault="005E2342">
      <w:pPr>
        <w:pStyle w:val="CoverText"/>
        <w:rPr>
          <w:b/>
        </w:rPr>
      </w:pPr>
      <w:r>
        <w:t xml:space="preserve">Date: </w:t>
      </w:r>
      <w:r w:rsidR="004F29CE">
        <w:t>13 June 2022</w:t>
      </w:r>
      <w:r>
        <w:t xml:space="preserve"> </w:t>
      </w:r>
    </w:p>
    <w:p w14:paraId="3374EB55" w14:textId="77777777" w:rsidR="005E2342" w:rsidRDefault="005E2342">
      <w:pPr>
        <w:suppressAutoHyphens/>
        <w:rPr>
          <w:spacing w:val="-3"/>
        </w:rPr>
      </w:pPr>
    </w:p>
    <w:p w14:paraId="2774EF20" w14:textId="77777777" w:rsidR="005E2342" w:rsidRDefault="005E2342">
      <w:pPr>
        <w:suppressAutoHyphens/>
        <w:jc w:val="center"/>
        <w:rPr>
          <w:spacing w:val="-3"/>
        </w:rPr>
      </w:pPr>
      <w:proofErr w:type="gramStart"/>
      <w:r>
        <w:rPr>
          <w:b/>
          <w:spacing w:val="-3"/>
        </w:rPr>
        <w:t>Before</w:t>
      </w:r>
      <w:r>
        <w:rPr>
          <w:spacing w:val="-3"/>
        </w:rPr>
        <w:t xml:space="preserve"> :</w:t>
      </w:r>
      <w:proofErr w:type="gramEnd"/>
    </w:p>
    <w:p w14:paraId="4C0670E5" w14:textId="77777777" w:rsidR="005E2342" w:rsidRDefault="005E2342">
      <w:pPr>
        <w:suppressAutoHyphens/>
        <w:jc w:val="center"/>
        <w:rPr>
          <w:spacing w:val="-3"/>
        </w:rPr>
      </w:pPr>
    </w:p>
    <w:p w14:paraId="2E25EBF7" w14:textId="1714B375" w:rsidR="005E2342" w:rsidRDefault="00EF050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MOSTYN</w:t>
      </w:r>
    </w:p>
    <w:p w14:paraId="7FDA3659" w14:textId="77777777" w:rsidR="005E2342" w:rsidRDefault="005E2342">
      <w:pPr>
        <w:suppressAutoHyphens/>
        <w:jc w:val="center"/>
        <w:rPr>
          <w:spacing w:val="-3"/>
        </w:rPr>
      </w:pPr>
      <w:r>
        <w:rPr>
          <w:spacing w:val="-3"/>
        </w:rPr>
        <w:t>- - - - - - - - - - - - - - - - - - - - -</w:t>
      </w:r>
    </w:p>
    <w:p w14:paraId="7163E971" w14:textId="77777777" w:rsidR="005E2342" w:rsidRDefault="005E2342">
      <w:pPr>
        <w:suppressAutoHyphens/>
        <w:jc w:val="center"/>
        <w:rPr>
          <w:b/>
          <w:spacing w:val="-3"/>
        </w:rPr>
      </w:pPr>
      <w:proofErr w:type="gramStart"/>
      <w:r>
        <w:rPr>
          <w:b/>
          <w:spacing w:val="-3"/>
        </w:rPr>
        <w:t>Between :</w:t>
      </w:r>
      <w:proofErr w:type="gramEnd"/>
    </w:p>
    <w:p w14:paraId="20FF90A9"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6B666D41" w14:textId="77777777">
        <w:trPr>
          <w:jc w:val="center"/>
        </w:trPr>
        <w:tc>
          <w:tcPr>
            <w:tcW w:w="1701" w:type="dxa"/>
          </w:tcPr>
          <w:p w14:paraId="075D5992" w14:textId="77777777" w:rsidR="005E2342" w:rsidRDefault="005E2342">
            <w:pPr>
              <w:suppressAutoHyphens/>
              <w:rPr>
                <w:b/>
                <w:spacing w:val="-3"/>
              </w:rPr>
            </w:pPr>
          </w:p>
        </w:tc>
        <w:tc>
          <w:tcPr>
            <w:tcW w:w="5333" w:type="dxa"/>
          </w:tcPr>
          <w:p w14:paraId="2341F608" w14:textId="2CA9E08E" w:rsidR="005E2342" w:rsidRDefault="00CF63D6">
            <w:pPr>
              <w:suppressAutoHyphens/>
              <w:jc w:val="center"/>
              <w:rPr>
                <w:b/>
                <w:spacing w:val="-3"/>
              </w:rPr>
            </w:pPr>
            <w:r w:rsidRPr="00CF63D6">
              <w:rPr>
                <w:b/>
                <w:spacing w:val="-3"/>
              </w:rPr>
              <w:t>Brid Angela Gallagher</w:t>
            </w:r>
          </w:p>
        </w:tc>
        <w:tc>
          <w:tcPr>
            <w:tcW w:w="1707" w:type="dxa"/>
          </w:tcPr>
          <w:p w14:paraId="34884907" w14:textId="77777777" w:rsidR="005E2342" w:rsidRPr="00EF0509" w:rsidRDefault="00A7427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u w:val="none"/>
              </w:rPr>
            </w:pPr>
            <w:r w:rsidRPr="00EF0509">
              <w:rPr>
                <w:u w:val="none"/>
              </w:rPr>
              <w:t>Applicant</w:t>
            </w:r>
          </w:p>
        </w:tc>
      </w:tr>
      <w:tr w:rsidR="005E2342" w14:paraId="6561D9D2" w14:textId="77777777">
        <w:trPr>
          <w:jc w:val="center"/>
        </w:trPr>
        <w:tc>
          <w:tcPr>
            <w:tcW w:w="1701" w:type="dxa"/>
          </w:tcPr>
          <w:p w14:paraId="537A3D0A" w14:textId="77777777" w:rsidR="005E2342" w:rsidRDefault="005E2342">
            <w:pPr>
              <w:suppressAutoHyphens/>
              <w:rPr>
                <w:b/>
                <w:spacing w:val="-3"/>
              </w:rPr>
            </w:pPr>
          </w:p>
        </w:tc>
        <w:tc>
          <w:tcPr>
            <w:tcW w:w="5333" w:type="dxa"/>
          </w:tcPr>
          <w:p w14:paraId="13848E2A" w14:textId="77777777" w:rsidR="005E2342" w:rsidRDefault="005E2342">
            <w:pPr>
              <w:suppressAutoHyphens/>
              <w:jc w:val="center"/>
              <w:rPr>
                <w:b/>
                <w:spacing w:val="-3"/>
              </w:rPr>
            </w:pPr>
            <w:r>
              <w:rPr>
                <w:b/>
                <w:spacing w:val="-3"/>
              </w:rPr>
              <w:t>- and -</w:t>
            </w:r>
          </w:p>
        </w:tc>
        <w:tc>
          <w:tcPr>
            <w:tcW w:w="1707" w:type="dxa"/>
          </w:tcPr>
          <w:p w14:paraId="5F4E9974" w14:textId="77777777" w:rsidR="005E2342" w:rsidRPr="00EF0509"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u w:val="none"/>
              </w:rPr>
            </w:pPr>
          </w:p>
        </w:tc>
      </w:tr>
      <w:tr w:rsidR="005E2342" w14:paraId="734B0E06" w14:textId="77777777">
        <w:trPr>
          <w:jc w:val="center"/>
        </w:trPr>
        <w:tc>
          <w:tcPr>
            <w:tcW w:w="1701" w:type="dxa"/>
          </w:tcPr>
          <w:p w14:paraId="75EE2F98" w14:textId="77777777" w:rsidR="005E2342" w:rsidRDefault="005E2342">
            <w:pPr>
              <w:suppressAutoHyphens/>
              <w:rPr>
                <w:b/>
                <w:spacing w:val="-3"/>
              </w:rPr>
            </w:pPr>
          </w:p>
        </w:tc>
        <w:tc>
          <w:tcPr>
            <w:tcW w:w="5333" w:type="dxa"/>
          </w:tcPr>
          <w:p w14:paraId="4DA4C00C" w14:textId="623F065D" w:rsidR="005E2342" w:rsidRDefault="00EF0509">
            <w:pPr>
              <w:suppressAutoHyphens/>
              <w:jc w:val="center"/>
              <w:rPr>
                <w:b/>
                <w:spacing w:val="-3"/>
              </w:rPr>
            </w:pPr>
            <w:r w:rsidRPr="00EF0509">
              <w:rPr>
                <w:b/>
                <w:spacing w:val="-3"/>
              </w:rPr>
              <w:t>Donal John Gallagher</w:t>
            </w:r>
          </w:p>
        </w:tc>
        <w:tc>
          <w:tcPr>
            <w:tcW w:w="1707" w:type="dxa"/>
          </w:tcPr>
          <w:p w14:paraId="44686081" w14:textId="77777777" w:rsidR="005E2342" w:rsidRPr="00EF0509" w:rsidRDefault="00A7427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u w:val="none"/>
              </w:rPr>
            </w:pPr>
            <w:r w:rsidRPr="00EF0509">
              <w:rPr>
                <w:u w:val="none"/>
              </w:rPr>
              <w:t>Respondent</w:t>
            </w:r>
          </w:p>
        </w:tc>
      </w:tr>
    </w:tbl>
    <w:p w14:paraId="2166023B" w14:textId="77777777" w:rsidR="005E2342" w:rsidRDefault="005E2342">
      <w:pPr>
        <w:suppressAutoHyphens/>
        <w:rPr>
          <w:b/>
          <w:spacing w:val="-3"/>
        </w:rPr>
      </w:pPr>
    </w:p>
    <w:p w14:paraId="61704342" w14:textId="77777777" w:rsidR="005E2342" w:rsidRDefault="005E2342">
      <w:pPr>
        <w:suppressAutoHyphens/>
        <w:jc w:val="center"/>
        <w:rPr>
          <w:spacing w:val="-3"/>
        </w:rPr>
      </w:pPr>
      <w:r>
        <w:rPr>
          <w:spacing w:val="-3"/>
        </w:rPr>
        <w:t>- - - - - - - - - - - - - - - - - - - - -</w:t>
      </w:r>
    </w:p>
    <w:p w14:paraId="2AD1332A" w14:textId="77777777" w:rsidR="005E2342" w:rsidRDefault="005E2342">
      <w:pPr>
        <w:suppressAutoHyphens/>
        <w:jc w:val="center"/>
        <w:rPr>
          <w:spacing w:val="-3"/>
        </w:rPr>
      </w:pPr>
      <w:r>
        <w:rPr>
          <w:spacing w:val="-3"/>
        </w:rPr>
        <w:t>- - - - - - - - - - - - - - - - - - - - -</w:t>
      </w:r>
    </w:p>
    <w:p w14:paraId="6BA3775F" w14:textId="0980F7FA" w:rsidR="00857489" w:rsidRPr="00026756" w:rsidRDefault="00857489" w:rsidP="00857489">
      <w:pPr>
        <w:suppressAutoHyphens/>
        <w:jc w:val="both"/>
        <w:rPr>
          <w:bCs/>
          <w:spacing w:val="-3"/>
        </w:rPr>
      </w:pPr>
      <w:r w:rsidRPr="00026756">
        <w:rPr>
          <w:b/>
          <w:spacing w:val="-3"/>
        </w:rPr>
        <w:t>Jonathan Southgate QC and Petra Teacher</w:t>
      </w:r>
      <w:r w:rsidRPr="00026756">
        <w:rPr>
          <w:bCs/>
          <w:spacing w:val="-3"/>
        </w:rPr>
        <w:t xml:space="preserve"> (instructed by </w:t>
      </w:r>
      <w:r w:rsidR="00FE66F3">
        <w:rPr>
          <w:bCs/>
          <w:spacing w:val="-3"/>
        </w:rPr>
        <w:t>Rayden Solicitors</w:t>
      </w:r>
      <w:r w:rsidRPr="00026756">
        <w:rPr>
          <w:bCs/>
          <w:spacing w:val="-3"/>
        </w:rPr>
        <w:t xml:space="preserve">) for the </w:t>
      </w:r>
      <w:r>
        <w:rPr>
          <w:bCs/>
          <w:spacing w:val="-3"/>
        </w:rPr>
        <w:t>applicant (“the wife”)</w:t>
      </w:r>
    </w:p>
    <w:p w14:paraId="4CAF9B76" w14:textId="63DF2C4C" w:rsidR="008113A0" w:rsidRPr="00026756" w:rsidRDefault="008113A0" w:rsidP="00857489">
      <w:pPr>
        <w:suppressAutoHyphens/>
        <w:jc w:val="both"/>
        <w:rPr>
          <w:b/>
          <w:spacing w:val="-3"/>
        </w:rPr>
      </w:pPr>
      <w:r w:rsidRPr="00026756">
        <w:rPr>
          <w:b/>
          <w:spacing w:val="-3"/>
        </w:rPr>
        <w:t>Simon Webster QC</w:t>
      </w:r>
      <w:r>
        <w:rPr>
          <w:b/>
          <w:spacing w:val="-3"/>
        </w:rPr>
        <w:t xml:space="preserve"> and Phillip Blatchly</w:t>
      </w:r>
      <w:r w:rsidRPr="00026756">
        <w:rPr>
          <w:b/>
          <w:spacing w:val="-3"/>
        </w:rPr>
        <w:t xml:space="preserve"> </w:t>
      </w:r>
      <w:r w:rsidRPr="00026756">
        <w:rPr>
          <w:bCs/>
          <w:spacing w:val="-3"/>
        </w:rPr>
        <w:t>(instructed by</w:t>
      </w:r>
      <w:r w:rsidRPr="00026756">
        <w:rPr>
          <w:b/>
          <w:spacing w:val="-3"/>
        </w:rPr>
        <w:t xml:space="preserve"> </w:t>
      </w:r>
      <w:r w:rsidR="00FE66F3">
        <w:rPr>
          <w:bCs/>
          <w:spacing w:val="-3"/>
        </w:rPr>
        <w:t xml:space="preserve">Hall Brown) for </w:t>
      </w:r>
      <w:r w:rsidRPr="00026756">
        <w:rPr>
          <w:bCs/>
          <w:spacing w:val="-3"/>
        </w:rPr>
        <w:t>the</w:t>
      </w:r>
      <w:r w:rsidRPr="00026756">
        <w:rPr>
          <w:spacing w:val="-3"/>
        </w:rPr>
        <w:t xml:space="preserve"> </w:t>
      </w:r>
      <w:r w:rsidR="00D709B7">
        <w:rPr>
          <w:spacing w:val="-3"/>
        </w:rPr>
        <w:t xml:space="preserve">respondent </w:t>
      </w:r>
      <w:r w:rsidR="003B1024">
        <w:rPr>
          <w:spacing w:val="-3"/>
        </w:rPr>
        <w:t>(“the husband”)</w:t>
      </w:r>
    </w:p>
    <w:p w14:paraId="7D772FA8" w14:textId="77777777" w:rsidR="008113A0" w:rsidRPr="00026756" w:rsidRDefault="008113A0" w:rsidP="008113A0">
      <w:pPr>
        <w:suppressAutoHyphens/>
        <w:jc w:val="center"/>
        <w:rPr>
          <w:b/>
          <w:spacing w:val="-3"/>
        </w:rPr>
      </w:pPr>
    </w:p>
    <w:p w14:paraId="4D0B8F9A" w14:textId="5941A8E6" w:rsidR="005E2342" w:rsidRDefault="005E2342">
      <w:pPr>
        <w:suppressAutoHyphens/>
        <w:jc w:val="center"/>
        <w:rPr>
          <w:spacing w:val="-3"/>
        </w:rPr>
      </w:pPr>
      <w:r>
        <w:rPr>
          <w:spacing w:val="-3"/>
        </w:rPr>
        <w:t xml:space="preserve">Hearing dates: </w:t>
      </w:r>
      <w:r w:rsidR="002A239B">
        <w:rPr>
          <w:spacing w:val="-3"/>
        </w:rPr>
        <w:t xml:space="preserve">21, </w:t>
      </w:r>
      <w:r w:rsidR="00717A20">
        <w:rPr>
          <w:spacing w:val="-3"/>
        </w:rPr>
        <w:t>23, 25, 27</w:t>
      </w:r>
      <w:r w:rsidR="00871700">
        <w:rPr>
          <w:spacing w:val="-3"/>
        </w:rPr>
        <w:t xml:space="preserve"> May 2022</w:t>
      </w:r>
    </w:p>
    <w:p w14:paraId="4F90DF36" w14:textId="77777777" w:rsidR="005E2342" w:rsidRDefault="005E2342">
      <w:pPr>
        <w:suppressAutoHyphens/>
        <w:jc w:val="center"/>
        <w:rPr>
          <w:spacing w:val="-3"/>
        </w:rPr>
      </w:pPr>
      <w:r>
        <w:rPr>
          <w:spacing w:val="-3"/>
        </w:rPr>
        <w:t>- - - - - - - - - - - - - - - - - - - - -</w:t>
      </w:r>
    </w:p>
    <w:p w14:paraId="00071346" w14:textId="03B33F99" w:rsidR="005E2342" w:rsidRDefault="00760439" w:rsidP="00FE66F3">
      <w:pPr>
        <w:pStyle w:val="CoverDesc"/>
      </w:pPr>
      <w:r>
        <w:t>Judgment Approved by the court</w:t>
      </w:r>
      <w:r>
        <w:br/>
        <w:t>for handing down</w:t>
      </w:r>
    </w:p>
    <w:p w14:paraId="2A7B070C" w14:textId="77777777" w:rsidR="005E2342" w:rsidRDefault="005E2342"/>
    <w:p w14:paraId="7B5BF2E2" w14:textId="77777777" w:rsidR="00760439" w:rsidRDefault="00760439">
      <w:pPr>
        <w:rPr>
          <w:bCs/>
        </w:rPr>
      </w:pPr>
      <w:r>
        <w:rPr>
          <w:bCs/>
        </w:rPr>
        <w:br w:type="page"/>
      </w:r>
    </w:p>
    <w:p w14:paraId="4F37F5B2" w14:textId="77777777" w:rsidR="00B50673" w:rsidRPr="00F815E5" w:rsidRDefault="00B50673" w:rsidP="00B50673">
      <w:pPr>
        <w:spacing w:after="240"/>
        <w:jc w:val="both"/>
        <w:rPr>
          <w:bCs/>
          <w:color w:val="FF0000"/>
        </w:rPr>
      </w:pPr>
      <w:r w:rsidRPr="00F815E5">
        <w:rPr>
          <w:bCs/>
          <w:color w:val="FF0000"/>
        </w:rPr>
        <w:lastRenderedPageBreak/>
        <w:t xml:space="preserve">This judgment was delivered in private. The judge hereby gives permission – if permission is needed – for it to be published. It should be reported as </w:t>
      </w:r>
      <w:bookmarkStart w:id="0" w:name="_Hlk105963765"/>
      <w:r w:rsidRPr="00F815E5">
        <w:rPr>
          <w:bCs/>
          <w:i/>
          <w:iCs/>
          <w:color w:val="FF0000"/>
        </w:rPr>
        <w:t>Gallagher v Gallagher (No.2) (Financial Remedies)</w:t>
      </w:r>
      <w:r w:rsidRPr="00F815E5">
        <w:rPr>
          <w:bCs/>
          <w:color w:val="FF0000"/>
        </w:rPr>
        <w:t xml:space="preserve"> </w:t>
      </w:r>
      <w:r>
        <w:rPr>
          <w:bCs/>
          <w:color w:val="FF0000"/>
        </w:rPr>
        <w:t>[2022] EWFC 53</w:t>
      </w:r>
      <w:r w:rsidRPr="00F815E5">
        <w:rPr>
          <w:bCs/>
          <w:color w:val="FF0000"/>
        </w:rPr>
        <w:t xml:space="preserve"> </w:t>
      </w:r>
    </w:p>
    <w:bookmarkEnd w:id="0"/>
    <w:p w14:paraId="30D992D2" w14:textId="77777777" w:rsidR="00B50673" w:rsidRPr="00F815E5" w:rsidRDefault="00B50673" w:rsidP="00B50673">
      <w:pPr>
        <w:spacing w:after="240"/>
        <w:jc w:val="both"/>
        <w:rPr>
          <w:bCs/>
          <w:color w:val="FF0000"/>
        </w:rPr>
      </w:pPr>
      <w:r w:rsidRPr="00F815E5">
        <w:rPr>
          <w:bCs/>
          <w:color w:val="FF0000"/>
        </w:rPr>
        <w:t xml:space="preserve">The judge has made a reporting restriction order which provides that in no report of, or commentary on, the proceedings or this judgment may the children be </w:t>
      </w:r>
      <w:proofErr w:type="gramStart"/>
      <w:r w:rsidRPr="00F815E5">
        <w:rPr>
          <w:bCs/>
          <w:color w:val="FF0000"/>
        </w:rPr>
        <w:t>named</w:t>
      </w:r>
      <w:proofErr w:type="gramEnd"/>
      <w:r w:rsidRPr="00F815E5">
        <w:rPr>
          <w:bCs/>
          <w:color w:val="FF0000"/>
        </w:rPr>
        <w:t xml:space="preserve"> or their schools or address identified. </w:t>
      </w:r>
    </w:p>
    <w:p w14:paraId="25E23E02" w14:textId="77777777" w:rsidR="00B50673" w:rsidRPr="00F815E5" w:rsidRDefault="00B50673" w:rsidP="00B50673">
      <w:pPr>
        <w:spacing w:after="240"/>
        <w:jc w:val="both"/>
        <w:rPr>
          <w:bCs/>
          <w:color w:val="FF0000"/>
        </w:rPr>
      </w:pPr>
      <w:r w:rsidRPr="00F815E5">
        <w:rPr>
          <w:bCs/>
          <w:color w:val="FF0000"/>
        </w:rPr>
        <w:t xml:space="preserve">It further provides that certain financial matters may not be reported. </w:t>
      </w:r>
    </w:p>
    <w:p w14:paraId="699FF7BC" w14:textId="77777777" w:rsidR="00B50673" w:rsidRPr="00F815E5" w:rsidRDefault="00B50673" w:rsidP="00B50673">
      <w:pPr>
        <w:spacing w:after="240"/>
        <w:jc w:val="both"/>
        <w:rPr>
          <w:bCs/>
          <w:color w:val="FF0000"/>
        </w:rPr>
      </w:pPr>
      <w:r w:rsidRPr="00F815E5">
        <w:rPr>
          <w:bCs/>
          <w:color w:val="FF0000"/>
        </w:rPr>
        <w:t>Breach of that order will be a contempt of court.</w:t>
      </w:r>
    </w:p>
    <w:p w14:paraId="4F352FA4" w14:textId="77777777" w:rsidR="00760439" w:rsidRDefault="00760439">
      <w:pPr>
        <w:rPr>
          <w:bCs/>
        </w:rPr>
      </w:pPr>
      <w:r>
        <w:rPr>
          <w:bCs/>
        </w:rPr>
        <w:br w:type="page"/>
      </w:r>
    </w:p>
    <w:p w14:paraId="03559646" w14:textId="3B89AC9E" w:rsidR="005E2342" w:rsidRDefault="00291E21">
      <w:pPr>
        <w:spacing w:after="240"/>
      </w:pPr>
      <w:r>
        <w:rPr>
          <w:b/>
        </w:rPr>
        <w:lastRenderedPageBreak/>
        <w:t>Mr Justice Mostyn</w:t>
      </w:r>
      <w:r w:rsidR="005E2342">
        <w:rPr>
          <w:b/>
        </w:rPr>
        <w:t>:</w:t>
      </w:r>
      <w:r w:rsidR="005E2342">
        <w:t xml:space="preserve"> </w:t>
      </w:r>
    </w:p>
    <w:p w14:paraId="05729DFA" w14:textId="77777777" w:rsidR="005E2342" w:rsidRDefault="005E2342">
      <w:pPr>
        <w:pStyle w:val="ParaHeading"/>
        <w:sectPr w:rsidR="005E2342">
          <w:headerReference w:type="default" r:id="rId12"/>
          <w:footerReference w:type="default" r:id="rId13"/>
          <w:pgSz w:w="11909" w:h="16834" w:code="9"/>
          <w:pgMar w:top="1440" w:right="1440" w:bottom="1440" w:left="1440" w:header="709" w:footer="709" w:gutter="0"/>
          <w:cols w:space="720"/>
          <w:formProt w:val="0"/>
        </w:sectPr>
      </w:pPr>
    </w:p>
    <w:p w14:paraId="3DE015B2" w14:textId="7D6E6FD7" w:rsidR="00925F52" w:rsidRDefault="00A7427C" w:rsidP="00925F52">
      <w:pPr>
        <w:pStyle w:val="ParaLevel1"/>
        <w:rPr>
          <w:lang w:eastAsia="en-GB"/>
        </w:rPr>
      </w:pPr>
      <w:r w:rsidRPr="00A7427C">
        <w:t>The</w:t>
      </w:r>
      <w:r w:rsidR="00925F52">
        <w:t xml:space="preserve"> wife applies for the full range of financial remedies</w:t>
      </w:r>
      <w:r w:rsidR="00E2532A">
        <w:t xml:space="preserve">. This is my judgment on </w:t>
      </w:r>
      <w:r w:rsidR="00392A1E">
        <w:t xml:space="preserve">her </w:t>
      </w:r>
      <w:r w:rsidR="00E2532A">
        <w:t>application.</w:t>
      </w:r>
      <w:r w:rsidR="00925F52">
        <w:t xml:space="preserve"> </w:t>
      </w:r>
    </w:p>
    <w:p w14:paraId="5BF9E0D2" w14:textId="4467CB19" w:rsidR="00CF524D" w:rsidRDefault="00E2532A" w:rsidP="00852EF2">
      <w:pPr>
        <w:pStyle w:val="ParaLevel1"/>
        <w:rPr>
          <w:lang w:eastAsia="en-GB"/>
        </w:rPr>
      </w:pPr>
      <w:r>
        <w:rPr>
          <w:lang w:eastAsia="en-GB"/>
        </w:rPr>
        <w:t xml:space="preserve">I find that the </w:t>
      </w:r>
      <w:r w:rsidR="00F70B03">
        <w:rPr>
          <w:lang w:eastAsia="en-GB"/>
        </w:rPr>
        <w:t xml:space="preserve">overall </w:t>
      </w:r>
      <w:r w:rsidR="008C5AFB">
        <w:rPr>
          <w:lang w:eastAsia="en-GB"/>
        </w:rPr>
        <w:t xml:space="preserve">value of the </w:t>
      </w:r>
      <w:r w:rsidR="00483B5D">
        <w:rPr>
          <w:lang w:eastAsia="en-GB"/>
        </w:rPr>
        <w:t>parties’</w:t>
      </w:r>
      <w:r>
        <w:rPr>
          <w:lang w:eastAsia="en-GB"/>
        </w:rPr>
        <w:t xml:space="preserve"> assets </w:t>
      </w:r>
      <w:r w:rsidR="008C5AFB">
        <w:rPr>
          <w:lang w:eastAsia="en-GB"/>
        </w:rPr>
        <w:t>is</w:t>
      </w:r>
      <w:r>
        <w:rPr>
          <w:lang w:eastAsia="en-GB"/>
        </w:rPr>
        <w:t xml:space="preserve"> </w:t>
      </w:r>
      <w:r w:rsidRPr="00CF524D">
        <w:rPr>
          <w:b/>
          <w:bCs/>
          <w:lang w:eastAsia="en-GB"/>
        </w:rPr>
        <w:t>£</w:t>
      </w:r>
      <w:r w:rsidR="0021682A" w:rsidRPr="0021682A">
        <w:rPr>
          <w:rFonts w:eastAsiaTheme="minorEastAsia"/>
          <w:b/>
          <w:bCs/>
          <w:color w:val="000000"/>
          <w:szCs w:val="24"/>
          <w:lang w:eastAsia="en-GB"/>
        </w:rPr>
        <w:t>35,456,884</w:t>
      </w:r>
      <w:r w:rsidR="00CF524D">
        <w:rPr>
          <w:lang w:eastAsia="en-GB"/>
        </w:rPr>
        <w:t>.</w:t>
      </w:r>
    </w:p>
    <w:p w14:paraId="6BFB2C37" w14:textId="28AE4662" w:rsidR="00B91D42" w:rsidRDefault="00E2532A" w:rsidP="00852EF2">
      <w:pPr>
        <w:pStyle w:val="ParaLevel1"/>
        <w:rPr>
          <w:lang w:eastAsia="en-GB"/>
        </w:rPr>
      </w:pPr>
      <w:r>
        <w:rPr>
          <w:lang w:eastAsia="en-GB"/>
        </w:rPr>
        <w:t xml:space="preserve">In reaching that figure I have had to resolve one major point, namely the value of the construction company, Galldris, of which the husband is a 50% shareholder. I have also had to resolve some lesser disputes such as the treatment in the computational exercise of certain potential liabilities of the husband, and the valuation of the former matrimonial home. </w:t>
      </w:r>
    </w:p>
    <w:p w14:paraId="5C4EDE3F" w14:textId="42B662C7" w:rsidR="00B91D42" w:rsidRDefault="000B7C42" w:rsidP="00760439">
      <w:pPr>
        <w:pStyle w:val="ParaLevel1"/>
        <w:rPr>
          <w:lang w:eastAsia="en-GB"/>
        </w:rPr>
      </w:pPr>
      <w:r>
        <w:rPr>
          <w:lang w:eastAsia="en-GB"/>
        </w:rPr>
        <w:t>In relation to the primary point</w:t>
      </w:r>
      <w:r w:rsidR="00392A1E">
        <w:rPr>
          <w:lang w:eastAsia="en-GB"/>
        </w:rPr>
        <w:t xml:space="preserve"> -</w:t>
      </w:r>
      <w:r>
        <w:rPr>
          <w:lang w:eastAsia="en-GB"/>
        </w:rPr>
        <w:t xml:space="preserve"> the valuation of Galldris</w:t>
      </w:r>
      <w:r w:rsidR="00392A1E">
        <w:rPr>
          <w:lang w:eastAsia="en-GB"/>
        </w:rPr>
        <w:t xml:space="preserve"> - </w:t>
      </w:r>
      <w:r>
        <w:rPr>
          <w:lang w:eastAsia="en-GB"/>
        </w:rPr>
        <w:t xml:space="preserve">the parties are agreed </w:t>
      </w:r>
      <w:r w:rsidR="00B12C30">
        <w:rPr>
          <w:lang w:eastAsia="en-GB"/>
        </w:rPr>
        <w:t>on</w:t>
      </w:r>
      <w:r>
        <w:rPr>
          <w:lang w:eastAsia="en-GB"/>
        </w:rPr>
        <w:t xml:space="preserve"> the </w:t>
      </w:r>
      <w:r w:rsidR="0073107E">
        <w:rPr>
          <w:lang w:eastAsia="en-GB"/>
        </w:rPr>
        <w:t xml:space="preserve">applicable </w:t>
      </w:r>
      <w:r>
        <w:rPr>
          <w:lang w:eastAsia="en-GB"/>
        </w:rPr>
        <w:t xml:space="preserve">methodology namely that the value will be established by the usual </w:t>
      </w:r>
      <w:r w:rsidR="00392A1E">
        <w:rPr>
          <w:lang w:eastAsia="en-GB"/>
        </w:rPr>
        <w:t xml:space="preserve">technique </w:t>
      </w:r>
      <w:r>
        <w:rPr>
          <w:lang w:eastAsia="en-GB"/>
        </w:rPr>
        <w:t>of (A x B) + C where A is the future maintainable earnings of the business, B is the appropriate multiplier to be applied, and C is the amount of the surplus assets of the business.</w:t>
      </w:r>
    </w:p>
    <w:p w14:paraId="4AB044E9" w14:textId="0563BD5D" w:rsidR="000B7C42" w:rsidRDefault="00F33EDC" w:rsidP="00760439">
      <w:pPr>
        <w:pStyle w:val="ParaLevel1"/>
        <w:rPr>
          <w:lang w:eastAsia="en-GB"/>
        </w:rPr>
      </w:pPr>
      <w:r>
        <w:rPr>
          <w:lang w:eastAsia="en-GB"/>
        </w:rPr>
        <w:t>The computational exercise was therefore not complex.</w:t>
      </w:r>
      <w:r w:rsidR="00C87E44">
        <w:rPr>
          <w:lang w:eastAsia="en-GB"/>
        </w:rPr>
        <w:t xml:space="preserve"> </w:t>
      </w:r>
    </w:p>
    <w:p w14:paraId="61483FD8" w14:textId="51775DA7" w:rsidR="000E0E4E" w:rsidRDefault="00F33EDC" w:rsidP="00392A1E">
      <w:pPr>
        <w:pStyle w:val="ParaLevel1"/>
        <w:rPr>
          <w:lang w:eastAsia="en-GB"/>
        </w:rPr>
      </w:pPr>
      <w:r>
        <w:rPr>
          <w:lang w:eastAsia="en-GB"/>
        </w:rPr>
        <w:t xml:space="preserve">The distributional exercise was equally straightforward. The parties agreed that the matrimonial property should be divided equally. The </w:t>
      </w:r>
      <w:r w:rsidR="000E0E4E">
        <w:rPr>
          <w:lang w:eastAsia="en-GB"/>
        </w:rPr>
        <w:t>main</w:t>
      </w:r>
      <w:r>
        <w:rPr>
          <w:lang w:eastAsia="en-GB"/>
        </w:rPr>
        <w:t xml:space="preserve"> dispute </w:t>
      </w:r>
      <w:r w:rsidR="00392A1E">
        <w:rPr>
          <w:lang w:eastAsia="en-GB"/>
        </w:rPr>
        <w:t>in</w:t>
      </w:r>
      <w:r>
        <w:rPr>
          <w:lang w:eastAsia="en-GB"/>
        </w:rPr>
        <w:t xml:space="preserve"> the assessment of the matrimonial property </w:t>
      </w:r>
      <w:r w:rsidR="00392A1E">
        <w:rPr>
          <w:lang w:eastAsia="en-GB"/>
        </w:rPr>
        <w:t>wa</w:t>
      </w:r>
      <w:r>
        <w:rPr>
          <w:lang w:eastAsia="en-GB"/>
        </w:rPr>
        <w:t xml:space="preserve">s how much of the business’s value should be </w:t>
      </w:r>
      <w:r w:rsidR="00362D6B">
        <w:rPr>
          <w:lang w:eastAsia="en-GB"/>
        </w:rPr>
        <w:t>excluded</w:t>
      </w:r>
      <w:r>
        <w:rPr>
          <w:lang w:eastAsia="en-GB"/>
        </w:rPr>
        <w:t xml:space="preserve"> to reflect its </w:t>
      </w:r>
      <w:r w:rsidR="00983051">
        <w:rPr>
          <w:lang w:eastAsia="en-GB"/>
        </w:rPr>
        <w:t xml:space="preserve">foundation </w:t>
      </w:r>
      <w:r>
        <w:rPr>
          <w:lang w:eastAsia="en-GB"/>
        </w:rPr>
        <w:t xml:space="preserve">some years prior to the </w:t>
      </w:r>
      <w:r w:rsidR="00E30569">
        <w:rPr>
          <w:lang w:eastAsia="en-GB"/>
        </w:rPr>
        <w:t xml:space="preserve">start </w:t>
      </w:r>
      <w:r>
        <w:rPr>
          <w:lang w:eastAsia="en-GB"/>
        </w:rPr>
        <w:t>of the parties’ relationship. The dispute was whether that element should be calculated on the linear basis, as contended for by the husband, or on a rather more intuitive basis as contended for by the wife.</w:t>
      </w:r>
      <w:r w:rsidR="000E0E4E">
        <w:rPr>
          <w:lang w:eastAsia="en-GB"/>
        </w:rPr>
        <w:t xml:space="preserve"> My decision, reasoned in the paragraphs below, is that 2</w:t>
      </w:r>
      <w:r w:rsidR="00A66630">
        <w:rPr>
          <w:lang w:eastAsia="en-GB"/>
        </w:rPr>
        <w:t>4</w:t>
      </w:r>
      <w:r w:rsidR="000E0E4E">
        <w:rPr>
          <w:lang w:eastAsia="en-GB"/>
        </w:rPr>
        <w:t xml:space="preserve">.5% of the value of the business should be excluded as pre-marital property. I also had to resolve a minor dispute as to whether the value of some properties should be excluded as pre-marital assets. </w:t>
      </w:r>
    </w:p>
    <w:p w14:paraId="4B685AD6" w14:textId="39CF9CAE" w:rsidR="00F33EDC" w:rsidRDefault="000E0E4E" w:rsidP="00760439">
      <w:pPr>
        <w:pStyle w:val="ParaLevel1"/>
        <w:rPr>
          <w:lang w:eastAsia="en-GB"/>
        </w:rPr>
      </w:pPr>
      <w:r>
        <w:rPr>
          <w:lang w:eastAsia="en-GB"/>
        </w:rPr>
        <w:t>The resolution of those issues leads to a finding</w:t>
      </w:r>
      <w:r w:rsidR="00E30569">
        <w:rPr>
          <w:lang w:eastAsia="en-GB"/>
        </w:rPr>
        <w:t>, explained below,</w:t>
      </w:r>
      <w:r>
        <w:rPr>
          <w:lang w:eastAsia="en-GB"/>
        </w:rPr>
        <w:t xml:space="preserve"> that the matrimonial property amounts to £</w:t>
      </w:r>
      <w:r w:rsidR="0021682A">
        <w:t>28,475,246</w:t>
      </w:r>
      <w:r>
        <w:rPr>
          <w:lang w:eastAsia="en-GB"/>
        </w:rPr>
        <w:t xml:space="preserve">, </w:t>
      </w:r>
      <w:r w:rsidR="00C87E44">
        <w:rPr>
          <w:lang w:eastAsia="en-GB"/>
        </w:rPr>
        <w:t>resulting in an award in the wife’s favour of £</w:t>
      </w:r>
      <w:r w:rsidR="0021682A">
        <w:t>14,237,623</w:t>
      </w:r>
      <w:r w:rsidR="00C87E44">
        <w:rPr>
          <w:lang w:eastAsia="en-GB"/>
        </w:rPr>
        <w:t>, made up of a transfer of the matrimonial home, a property in Ireland and a lump sum of £</w:t>
      </w:r>
      <w:r w:rsidR="0021682A">
        <w:t>12,129,209</w:t>
      </w:r>
      <w:r w:rsidR="00B83CCC">
        <w:rPr>
          <w:lang w:eastAsia="en-GB"/>
        </w:rPr>
        <w:t>.</w:t>
      </w:r>
      <w:r w:rsidR="00A66630">
        <w:rPr>
          <w:lang w:eastAsia="en-GB"/>
        </w:rPr>
        <w:t xml:space="preserve"> The wife’s award represents </w:t>
      </w:r>
      <w:r w:rsidR="0021682A">
        <w:t>40.2%</w:t>
      </w:r>
      <w:r w:rsidR="00A66630">
        <w:rPr>
          <w:lang w:eastAsia="en-GB"/>
        </w:rPr>
        <w:t xml:space="preserve"> of the total assets.</w:t>
      </w:r>
    </w:p>
    <w:p w14:paraId="6FACFBBE" w14:textId="2CA6184C" w:rsidR="00C87E44" w:rsidRDefault="00C87E44" w:rsidP="00760439">
      <w:pPr>
        <w:pStyle w:val="ParaLevel1"/>
        <w:rPr>
          <w:lang w:eastAsia="en-GB"/>
        </w:rPr>
      </w:pPr>
      <w:r>
        <w:rPr>
          <w:lang w:eastAsia="en-GB"/>
        </w:rPr>
        <w:t>As I have said, the case was very straightforward. No case-law was seriously cited to me either as to computation or distribution. The wife’s evidence lasted one hour. The husband’s evidence lasted half-a-day. The experts’ evidence lasted half-a-day. Final submissions lasted three-quarters of a day. All in, under two days were spent in court.</w:t>
      </w:r>
      <w:r w:rsidR="00A50E91">
        <w:rPr>
          <w:lang w:eastAsia="en-GB"/>
        </w:rPr>
        <w:t xml:space="preserve"> </w:t>
      </w:r>
      <w:r w:rsidR="00A82F91">
        <w:rPr>
          <w:lang w:eastAsia="en-GB"/>
        </w:rPr>
        <w:t xml:space="preserve">The case should have been capable of being dealt with quickly and economically. </w:t>
      </w:r>
    </w:p>
    <w:p w14:paraId="7055BCBD" w14:textId="6305F549" w:rsidR="00A50E91" w:rsidRDefault="00A50E91" w:rsidP="00760439">
      <w:pPr>
        <w:pStyle w:val="ParaLevel1"/>
        <w:rPr>
          <w:lang w:eastAsia="en-GB"/>
        </w:rPr>
      </w:pPr>
      <w:r>
        <w:rPr>
          <w:lang w:eastAsia="en-GB"/>
        </w:rPr>
        <w:t>And yet</w:t>
      </w:r>
      <w:r w:rsidR="00F8010A">
        <w:rPr>
          <w:lang w:eastAsia="en-GB"/>
        </w:rPr>
        <w:t>.</w:t>
      </w:r>
    </w:p>
    <w:p w14:paraId="42B27683" w14:textId="77EA753E" w:rsidR="00A50E91" w:rsidRDefault="00A82F91" w:rsidP="00A82F91">
      <w:pPr>
        <w:pStyle w:val="ParaLevel1"/>
        <w:rPr>
          <w:lang w:eastAsia="en-GB"/>
        </w:rPr>
      </w:pPr>
      <w:r>
        <w:rPr>
          <w:lang w:eastAsia="en-GB"/>
        </w:rPr>
        <w:t>In th</w:t>
      </w:r>
      <w:r w:rsidR="00616821">
        <w:rPr>
          <w:lang w:eastAsia="en-GB"/>
        </w:rPr>
        <w:t>e</w:t>
      </w:r>
      <w:r>
        <w:rPr>
          <w:lang w:eastAsia="en-GB"/>
        </w:rPr>
        <w:t xml:space="preserve"> </w:t>
      </w:r>
      <w:r w:rsidR="00616821">
        <w:rPr>
          <w:lang w:eastAsia="en-GB"/>
        </w:rPr>
        <w:t>two years since the wife’s Form A</w:t>
      </w:r>
      <w:r w:rsidR="005A501B">
        <w:rPr>
          <w:lang w:eastAsia="en-GB"/>
        </w:rPr>
        <w:t xml:space="preserve"> </w:t>
      </w:r>
      <w:r>
        <w:rPr>
          <w:lang w:eastAsia="en-GB"/>
        </w:rPr>
        <w:t>the parties have incurred costs in the extraordinary</w:t>
      </w:r>
      <w:r w:rsidR="00A50E91">
        <w:rPr>
          <w:lang w:eastAsia="en-GB"/>
        </w:rPr>
        <w:t xml:space="preserve"> </w:t>
      </w:r>
      <w:r>
        <w:rPr>
          <w:lang w:eastAsia="en-GB"/>
        </w:rPr>
        <w:t xml:space="preserve">amount </w:t>
      </w:r>
      <w:r w:rsidR="00A50E91">
        <w:rPr>
          <w:lang w:eastAsia="en-GB"/>
        </w:rPr>
        <w:t>of £</w:t>
      </w:r>
      <w:r w:rsidR="00A50E91" w:rsidRPr="00A50E91">
        <w:rPr>
          <w:lang w:eastAsia="en-GB"/>
        </w:rPr>
        <w:t>1,670,380</w:t>
      </w:r>
      <w:r w:rsidR="00A50E91">
        <w:rPr>
          <w:lang w:eastAsia="en-GB"/>
        </w:rPr>
        <w:t>, or 5% of the total assets. Those costs are tabulated as follows:</w:t>
      </w:r>
    </w:p>
    <w:p w14:paraId="71B75271" w14:textId="769FCA9B" w:rsidR="00DB2597" w:rsidRDefault="00DB2597" w:rsidP="00DB2597">
      <w:pPr>
        <w:pStyle w:val="ParaLevel1"/>
        <w:numPr>
          <w:ilvl w:val="0"/>
          <w:numId w:val="0"/>
        </w:numPr>
        <w:ind w:left="720" w:hanging="720"/>
        <w:rPr>
          <w:lang w:eastAsia="en-GB"/>
        </w:rPr>
      </w:pPr>
    </w:p>
    <w:p w14:paraId="6B2C9B62" w14:textId="29520134" w:rsidR="00F8010A" w:rsidRDefault="00F8010A" w:rsidP="00DB2597">
      <w:pPr>
        <w:pStyle w:val="ParaLevel1"/>
        <w:numPr>
          <w:ilvl w:val="0"/>
          <w:numId w:val="0"/>
        </w:numPr>
        <w:ind w:left="720" w:hanging="720"/>
        <w:rPr>
          <w:lang w:eastAsia="en-GB"/>
        </w:rPr>
      </w:pPr>
    </w:p>
    <w:p w14:paraId="4A04F272" w14:textId="77777777" w:rsidR="00F8010A" w:rsidRDefault="00F8010A" w:rsidP="00DB2597">
      <w:pPr>
        <w:pStyle w:val="ParaLevel1"/>
        <w:numPr>
          <w:ilvl w:val="0"/>
          <w:numId w:val="0"/>
        </w:numPr>
        <w:ind w:left="720" w:hanging="720"/>
        <w:rPr>
          <w:lang w:eastAsia="en-GB"/>
        </w:rPr>
      </w:pPr>
    </w:p>
    <w:tbl>
      <w:tblPr>
        <w:tblW w:w="6722" w:type="dxa"/>
        <w:tblInd w:w="704" w:type="dxa"/>
        <w:tblLook w:val="04A0" w:firstRow="1" w:lastRow="0" w:firstColumn="1" w:lastColumn="0" w:noHBand="0" w:noVBand="1"/>
      </w:tblPr>
      <w:tblGrid>
        <w:gridCol w:w="1723"/>
        <w:gridCol w:w="1256"/>
        <w:gridCol w:w="1411"/>
        <w:gridCol w:w="769"/>
        <w:gridCol w:w="790"/>
        <w:gridCol w:w="773"/>
      </w:tblGrid>
      <w:tr w:rsidR="009862F2" w14:paraId="77FAE738" w14:textId="77777777" w:rsidTr="00DC12F5">
        <w:trPr>
          <w:gridAfter w:val="1"/>
          <w:wAfter w:w="773" w:type="dxa"/>
          <w:trHeight w:val="300"/>
        </w:trPr>
        <w:tc>
          <w:tcPr>
            <w:tcW w:w="1723" w:type="dxa"/>
            <w:shd w:val="clear" w:color="auto" w:fill="auto"/>
            <w:noWrap/>
            <w:vAlign w:val="bottom"/>
            <w:hideMark/>
          </w:tcPr>
          <w:p w14:paraId="468E3344" w14:textId="77777777" w:rsidR="009862F2" w:rsidRDefault="009862F2">
            <w:pPr>
              <w:rPr>
                <w:sz w:val="20"/>
                <w:szCs w:val="20"/>
                <w:lang w:eastAsia="en-GB"/>
              </w:rPr>
            </w:pPr>
          </w:p>
        </w:tc>
        <w:tc>
          <w:tcPr>
            <w:tcW w:w="1256" w:type="dxa"/>
            <w:shd w:val="clear" w:color="auto" w:fill="auto"/>
            <w:noWrap/>
            <w:vAlign w:val="center"/>
            <w:hideMark/>
          </w:tcPr>
          <w:p w14:paraId="58518434" w14:textId="73F25160" w:rsidR="009862F2" w:rsidRDefault="00F70B03" w:rsidP="00DD2F4C">
            <w:pPr>
              <w:jc w:val="right"/>
              <w:rPr>
                <w:b/>
                <w:bCs/>
                <w:color w:val="000000"/>
              </w:rPr>
            </w:pPr>
            <w:r>
              <w:rPr>
                <w:b/>
                <w:bCs/>
                <w:color w:val="000000"/>
              </w:rPr>
              <w:t>H</w:t>
            </w:r>
            <w:r w:rsidR="008C5AFB">
              <w:rPr>
                <w:b/>
                <w:bCs/>
                <w:color w:val="000000"/>
              </w:rPr>
              <w:t>usband</w:t>
            </w:r>
          </w:p>
        </w:tc>
        <w:tc>
          <w:tcPr>
            <w:tcW w:w="1411" w:type="dxa"/>
            <w:shd w:val="clear" w:color="auto" w:fill="auto"/>
            <w:noWrap/>
            <w:vAlign w:val="center"/>
            <w:hideMark/>
          </w:tcPr>
          <w:p w14:paraId="4A49AA30" w14:textId="5F39E9AC" w:rsidR="009862F2" w:rsidRDefault="00F70B03" w:rsidP="00DD2F4C">
            <w:pPr>
              <w:jc w:val="right"/>
              <w:rPr>
                <w:b/>
                <w:bCs/>
                <w:color w:val="000000"/>
              </w:rPr>
            </w:pPr>
            <w:r>
              <w:rPr>
                <w:b/>
                <w:bCs/>
                <w:color w:val="000000"/>
              </w:rPr>
              <w:t>W</w:t>
            </w:r>
            <w:r w:rsidR="008C5AFB">
              <w:rPr>
                <w:b/>
                <w:bCs/>
                <w:color w:val="000000"/>
              </w:rPr>
              <w:t>ife</w:t>
            </w:r>
          </w:p>
        </w:tc>
        <w:tc>
          <w:tcPr>
            <w:tcW w:w="1559" w:type="dxa"/>
            <w:gridSpan w:val="2"/>
            <w:shd w:val="clear" w:color="auto" w:fill="auto"/>
            <w:noWrap/>
            <w:vAlign w:val="center"/>
            <w:hideMark/>
          </w:tcPr>
          <w:p w14:paraId="0712D17A" w14:textId="77777777" w:rsidR="009862F2" w:rsidRDefault="009862F2" w:rsidP="00DD2F4C">
            <w:pPr>
              <w:jc w:val="right"/>
              <w:rPr>
                <w:b/>
                <w:bCs/>
                <w:color w:val="000000"/>
              </w:rPr>
            </w:pPr>
            <w:r>
              <w:rPr>
                <w:b/>
                <w:bCs/>
                <w:color w:val="000000"/>
              </w:rPr>
              <w:t>Total</w:t>
            </w:r>
          </w:p>
        </w:tc>
      </w:tr>
      <w:tr w:rsidR="009862F2" w14:paraId="3B7286EC" w14:textId="77777777" w:rsidTr="00DC12F5">
        <w:trPr>
          <w:gridAfter w:val="1"/>
          <w:wAfter w:w="773" w:type="dxa"/>
          <w:trHeight w:val="309"/>
        </w:trPr>
        <w:tc>
          <w:tcPr>
            <w:tcW w:w="1723" w:type="dxa"/>
            <w:shd w:val="clear" w:color="auto" w:fill="auto"/>
            <w:noWrap/>
            <w:vAlign w:val="center"/>
            <w:hideMark/>
          </w:tcPr>
          <w:p w14:paraId="6F854E7F" w14:textId="77777777" w:rsidR="009862F2" w:rsidRDefault="009862F2">
            <w:pPr>
              <w:rPr>
                <w:color w:val="000000"/>
              </w:rPr>
            </w:pPr>
            <w:r>
              <w:rPr>
                <w:color w:val="000000"/>
              </w:rPr>
              <w:t>Solicitors</w:t>
            </w:r>
          </w:p>
        </w:tc>
        <w:tc>
          <w:tcPr>
            <w:tcW w:w="1256" w:type="dxa"/>
            <w:shd w:val="clear" w:color="auto" w:fill="auto"/>
            <w:noWrap/>
            <w:vAlign w:val="center"/>
            <w:hideMark/>
          </w:tcPr>
          <w:p w14:paraId="6821416A" w14:textId="77777777" w:rsidR="009862F2" w:rsidRDefault="009862F2">
            <w:pPr>
              <w:jc w:val="right"/>
              <w:rPr>
                <w:color w:val="000000"/>
              </w:rPr>
            </w:pPr>
            <w:r>
              <w:rPr>
                <w:color w:val="000000"/>
              </w:rPr>
              <w:t>398,869</w:t>
            </w:r>
          </w:p>
        </w:tc>
        <w:tc>
          <w:tcPr>
            <w:tcW w:w="1411" w:type="dxa"/>
            <w:shd w:val="clear" w:color="auto" w:fill="auto"/>
            <w:noWrap/>
            <w:vAlign w:val="center"/>
            <w:hideMark/>
          </w:tcPr>
          <w:p w14:paraId="5ED77345" w14:textId="77777777" w:rsidR="009862F2" w:rsidRDefault="009862F2">
            <w:pPr>
              <w:jc w:val="right"/>
              <w:rPr>
                <w:color w:val="000000"/>
              </w:rPr>
            </w:pPr>
            <w:r>
              <w:rPr>
                <w:color w:val="000000"/>
              </w:rPr>
              <w:t>320,116</w:t>
            </w:r>
          </w:p>
        </w:tc>
        <w:tc>
          <w:tcPr>
            <w:tcW w:w="1559" w:type="dxa"/>
            <w:gridSpan w:val="2"/>
            <w:shd w:val="clear" w:color="auto" w:fill="auto"/>
            <w:noWrap/>
            <w:vAlign w:val="center"/>
            <w:hideMark/>
          </w:tcPr>
          <w:p w14:paraId="0A6E1043" w14:textId="77777777" w:rsidR="009862F2" w:rsidRDefault="009862F2">
            <w:pPr>
              <w:jc w:val="right"/>
              <w:rPr>
                <w:color w:val="000000"/>
              </w:rPr>
            </w:pPr>
            <w:r>
              <w:rPr>
                <w:color w:val="000000"/>
              </w:rPr>
              <w:t>718,985</w:t>
            </w:r>
          </w:p>
        </w:tc>
      </w:tr>
      <w:tr w:rsidR="009862F2" w14:paraId="76DCB02C" w14:textId="77777777" w:rsidTr="00DC12F5">
        <w:trPr>
          <w:gridAfter w:val="1"/>
          <w:wAfter w:w="773" w:type="dxa"/>
          <w:trHeight w:val="343"/>
        </w:trPr>
        <w:tc>
          <w:tcPr>
            <w:tcW w:w="1723" w:type="dxa"/>
            <w:shd w:val="clear" w:color="auto" w:fill="auto"/>
            <w:noWrap/>
            <w:vAlign w:val="center"/>
            <w:hideMark/>
          </w:tcPr>
          <w:p w14:paraId="33AEE87F" w14:textId="6EC79DAF" w:rsidR="009862F2" w:rsidRDefault="009862F2">
            <w:pPr>
              <w:rPr>
                <w:color w:val="000000"/>
              </w:rPr>
            </w:pPr>
            <w:r>
              <w:rPr>
                <w:color w:val="000000"/>
              </w:rPr>
              <w:t>Counsel</w:t>
            </w:r>
          </w:p>
        </w:tc>
        <w:tc>
          <w:tcPr>
            <w:tcW w:w="1256" w:type="dxa"/>
            <w:shd w:val="clear" w:color="auto" w:fill="auto"/>
            <w:noWrap/>
            <w:vAlign w:val="center"/>
            <w:hideMark/>
          </w:tcPr>
          <w:p w14:paraId="581A2508" w14:textId="0F34679C" w:rsidR="009862F2" w:rsidRDefault="009862F2">
            <w:pPr>
              <w:jc w:val="right"/>
              <w:rPr>
                <w:color w:val="000000"/>
              </w:rPr>
            </w:pPr>
            <w:r>
              <w:rPr>
                <w:color w:val="000000"/>
              </w:rPr>
              <w:t>206,880</w:t>
            </w:r>
          </w:p>
        </w:tc>
        <w:tc>
          <w:tcPr>
            <w:tcW w:w="1411" w:type="dxa"/>
            <w:shd w:val="clear" w:color="auto" w:fill="auto"/>
            <w:noWrap/>
            <w:vAlign w:val="center"/>
            <w:hideMark/>
          </w:tcPr>
          <w:p w14:paraId="7E0B7606" w14:textId="77777777" w:rsidR="009862F2" w:rsidRDefault="009862F2">
            <w:pPr>
              <w:jc w:val="right"/>
              <w:rPr>
                <w:color w:val="000000"/>
              </w:rPr>
            </w:pPr>
            <w:r>
              <w:rPr>
                <w:color w:val="000000"/>
              </w:rPr>
              <w:t>335,130</w:t>
            </w:r>
          </w:p>
        </w:tc>
        <w:tc>
          <w:tcPr>
            <w:tcW w:w="1559" w:type="dxa"/>
            <w:gridSpan w:val="2"/>
            <w:shd w:val="clear" w:color="auto" w:fill="auto"/>
            <w:noWrap/>
            <w:vAlign w:val="center"/>
            <w:hideMark/>
          </w:tcPr>
          <w:p w14:paraId="18BBC762" w14:textId="77777777" w:rsidR="009862F2" w:rsidRDefault="009862F2">
            <w:pPr>
              <w:jc w:val="right"/>
              <w:rPr>
                <w:color w:val="000000"/>
              </w:rPr>
            </w:pPr>
            <w:r>
              <w:rPr>
                <w:color w:val="000000"/>
              </w:rPr>
              <w:t>542,010</w:t>
            </w:r>
          </w:p>
        </w:tc>
      </w:tr>
      <w:tr w:rsidR="009862F2" w14:paraId="4EDFBF4E" w14:textId="77777777" w:rsidTr="00DC12F5">
        <w:trPr>
          <w:gridAfter w:val="1"/>
          <w:wAfter w:w="773" w:type="dxa"/>
          <w:trHeight w:val="352"/>
        </w:trPr>
        <w:tc>
          <w:tcPr>
            <w:tcW w:w="1723" w:type="dxa"/>
            <w:shd w:val="clear" w:color="auto" w:fill="auto"/>
            <w:noWrap/>
            <w:vAlign w:val="center"/>
            <w:hideMark/>
          </w:tcPr>
          <w:p w14:paraId="0B5F8352" w14:textId="7AF93F54" w:rsidR="009862F2" w:rsidRDefault="009862F2">
            <w:pPr>
              <w:rPr>
                <w:color w:val="000000"/>
              </w:rPr>
            </w:pPr>
            <w:r>
              <w:rPr>
                <w:color w:val="000000"/>
              </w:rPr>
              <w:t>Disbursements</w:t>
            </w:r>
            <w:r w:rsidR="0099289F">
              <w:rPr>
                <w:color w:val="000000"/>
                <w:vertAlign w:val="superscript"/>
              </w:rPr>
              <w:t>a</w:t>
            </w:r>
          </w:p>
        </w:tc>
        <w:tc>
          <w:tcPr>
            <w:tcW w:w="1256" w:type="dxa"/>
            <w:shd w:val="clear" w:color="auto" w:fill="auto"/>
            <w:noWrap/>
            <w:vAlign w:val="center"/>
            <w:hideMark/>
          </w:tcPr>
          <w:p w14:paraId="6A3D93AA" w14:textId="46FF6F87" w:rsidR="009862F2" w:rsidRDefault="009862F2">
            <w:pPr>
              <w:jc w:val="right"/>
              <w:rPr>
                <w:color w:val="000000"/>
              </w:rPr>
            </w:pPr>
            <w:r>
              <w:rPr>
                <w:color w:val="000000"/>
              </w:rPr>
              <w:t>2</w:t>
            </w:r>
            <w:r w:rsidR="00AA1787">
              <w:rPr>
                <w:color w:val="000000"/>
              </w:rPr>
              <w:t>9</w:t>
            </w:r>
            <w:r>
              <w:rPr>
                <w:color w:val="000000"/>
              </w:rPr>
              <w:t>5,</w:t>
            </w:r>
            <w:r w:rsidR="00AA1787">
              <w:rPr>
                <w:color w:val="000000"/>
              </w:rPr>
              <w:t>599</w:t>
            </w:r>
            <w:r w:rsidR="0099289F">
              <w:rPr>
                <w:color w:val="000000"/>
                <w:vertAlign w:val="superscript"/>
              </w:rPr>
              <w:t>b</w:t>
            </w:r>
          </w:p>
        </w:tc>
        <w:tc>
          <w:tcPr>
            <w:tcW w:w="1411" w:type="dxa"/>
            <w:shd w:val="clear" w:color="auto" w:fill="auto"/>
            <w:noWrap/>
            <w:vAlign w:val="center"/>
            <w:hideMark/>
          </w:tcPr>
          <w:p w14:paraId="5756C769" w14:textId="77777777" w:rsidR="009862F2" w:rsidRDefault="009862F2">
            <w:pPr>
              <w:jc w:val="right"/>
              <w:rPr>
                <w:color w:val="000000"/>
              </w:rPr>
            </w:pPr>
            <w:r>
              <w:rPr>
                <w:color w:val="000000"/>
              </w:rPr>
              <w:t>113,786</w:t>
            </w:r>
          </w:p>
        </w:tc>
        <w:tc>
          <w:tcPr>
            <w:tcW w:w="1559" w:type="dxa"/>
            <w:gridSpan w:val="2"/>
            <w:shd w:val="clear" w:color="auto" w:fill="auto"/>
            <w:noWrap/>
            <w:vAlign w:val="center"/>
            <w:hideMark/>
          </w:tcPr>
          <w:p w14:paraId="372CDB24" w14:textId="77777777" w:rsidR="009862F2" w:rsidRDefault="009862F2">
            <w:pPr>
              <w:jc w:val="right"/>
              <w:rPr>
                <w:color w:val="000000"/>
              </w:rPr>
            </w:pPr>
            <w:r>
              <w:rPr>
                <w:color w:val="000000"/>
              </w:rPr>
              <w:t>409,385</w:t>
            </w:r>
          </w:p>
        </w:tc>
      </w:tr>
      <w:tr w:rsidR="009862F2" w14:paraId="152808BE" w14:textId="77777777" w:rsidTr="00DC12F5">
        <w:trPr>
          <w:gridAfter w:val="1"/>
          <w:wAfter w:w="773" w:type="dxa"/>
          <w:trHeight w:val="300"/>
        </w:trPr>
        <w:tc>
          <w:tcPr>
            <w:tcW w:w="1723" w:type="dxa"/>
            <w:shd w:val="clear" w:color="auto" w:fill="auto"/>
            <w:noWrap/>
            <w:vAlign w:val="center"/>
            <w:hideMark/>
          </w:tcPr>
          <w:p w14:paraId="78BAFB42" w14:textId="77777777" w:rsidR="009862F2" w:rsidRDefault="009862F2">
            <w:pPr>
              <w:rPr>
                <w:b/>
                <w:bCs/>
                <w:color w:val="000000"/>
              </w:rPr>
            </w:pPr>
            <w:r>
              <w:rPr>
                <w:b/>
                <w:bCs/>
                <w:color w:val="000000"/>
              </w:rPr>
              <w:t>Total</w:t>
            </w:r>
          </w:p>
        </w:tc>
        <w:tc>
          <w:tcPr>
            <w:tcW w:w="1256" w:type="dxa"/>
            <w:shd w:val="clear" w:color="auto" w:fill="auto"/>
            <w:noWrap/>
            <w:vAlign w:val="center"/>
            <w:hideMark/>
          </w:tcPr>
          <w:p w14:paraId="384610B5" w14:textId="77777777" w:rsidR="009862F2" w:rsidRDefault="009862F2">
            <w:pPr>
              <w:jc w:val="right"/>
              <w:rPr>
                <w:b/>
                <w:bCs/>
                <w:color w:val="000000"/>
              </w:rPr>
            </w:pPr>
            <w:r>
              <w:rPr>
                <w:b/>
                <w:bCs/>
                <w:color w:val="000000"/>
              </w:rPr>
              <w:t>901,348</w:t>
            </w:r>
          </w:p>
        </w:tc>
        <w:tc>
          <w:tcPr>
            <w:tcW w:w="1411" w:type="dxa"/>
            <w:shd w:val="clear" w:color="auto" w:fill="auto"/>
            <w:noWrap/>
            <w:vAlign w:val="center"/>
            <w:hideMark/>
          </w:tcPr>
          <w:p w14:paraId="72FBC1CC" w14:textId="77777777" w:rsidR="009862F2" w:rsidRDefault="009862F2">
            <w:pPr>
              <w:jc w:val="right"/>
              <w:rPr>
                <w:b/>
                <w:bCs/>
                <w:color w:val="000000"/>
              </w:rPr>
            </w:pPr>
            <w:r>
              <w:rPr>
                <w:b/>
                <w:bCs/>
                <w:color w:val="000000"/>
              </w:rPr>
              <w:t>769,032</w:t>
            </w:r>
          </w:p>
        </w:tc>
        <w:tc>
          <w:tcPr>
            <w:tcW w:w="1559" w:type="dxa"/>
            <w:gridSpan w:val="2"/>
            <w:shd w:val="clear" w:color="auto" w:fill="auto"/>
            <w:noWrap/>
            <w:vAlign w:val="center"/>
            <w:hideMark/>
          </w:tcPr>
          <w:p w14:paraId="3F46AB57" w14:textId="77777777" w:rsidR="009862F2" w:rsidRDefault="009862F2">
            <w:pPr>
              <w:jc w:val="right"/>
              <w:rPr>
                <w:b/>
                <w:bCs/>
                <w:color w:val="000000"/>
              </w:rPr>
            </w:pPr>
            <w:r>
              <w:rPr>
                <w:b/>
                <w:bCs/>
                <w:color w:val="000000"/>
              </w:rPr>
              <w:t>1,670,380</w:t>
            </w:r>
          </w:p>
        </w:tc>
      </w:tr>
      <w:tr w:rsidR="009862F2" w14:paraId="38356133" w14:textId="77777777" w:rsidTr="00DC12F5">
        <w:trPr>
          <w:trHeight w:val="343"/>
        </w:trPr>
        <w:tc>
          <w:tcPr>
            <w:tcW w:w="6722" w:type="dxa"/>
            <w:gridSpan w:val="6"/>
            <w:shd w:val="clear" w:color="auto" w:fill="auto"/>
            <w:noWrap/>
            <w:vAlign w:val="center"/>
            <w:hideMark/>
          </w:tcPr>
          <w:p w14:paraId="3BE41639" w14:textId="77777777" w:rsidR="009862F2" w:rsidRDefault="009862F2">
            <w:pPr>
              <w:jc w:val="right"/>
              <w:rPr>
                <w:b/>
                <w:bCs/>
                <w:color w:val="000000"/>
              </w:rPr>
            </w:pPr>
          </w:p>
        </w:tc>
      </w:tr>
      <w:tr w:rsidR="009862F2" w14:paraId="7964B630" w14:textId="77777777" w:rsidTr="00DC12F5">
        <w:trPr>
          <w:trHeight w:val="343"/>
        </w:trPr>
        <w:tc>
          <w:tcPr>
            <w:tcW w:w="5159" w:type="dxa"/>
            <w:gridSpan w:val="4"/>
            <w:shd w:val="clear" w:color="auto" w:fill="auto"/>
            <w:noWrap/>
            <w:vAlign w:val="center"/>
            <w:hideMark/>
          </w:tcPr>
          <w:p w14:paraId="323BE4C3" w14:textId="7235D41C" w:rsidR="009862F2" w:rsidRDefault="0099289F">
            <w:pPr>
              <w:rPr>
                <w:color w:val="000000"/>
              </w:rPr>
            </w:pPr>
            <w:r>
              <w:rPr>
                <w:color w:val="000000"/>
                <w:vertAlign w:val="superscript"/>
              </w:rPr>
              <w:t>a</w:t>
            </w:r>
            <w:r>
              <w:rPr>
                <w:color w:val="000000"/>
              </w:rPr>
              <w:t xml:space="preserve"> </w:t>
            </w:r>
            <w:r w:rsidR="009862F2">
              <w:rPr>
                <w:color w:val="000000"/>
              </w:rPr>
              <w:t>Mainly the business valuation experts</w:t>
            </w:r>
          </w:p>
        </w:tc>
        <w:tc>
          <w:tcPr>
            <w:tcW w:w="1563" w:type="dxa"/>
            <w:gridSpan w:val="2"/>
            <w:shd w:val="clear" w:color="auto" w:fill="auto"/>
            <w:noWrap/>
            <w:vAlign w:val="bottom"/>
            <w:hideMark/>
          </w:tcPr>
          <w:p w14:paraId="3EC3D239" w14:textId="77777777" w:rsidR="009862F2" w:rsidRDefault="009862F2">
            <w:pPr>
              <w:rPr>
                <w:color w:val="000000"/>
              </w:rPr>
            </w:pPr>
          </w:p>
        </w:tc>
      </w:tr>
      <w:tr w:rsidR="009862F2" w14:paraId="1B4DF905" w14:textId="77777777" w:rsidTr="00DC12F5">
        <w:trPr>
          <w:trHeight w:val="343"/>
        </w:trPr>
        <w:tc>
          <w:tcPr>
            <w:tcW w:w="5159" w:type="dxa"/>
            <w:gridSpan w:val="4"/>
            <w:shd w:val="clear" w:color="auto" w:fill="auto"/>
            <w:noWrap/>
            <w:vAlign w:val="center"/>
            <w:hideMark/>
          </w:tcPr>
          <w:p w14:paraId="27AE3557" w14:textId="11A5289C" w:rsidR="009862F2" w:rsidRDefault="0099289F">
            <w:pPr>
              <w:rPr>
                <w:color w:val="000000"/>
              </w:rPr>
            </w:pPr>
            <w:r>
              <w:rPr>
                <w:color w:val="000000"/>
                <w:vertAlign w:val="superscript"/>
              </w:rPr>
              <w:t>b</w:t>
            </w:r>
            <w:r>
              <w:rPr>
                <w:color w:val="000000"/>
              </w:rPr>
              <w:t xml:space="preserve"> </w:t>
            </w:r>
            <w:proofErr w:type="gramStart"/>
            <w:r w:rsidR="009862F2">
              <w:rPr>
                <w:color w:val="000000"/>
              </w:rPr>
              <w:t>The</w:t>
            </w:r>
            <w:proofErr w:type="gramEnd"/>
            <w:r w:rsidR="009862F2">
              <w:rPr>
                <w:color w:val="000000"/>
              </w:rPr>
              <w:t xml:space="preserve"> husband paid </w:t>
            </w:r>
            <w:r w:rsidR="00B966E9">
              <w:rPr>
                <w:color w:val="000000"/>
              </w:rPr>
              <w:t xml:space="preserve">the fees of Faye Hall, </w:t>
            </w:r>
            <w:r w:rsidR="009862F2">
              <w:rPr>
                <w:color w:val="000000"/>
              </w:rPr>
              <w:t>the SJE</w:t>
            </w:r>
          </w:p>
        </w:tc>
        <w:tc>
          <w:tcPr>
            <w:tcW w:w="1563" w:type="dxa"/>
            <w:gridSpan w:val="2"/>
            <w:shd w:val="clear" w:color="auto" w:fill="auto"/>
            <w:noWrap/>
            <w:vAlign w:val="bottom"/>
            <w:hideMark/>
          </w:tcPr>
          <w:p w14:paraId="614125A4" w14:textId="77777777" w:rsidR="009862F2" w:rsidRDefault="009862F2">
            <w:pPr>
              <w:rPr>
                <w:color w:val="000000"/>
              </w:rPr>
            </w:pPr>
          </w:p>
        </w:tc>
      </w:tr>
    </w:tbl>
    <w:p w14:paraId="6B28AFCF" w14:textId="1D09C817" w:rsidR="005A3CB9" w:rsidRDefault="009862F2" w:rsidP="00B0236B">
      <w:pPr>
        <w:pStyle w:val="ParaLevel1"/>
        <w:rPr>
          <w:lang w:eastAsia="en-GB"/>
        </w:rPr>
      </w:pPr>
      <w:r>
        <w:rPr>
          <w:lang w:eastAsia="en-GB"/>
        </w:rPr>
        <w:t>The wife</w:t>
      </w:r>
      <w:r w:rsidR="009637C2">
        <w:rPr>
          <w:lang w:eastAsia="en-GB"/>
        </w:rPr>
        <w:t xml:space="preserve">’s open proposal </w:t>
      </w:r>
      <w:proofErr w:type="gramStart"/>
      <w:r w:rsidR="009637C2">
        <w:rPr>
          <w:lang w:eastAsia="en-GB"/>
        </w:rPr>
        <w:t xml:space="preserve">was </w:t>
      </w:r>
      <w:r>
        <w:rPr>
          <w:lang w:eastAsia="en-GB"/>
        </w:rPr>
        <w:t xml:space="preserve"> that</w:t>
      </w:r>
      <w:proofErr w:type="gramEnd"/>
      <w:r>
        <w:rPr>
          <w:lang w:eastAsia="en-GB"/>
        </w:rPr>
        <w:t xml:space="preserve"> </w:t>
      </w:r>
      <w:r w:rsidR="00686DDB">
        <w:rPr>
          <w:lang w:eastAsia="en-GB"/>
        </w:rPr>
        <w:t xml:space="preserve">she should receive </w:t>
      </w:r>
      <w:r w:rsidR="00740DB5">
        <w:rPr>
          <w:lang w:eastAsia="en-GB"/>
        </w:rPr>
        <w:t>an overall award of £18m</w:t>
      </w:r>
      <w:r>
        <w:rPr>
          <w:lang w:eastAsia="en-GB"/>
        </w:rPr>
        <w:t xml:space="preserve">. </w:t>
      </w:r>
      <w:r w:rsidR="009637C2">
        <w:rPr>
          <w:lang w:eastAsia="en-GB"/>
        </w:rPr>
        <w:t xml:space="preserve">That was in the spectrum of possible awards. </w:t>
      </w:r>
      <w:r>
        <w:rPr>
          <w:lang w:eastAsia="en-GB"/>
        </w:rPr>
        <w:t xml:space="preserve">The husband proposed that the wife </w:t>
      </w:r>
      <w:r w:rsidR="00686DDB">
        <w:rPr>
          <w:lang w:eastAsia="en-GB"/>
        </w:rPr>
        <w:t xml:space="preserve">should receive </w:t>
      </w:r>
      <w:r w:rsidR="00740DB5">
        <w:rPr>
          <w:lang w:eastAsia="en-GB"/>
        </w:rPr>
        <w:t xml:space="preserve">an overall award of </w:t>
      </w:r>
      <w:r w:rsidR="008A21DA">
        <w:rPr>
          <w:lang w:eastAsia="en-GB"/>
        </w:rPr>
        <w:t xml:space="preserve">merely </w:t>
      </w:r>
      <w:r w:rsidR="00740DB5">
        <w:rPr>
          <w:lang w:eastAsia="en-GB"/>
        </w:rPr>
        <w:t>£6.6m.</w:t>
      </w:r>
      <w:r>
        <w:rPr>
          <w:lang w:eastAsia="en-GB"/>
        </w:rPr>
        <w:t xml:space="preserve"> </w:t>
      </w:r>
      <w:r w:rsidR="009637C2">
        <w:rPr>
          <w:lang w:eastAsia="en-GB"/>
        </w:rPr>
        <w:t>That was not</w:t>
      </w:r>
      <w:r w:rsidR="005A3CB9">
        <w:rPr>
          <w:lang w:eastAsia="en-GB"/>
        </w:rPr>
        <w:t>.</w:t>
      </w:r>
    </w:p>
    <w:p w14:paraId="620BA75A" w14:textId="28D78A6E" w:rsidR="00740DB5" w:rsidRDefault="00740DB5" w:rsidP="00740DB5">
      <w:pPr>
        <w:pStyle w:val="ParaLevel1"/>
        <w:rPr>
          <w:lang w:eastAsia="en-GB"/>
        </w:rPr>
      </w:pPr>
      <w:r>
        <w:rPr>
          <w:lang w:eastAsia="en-GB"/>
        </w:rPr>
        <w:t xml:space="preserve">It </w:t>
      </w:r>
      <w:r w:rsidR="008A21DA">
        <w:rPr>
          <w:lang w:eastAsia="en-GB"/>
        </w:rPr>
        <w:t xml:space="preserve">would be </w:t>
      </w:r>
      <w:r>
        <w:rPr>
          <w:lang w:eastAsia="en-GB"/>
        </w:rPr>
        <w:t xml:space="preserve">no answer to the question: </w:t>
      </w:r>
    </w:p>
    <w:p w14:paraId="3829F8C1" w14:textId="77777777" w:rsidR="00740DB5" w:rsidRPr="00616821" w:rsidRDefault="00740DB5" w:rsidP="00740DB5">
      <w:pPr>
        <w:pStyle w:val="ParaLevel1"/>
        <w:numPr>
          <w:ilvl w:val="0"/>
          <w:numId w:val="0"/>
        </w:numPr>
        <w:ind w:left="720"/>
        <w:rPr>
          <w:i/>
          <w:iCs/>
          <w:lang w:eastAsia="en-GB"/>
        </w:rPr>
      </w:pPr>
      <w:r w:rsidRPr="00616821">
        <w:rPr>
          <w:i/>
          <w:iCs/>
          <w:lang w:eastAsia="en-GB"/>
        </w:rPr>
        <w:t xml:space="preserve">How is it that these exorbitant costs have been incurred? </w:t>
      </w:r>
    </w:p>
    <w:p w14:paraId="48153D6B" w14:textId="620FA6C8" w:rsidR="00740DB5" w:rsidRDefault="00740DB5" w:rsidP="00740DB5">
      <w:pPr>
        <w:pStyle w:val="ParaLevel1"/>
        <w:numPr>
          <w:ilvl w:val="0"/>
          <w:numId w:val="0"/>
        </w:numPr>
        <w:ind w:left="720"/>
        <w:rPr>
          <w:lang w:eastAsia="en-GB"/>
        </w:rPr>
      </w:pPr>
      <w:r>
        <w:rPr>
          <w:lang w:eastAsia="en-GB"/>
        </w:rPr>
        <w:t>to respond</w:t>
      </w:r>
      <w:r w:rsidR="005A3CB9">
        <w:rPr>
          <w:lang w:eastAsia="en-GB"/>
        </w:rPr>
        <w:t>:</w:t>
      </w:r>
    </w:p>
    <w:p w14:paraId="0CD06076" w14:textId="75D572E4" w:rsidR="00740DB5" w:rsidRDefault="00740DB5" w:rsidP="00740DB5">
      <w:pPr>
        <w:pStyle w:val="ParaLevel1"/>
        <w:numPr>
          <w:ilvl w:val="0"/>
          <w:numId w:val="0"/>
        </w:numPr>
        <w:ind w:left="720"/>
        <w:rPr>
          <w:lang w:eastAsia="en-GB"/>
        </w:rPr>
      </w:pPr>
      <w:r>
        <w:rPr>
          <w:lang w:eastAsia="en-GB"/>
        </w:rPr>
        <w:t>“</w:t>
      </w:r>
      <w:r w:rsidR="00616821" w:rsidRPr="00616821">
        <w:rPr>
          <w:i/>
          <w:iCs/>
          <w:lang w:eastAsia="en-GB"/>
        </w:rPr>
        <w:t>W</w:t>
      </w:r>
      <w:r w:rsidRPr="00616821">
        <w:rPr>
          <w:i/>
          <w:iCs/>
          <w:lang w:eastAsia="en-GB"/>
        </w:rPr>
        <w:t>ell, that is what the market will bear and how the parties want to spend their money is a matter for them not the business of the court”</w:t>
      </w:r>
      <w:r>
        <w:rPr>
          <w:lang w:eastAsia="en-GB"/>
        </w:rPr>
        <w:t>.</w:t>
      </w:r>
      <w:r w:rsidR="00B966E9">
        <w:rPr>
          <w:rStyle w:val="FootnoteReference"/>
          <w:lang w:eastAsia="en-GB"/>
        </w:rPr>
        <w:footnoteReference w:id="1"/>
      </w:r>
    </w:p>
    <w:p w14:paraId="158C62BE" w14:textId="636402A9" w:rsidR="00740DB5" w:rsidRDefault="00616821" w:rsidP="00740DB5">
      <w:pPr>
        <w:pStyle w:val="ParaLevel1"/>
        <w:numPr>
          <w:ilvl w:val="0"/>
          <w:numId w:val="0"/>
        </w:numPr>
        <w:ind w:left="720"/>
        <w:rPr>
          <w:lang w:eastAsia="en-GB"/>
        </w:rPr>
      </w:pPr>
      <w:r>
        <w:rPr>
          <w:lang w:eastAsia="en-GB"/>
        </w:rPr>
        <w:t>It is no answer because the court is bidden to</w:t>
      </w:r>
      <w:r w:rsidR="005A3CB9">
        <w:rPr>
          <w:lang w:eastAsia="en-GB"/>
        </w:rPr>
        <w:t xml:space="preserve"> </w:t>
      </w:r>
      <w:r w:rsidR="008C5AFB">
        <w:rPr>
          <w:lang w:eastAsia="en-GB"/>
        </w:rPr>
        <w:t>do its utmost</w:t>
      </w:r>
      <w:r w:rsidR="005A3CB9">
        <w:rPr>
          <w:lang w:eastAsia="en-GB"/>
        </w:rPr>
        <w:t xml:space="preserve"> </w:t>
      </w:r>
      <w:r>
        <w:rPr>
          <w:lang w:eastAsia="en-GB"/>
        </w:rPr>
        <w:t xml:space="preserve">to </w:t>
      </w:r>
      <w:r w:rsidR="00F70B03">
        <w:rPr>
          <w:lang w:eastAsia="en-GB"/>
        </w:rPr>
        <w:t>compel</w:t>
      </w:r>
      <w:r>
        <w:rPr>
          <w:lang w:eastAsia="en-GB"/>
        </w:rPr>
        <w:t xml:space="preserve"> litigants </w:t>
      </w:r>
      <w:r w:rsidR="00F70B03">
        <w:rPr>
          <w:lang w:eastAsia="en-GB"/>
        </w:rPr>
        <w:t xml:space="preserve">to </w:t>
      </w:r>
      <w:r>
        <w:rPr>
          <w:lang w:eastAsia="en-GB"/>
        </w:rPr>
        <w:t xml:space="preserve">conduct their cases proportionately. The court does so in the wider public interest. It is in the public interest that citizens who invoke the rule of law should have true access to justice. A putative litigant does not have </w:t>
      </w:r>
      <w:r w:rsidR="005F7A2C">
        <w:rPr>
          <w:lang w:eastAsia="en-GB"/>
        </w:rPr>
        <w:t xml:space="preserve">true </w:t>
      </w:r>
      <w:r>
        <w:rPr>
          <w:lang w:eastAsia="en-GB"/>
        </w:rPr>
        <w:t>access to justice if it is unaffordable</w:t>
      </w:r>
      <w:r w:rsidR="005A3CB9">
        <w:rPr>
          <w:lang w:eastAsia="en-GB"/>
        </w:rPr>
        <w:t>;</w:t>
      </w:r>
      <w:r>
        <w:rPr>
          <w:lang w:eastAsia="en-GB"/>
        </w:rPr>
        <w:t xml:space="preserve"> if</w:t>
      </w:r>
      <w:r w:rsidR="005A3CB9">
        <w:rPr>
          <w:lang w:eastAsia="en-GB"/>
        </w:rPr>
        <w:t xml:space="preserve"> it is, to </w:t>
      </w:r>
      <w:r w:rsidR="00EC4504">
        <w:rPr>
          <w:lang w:eastAsia="en-GB"/>
        </w:rPr>
        <w:t xml:space="preserve">adapt </w:t>
      </w:r>
      <w:r w:rsidR="005A3CB9">
        <w:rPr>
          <w:lang w:eastAsia="en-GB"/>
        </w:rPr>
        <w:t xml:space="preserve">the weary </w:t>
      </w:r>
      <w:r w:rsidR="00415A31">
        <w:rPr>
          <w:lang w:eastAsia="en-GB"/>
        </w:rPr>
        <w:t>aphorism</w:t>
      </w:r>
      <w:r w:rsidR="005A3CB9">
        <w:rPr>
          <w:lang w:eastAsia="en-GB"/>
        </w:rPr>
        <w:t xml:space="preserve">, </w:t>
      </w:r>
      <w:r w:rsidR="00362D6B">
        <w:rPr>
          <w:lang w:eastAsia="en-GB"/>
        </w:rPr>
        <w:t xml:space="preserve">only </w:t>
      </w:r>
      <w:r w:rsidR="005A3CB9">
        <w:rPr>
          <w:lang w:eastAsia="en-GB"/>
        </w:rPr>
        <w:t>open to all</w:t>
      </w:r>
      <w:r w:rsidR="00EC4504">
        <w:rPr>
          <w:lang w:eastAsia="en-GB"/>
        </w:rPr>
        <w:t xml:space="preserve"> </w:t>
      </w:r>
      <w:r w:rsidR="005A3CB9">
        <w:rPr>
          <w:lang w:eastAsia="en-GB"/>
        </w:rPr>
        <w:t>like the Ritz Hotel</w:t>
      </w:r>
      <w:r w:rsidR="005F7A2C">
        <w:rPr>
          <w:lang w:eastAsia="en-GB"/>
        </w:rPr>
        <w:t>.</w:t>
      </w:r>
      <w:r w:rsidR="003D3EB2">
        <w:rPr>
          <w:lang w:eastAsia="en-GB"/>
        </w:rPr>
        <w:t xml:space="preserve"> Financial remedy litigation seems to be fast heading for Ritz Hotel status </w:t>
      </w:r>
      <w:r w:rsidR="00983051">
        <w:rPr>
          <w:lang w:eastAsia="en-GB"/>
        </w:rPr>
        <w:t>-</w:t>
      </w:r>
      <w:r w:rsidR="003D3EB2">
        <w:rPr>
          <w:lang w:eastAsia="en-GB"/>
        </w:rPr>
        <w:t xml:space="preserve"> so </w:t>
      </w:r>
      <w:r w:rsidR="009A3B76">
        <w:rPr>
          <w:lang w:eastAsia="en-GB"/>
        </w:rPr>
        <w:t>expensive</w:t>
      </w:r>
      <w:r w:rsidR="003D3EB2">
        <w:rPr>
          <w:lang w:eastAsia="en-GB"/>
        </w:rPr>
        <w:t xml:space="preserve"> that it is only accessible by the very rich.</w:t>
      </w:r>
    </w:p>
    <w:p w14:paraId="0211C45A" w14:textId="2F21ADB6" w:rsidR="00A50E91" w:rsidRDefault="005A3CB9" w:rsidP="00740DB5">
      <w:pPr>
        <w:pStyle w:val="ParaLevel1"/>
        <w:rPr>
          <w:lang w:eastAsia="en-GB"/>
        </w:rPr>
      </w:pPr>
      <w:r>
        <w:rPr>
          <w:lang w:eastAsia="en-GB"/>
        </w:rPr>
        <w:t>I am not going to repeat my lamentations about the exorbitance of costs which I have expressed in recent judgments. Nor am I going to repeat my cry that something must be done. In this judgment I merely record the facts and I leave it either to the Lord Chancellor, or to the Family Procedure Rule Committee</w:t>
      </w:r>
      <w:r w:rsidR="005B04AB">
        <w:rPr>
          <w:lang w:eastAsia="en-GB"/>
        </w:rPr>
        <w:t>,</w:t>
      </w:r>
      <w:r>
        <w:rPr>
          <w:lang w:eastAsia="en-GB"/>
        </w:rPr>
        <w:t xml:space="preserve"> to do something about it</w:t>
      </w:r>
      <w:r w:rsidR="005F7A2C">
        <w:rPr>
          <w:lang w:eastAsia="en-GB"/>
        </w:rPr>
        <w:t>.</w:t>
      </w:r>
    </w:p>
    <w:p w14:paraId="25DFA935" w14:textId="71BF1E72" w:rsidR="005F7A2C" w:rsidRDefault="005F7A2C" w:rsidP="005F7A2C">
      <w:pPr>
        <w:pStyle w:val="ParaLevel1"/>
        <w:numPr>
          <w:ilvl w:val="0"/>
          <w:numId w:val="0"/>
        </w:numPr>
        <w:rPr>
          <w:lang w:eastAsia="en-GB"/>
        </w:rPr>
      </w:pPr>
      <w:r>
        <w:rPr>
          <w:b/>
          <w:bCs/>
          <w:lang w:eastAsia="en-GB"/>
        </w:rPr>
        <w:t>The background facts</w:t>
      </w:r>
      <w:r>
        <w:rPr>
          <w:lang w:eastAsia="en-GB"/>
        </w:rPr>
        <w:t xml:space="preserve"> </w:t>
      </w:r>
    </w:p>
    <w:p w14:paraId="77C3C84C" w14:textId="26E26BF8" w:rsidR="00A57E30" w:rsidRDefault="00A57E30" w:rsidP="00A57E30">
      <w:pPr>
        <w:pStyle w:val="ParaLevel1"/>
      </w:pPr>
      <w:r>
        <w:t xml:space="preserve">The husband is 50. The wife is 44. Both are from </w:t>
      </w:r>
      <w:r w:rsidR="00F70B03">
        <w:t xml:space="preserve">the Republic of </w:t>
      </w:r>
      <w:r>
        <w:t>Ireland and met in Donegal in 2003 or 2004. At that time, the wife was undertaking a post-graduate teaching diploma and the husband was living and working in London (to which he had moved in 1989).</w:t>
      </w:r>
    </w:p>
    <w:p w14:paraId="4FF46A47" w14:textId="001F5BC6" w:rsidR="00F8010A" w:rsidRDefault="00F8010A" w:rsidP="00A57E30">
      <w:pPr>
        <w:pStyle w:val="ParaLevel1"/>
      </w:pPr>
      <w:r>
        <w:t>On 23 March 1998</w:t>
      </w:r>
      <w:r w:rsidR="005B04AB">
        <w:t>,</w:t>
      </w:r>
      <w:r>
        <w:t xml:space="preserve"> Gal</w:t>
      </w:r>
      <w:r w:rsidR="005B04AB">
        <w:t>l</w:t>
      </w:r>
      <w:r>
        <w:t>dris Construction Ltd was incorporated. The husband and Sean O’Driscoll each own 50% of the shares.</w:t>
      </w:r>
      <w:r w:rsidR="00671856">
        <w:t xml:space="preserve"> Mr O’Driscoll did not join the company, and it did not start functioning as a partnership, until Christmas 1999 by which time it had just secured its first two major contracts. </w:t>
      </w:r>
      <w:r w:rsidR="00D52AA1">
        <w:t xml:space="preserve">Galldris has since been developed into a group </w:t>
      </w:r>
      <w:r w:rsidR="00D52AA1">
        <w:lastRenderedPageBreak/>
        <w:t xml:space="preserve">of companies which, in addition to </w:t>
      </w:r>
      <w:proofErr w:type="gramStart"/>
      <w:r w:rsidR="00D52AA1">
        <w:t>a number of</w:t>
      </w:r>
      <w:proofErr w:type="gramEnd"/>
      <w:r w:rsidR="00D52AA1">
        <w:t xml:space="preserve"> dormant companies, comprises: (i) Galldris Services Ltd (which carries on the main trade traceable back to Galldris Construction Ltd); and (ii) two companies under common control supplying to Galldris Services Ltd, namely ODG Plant Hire Ltd (wh</w:t>
      </w:r>
      <w:r w:rsidR="00051705">
        <w:t>ich</w:t>
      </w:r>
      <w:r w:rsidR="00D52AA1">
        <w:t xml:space="preserve"> provide</w:t>
      </w:r>
      <w:r w:rsidR="00051705">
        <w:t>s</w:t>
      </w:r>
      <w:r w:rsidR="00D52AA1">
        <w:t xml:space="preserve"> rent of plant and equipment) and 3G Tunnelling Services Ltd (wh</w:t>
      </w:r>
      <w:r w:rsidR="00051705">
        <w:t xml:space="preserve">ich </w:t>
      </w:r>
      <w:r w:rsidR="00D52AA1">
        <w:t>suppl</w:t>
      </w:r>
      <w:r w:rsidR="00051705">
        <w:t>ies</w:t>
      </w:r>
      <w:r w:rsidR="00D52AA1">
        <w:t xml:space="preserve"> labour).</w:t>
      </w:r>
      <w:r w:rsidR="00BD4412">
        <w:t xml:space="preserve"> The experts in this case have agreed that these companies should be valued as one. As such, and u</w:t>
      </w:r>
      <w:r w:rsidR="00D91CDA">
        <w:t xml:space="preserve">nless otherwise stated, </w:t>
      </w:r>
      <w:r w:rsidR="00BD4412">
        <w:t xml:space="preserve">in this judgment </w:t>
      </w:r>
      <w:r w:rsidR="00D91CDA">
        <w:t xml:space="preserve">‘Galldris’ will be used </w:t>
      </w:r>
      <w:r w:rsidR="004C24E4">
        <w:t>as an umbrella term for the various iterations of the corporate structure since 1998.</w:t>
      </w:r>
    </w:p>
    <w:p w14:paraId="2CE7F961" w14:textId="5DC34EB3" w:rsidR="00A57E30" w:rsidRPr="00E42EAD" w:rsidRDefault="00A57E30" w:rsidP="005B04AB">
      <w:pPr>
        <w:pStyle w:val="ParaLevel1"/>
      </w:pPr>
      <w:r>
        <w:t xml:space="preserve">After a period of being in a long-distance relationship, during which the wife completed her education and taught for one year in a primary school in </w:t>
      </w:r>
      <w:proofErr w:type="gramStart"/>
      <w:r>
        <w:t>Dublin,  the</w:t>
      </w:r>
      <w:proofErr w:type="gramEnd"/>
      <w:r>
        <w:t xml:space="preserve"> wife moved to London to live with the husband in his council flat. Both parties accept </w:t>
      </w:r>
      <w:r w:rsidRPr="00E42EAD">
        <w:t>that cohabitation began in July 2005.</w:t>
      </w:r>
    </w:p>
    <w:p w14:paraId="5A56DC1F" w14:textId="28AF23FD" w:rsidR="00A57E30" w:rsidRDefault="00A57E30" w:rsidP="00A57E30">
      <w:pPr>
        <w:pStyle w:val="ParaLevel1"/>
      </w:pPr>
      <w:r>
        <w:t xml:space="preserve">The husband </w:t>
      </w:r>
      <w:r w:rsidRPr="00E42EAD">
        <w:t>and</w:t>
      </w:r>
      <w:r>
        <w:t xml:space="preserve"> the wife </w:t>
      </w:r>
      <w:r w:rsidRPr="00E42EAD">
        <w:t xml:space="preserve">became engaged in December 2006 and married on 25 July 2008. </w:t>
      </w:r>
    </w:p>
    <w:p w14:paraId="514781F4" w14:textId="78E0E97A" w:rsidR="00A57E30" w:rsidRDefault="00A57E30" w:rsidP="00A57E30">
      <w:pPr>
        <w:pStyle w:val="ParaLevel1"/>
      </w:pPr>
      <w:r>
        <w:t>The husband and the wife have three children, 11-year-old twin boys and a 6-year-old girl.</w:t>
      </w:r>
      <w:r w:rsidRPr="008E264C">
        <w:t xml:space="preserve"> </w:t>
      </w:r>
      <w:r>
        <w:t>All three attend independent prep schools</w:t>
      </w:r>
      <w:r w:rsidR="00671856">
        <w:t>, the fees of which are paid by the husband.</w:t>
      </w:r>
    </w:p>
    <w:p w14:paraId="2B3002EA" w14:textId="0061EE7E" w:rsidR="003E71FF" w:rsidRPr="003E71FF" w:rsidRDefault="003E71FF" w:rsidP="003E71FF">
      <w:pPr>
        <w:pStyle w:val="ParaLevel1"/>
        <w:numPr>
          <w:ilvl w:val="0"/>
          <w:numId w:val="0"/>
        </w:numPr>
        <w:rPr>
          <w:i/>
          <w:iCs/>
        </w:rPr>
      </w:pPr>
      <w:r>
        <w:rPr>
          <w:i/>
          <w:iCs/>
        </w:rPr>
        <w:t>The financial history</w:t>
      </w:r>
    </w:p>
    <w:p w14:paraId="739E2B6A" w14:textId="287FFD1B" w:rsidR="00A460E1" w:rsidRPr="00A460E1" w:rsidRDefault="00465142" w:rsidP="009B4C6F">
      <w:pPr>
        <w:pStyle w:val="ParaLevel1"/>
      </w:pPr>
      <w:r>
        <w:t xml:space="preserve">The financial </w:t>
      </w:r>
      <w:r w:rsidRPr="00BF3BCC">
        <w:t xml:space="preserve">history of the marriage is a story of ever </w:t>
      </w:r>
      <w:r w:rsidR="008F4446" w:rsidRPr="00BF3BCC">
        <w:t xml:space="preserve">rising </w:t>
      </w:r>
      <w:r w:rsidRPr="00BF3BCC">
        <w:t>prosperity</w:t>
      </w:r>
      <w:r w:rsidR="008F4446" w:rsidRPr="00BF3BCC">
        <w:t xml:space="preserve"> and </w:t>
      </w:r>
      <w:proofErr w:type="gramStart"/>
      <w:r w:rsidR="008F4446" w:rsidRPr="00BF3BCC">
        <w:t>ever increasing</w:t>
      </w:r>
      <w:proofErr w:type="gramEnd"/>
      <w:r w:rsidR="008F4446" w:rsidRPr="00BF3BCC">
        <w:t xml:space="preserve"> standard of living.</w:t>
      </w:r>
      <w:r w:rsidR="00FF0343" w:rsidRPr="00BF3BCC">
        <w:t xml:space="preserve"> </w:t>
      </w:r>
      <w:r w:rsidR="00FB49EA" w:rsidRPr="00BF3BCC">
        <w:t>The</w:t>
      </w:r>
      <w:r w:rsidR="00822818" w:rsidRPr="00BF3BCC">
        <w:t xml:space="preserve"> </w:t>
      </w:r>
      <w:r w:rsidR="00C10DBE" w:rsidRPr="00BF3BCC">
        <w:t>business was</w:t>
      </w:r>
      <w:r w:rsidR="00362D6B">
        <w:t>,</w:t>
      </w:r>
      <w:r w:rsidR="00C10DBE" w:rsidRPr="00BF3BCC">
        <w:t xml:space="preserve"> </w:t>
      </w:r>
      <w:r w:rsidR="00362D6B">
        <w:t xml:space="preserve">and is, </w:t>
      </w:r>
      <w:r w:rsidR="00DD392F" w:rsidRPr="00BF3BCC">
        <w:t xml:space="preserve">extremely successful. Its </w:t>
      </w:r>
      <w:r w:rsidR="004E5E89" w:rsidRPr="00BF3BCC">
        <w:t xml:space="preserve">accounts for the year to </w:t>
      </w:r>
      <w:r w:rsidR="00822818" w:rsidRPr="00BF3BCC">
        <w:t>March 2019,</w:t>
      </w:r>
      <w:r w:rsidR="004E5E89" w:rsidRPr="00BF3BCC">
        <w:t xml:space="preserve"> being the last accounting year </w:t>
      </w:r>
      <w:r w:rsidR="00FB49EA" w:rsidRPr="00BF3BCC">
        <w:t>before the separation</w:t>
      </w:r>
      <w:r w:rsidR="00762E8C" w:rsidRPr="00BF3BCC">
        <w:t>,</w:t>
      </w:r>
      <w:r w:rsidR="00FB49EA" w:rsidRPr="00BF3BCC">
        <w:t xml:space="preserve"> show</w:t>
      </w:r>
      <w:r w:rsidR="00762E8C" w:rsidRPr="00BF3BCC">
        <w:t xml:space="preserve"> </w:t>
      </w:r>
      <w:r w:rsidR="007464C5" w:rsidRPr="00BF3BCC">
        <w:t xml:space="preserve">that turnover </w:t>
      </w:r>
      <w:r w:rsidR="00E21240" w:rsidRPr="00BF3BCC">
        <w:t xml:space="preserve">had </w:t>
      </w:r>
      <w:r w:rsidR="00DD392F" w:rsidRPr="00BF3BCC">
        <w:t xml:space="preserve">by then </w:t>
      </w:r>
      <w:proofErr w:type="gramStart"/>
      <w:r w:rsidR="00E21240" w:rsidRPr="00BF3BCC">
        <w:t xml:space="preserve">reached </w:t>
      </w:r>
      <w:r w:rsidR="007464C5" w:rsidRPr="00BF3BCC">
        <w:t xml:space="preserve"> £</w:t>
      </w:r>
      <w:proofErr w:type="gramEnd"/>
      <w:r w:rsidR="007464C5" w:rsidRPr="00BF3BCC">
        <w:t>74 million</w:t>
      </w:r>
      <w:r w:rsidR="00872A52" w:rsidRPr="00BF3BCC">
        <w:t xml:space="preserve"> </w:t>
      </w:r>
      <w:r w:rsidR="00C03E16" w:rsidRPr="00BF3BCC">
        <w:t xml:space="preserve">with </w:t>
      </w:r>
      <w:r w:rsidR="00C10DBE" w:rsidRPr="00BF3BCC">
        <w:t xml:space="preserve">a </w:t>
      </w:r>
      <w:r w:rsidR="00C03E16" w:rsidRPr="00BF3BCC">
        <w:t xml:space="preserve">pre-tax profit </w:t>
      </w:r>
      <w:r w:rsidR="00C10DBE" w:rsidRPr="00BF3BCC">
        <w:t>of</w:t>
      </w:r>
      <w:r w:rsidR="00C03E16" w:rsidRPr="00BF3BCC">
        <w:t xml:space="preserve"> £5 million. </w:t>
      </w:r>
      <w:r w:rsidR="002F59CB" w:rsidRPr="00BF3BCC">
        <w:t xml:space="preserve">The </w:t>
      </w:r>
      <w:r w:rsidR="00D66F76" w:rsidRPr="00BF3BCC">
        <w:t>milestones</w:t>
      </w:r>
      <w:r w:rsidR="00A460E1" w:rsidRPr="00BF3BCC">
        <w:t xml:space="preserve"> in the financial history were</w:t>
      </w:r>
      <w:r w:rsidR="00AB0258">
        <w:t xml:space="preserve"> as follows:</w:t>
      </w:r>
    </w:p>
    <w:p w14:paraId="1287C555" w14:textId="494EC1F5" w:rsidR="00A460E1" w:rsidRDefault="003D21A1" w:rsidP="00A460E1">
      <w:pPr>
        <w:pStyle w:val="ParaLevel2"/>
      </w:pPr>
      <w:r>
        <w:t xml:space="preserve">The </w:t>
      </w:r>
      <w:r w:rsidR="008C5AFB">
        <w:t>husband</w:t>
      </w:r>
      <w:r>
        <w:t xml:space="preserve"> moved to London in 1989 with “just £1.00 in my pocket</w:t>
      </w:r>
      <w:proofErr w:type="gramStart"/>
      <w:r>
        <w:t>”, and</w:t>
      </w:r>
      <w:proofErr w:type="gramEnd"/>
      <w:r>
        <w:t xml:space="preserve"> worked as a labourer for J Colman Tunnelling</w:t>
      </w:r>
      <w:r w:rsidR="008A0BD8">
        <w:t>.</w:t>
      </w:r>
    </w:p>
    <w:p w14:paraId="743B0F1F" w14:textId="564B02FC" w:rsidR="003D21A1" w:rsidRDefault="003D21A1" w:rsidP="00A460E1">
      <w:pPr>
        <w:pStyle w:val="ParaLevel2"/>
      </w:pPr>
      <w:r>
        <w:t xml:space="preserve">In 1995, the </w:t>
      </w:r>
      <w:r w:rsidR="008C5AFB">
        <w:t>husband</w:t>
      </w:r>
      <w:r>
        <w:t xml:space="preserve"> was approached by a company called Macrete who would supply the clients for the </w:t>
      </w:r>
      <w:r w:rsidR="008C5AFB">
        <w:t>husband</w:t>
      </w:r>
      <w:r>
        <w:t xml:space="preserve"> to do the work. The </w:t>
      </w:r>
      <w:r w:rsidR="008C5AFB">
        <w:t>husband</w:t>
      </w:r>
      <w:r>
        <w:t xml:space="preserve"> therefore began working as a sole trader/subcontractor</w:t>
      </w:r>
      <w:r w:rsidR="00B6739A">
        <w:t>.</w:t>
      </w:r>
    </w:p>
    <w:p w14:paraId="6769D6E4" w14:textId="0D25C930" w:rsidR="00D66F76" w:rsidRDefault="003D21A1" w:rsidP="00A460E1">
      <w:pPr>
        <w:pStyle w:val="ParaLevel2"/>
      </w:pPr>
      <w:r>
        <w:t xml:space="preserve">In </w:t>
      </w:r>
      <w:r w:rsidR="00AB0258">
        <w:t xml:space="preserve">the </w:t>
      </w:r>
      <w:r>
        <w:t xml:space="preserve">summer </w:t>
      </w:r>
      <w:r w:rsidR="00AB0258">
        <w:t xml:space="preserve">of </w:t>
      </w:r>
      <w:r>
        <w:t xml:space="preserve">1997, whilst working with a company called Active Tunnelling, the </w:t>
      </w:r>
      <w:r w:rsidR="008C5AFB">
        <w:t>husband</w:t>
      </w:r>
      <w:r>
        <w:t xml:space="preserve"> met his current business partner, Sean O’Driscoll, and they set up Galldris in </w:t>
      </w:r>
      <w:r w:rsidR="003F7E27">
        <w:t>March 1998</w:t>
      </w:r>
      <w:r w:rsidR="008A0BD8">
        <w:t>.</w:t>
      </w:r>
    </w:p>
    <w:p w14:paraId="0D1A2E59" w14:textId="169BED4D" w:rsidR="003D21A1" w:rsidRDefault="00D002BB" w:rsidP="00A460E1">
      <w:pPr>
        <w:pStyle w:val="ParaLevel2"/>
      </w:pPr>
      <w:r>
        <w:t xml:space="preserve">From March 1998 to Christmas 1999, the </w:t>
      </w:r>
      <w:r w:rsidR="008C5AFB">
        <w:t>husband</w:t>
      </w:r>
      <w:r>
        <w:t xml:space="preserve"> was solely responsible for Galldris. He describes that in those early days “the business totally consumed me”</w:t>
      </w:r>
      <w:r w:rsidR="008A0BD8">
        <w:t>.</w:t>
      </w:r>
    </w:p>
    <w:p w14:paraId="3ABC868A" w14:textId="2F6AA70A" w:rsidR="00D002BB" w:rsidRDefault="003D121C" w:rsidP="00A460E1">
      <w:pPr>
        <w:pStyle w:val="ParaLevel2"/>
      </w:pPr>
      <w:r>
        <w:t xml:space="preserve">During </w:t>
      </w:r>
      <w:r w:rsidR="00051705">
        <w:t xml:space="preserve">the </w:t>
      </w:r>
      <w:r w:rsidR="00AB0258">
        <w:t xml:space="preserve">1999 </w:t>
      </w:r>
      <w:r>
        <w:t xml:space="preserve">Christmas </w:t>
      </w:r>
      <w:r w:rsidR="00051705">
        <w:t>period</w:t>
      </w:r>
      <w:r>
        <w:t xml:space="preserve">, </w:t>
      </w:r>
      <w:r w:rsidR="00051705">
        <w:t>when</w:t>
      </w:r>
      <w:r w:rsidR="00942996">
        <w:t xml:space="preserve"> </w:t>
      </w:r>
      <w:r>
        <w:t>Galldris secured its first two major contracts, Mr O’Driscoll began working full-time for Galldris</w:t>
      </w:r>
      <w:r w:rsidR="00EC61CA">
        <w:t xml:space="preserve">. </w:t>
      </w:r>
      <w:proofErr w:type="gramStart"/>
      <w:r w:rsidR="00EC61CA">
        <w:t>At this time</w:t>
      </w:r>
      <w:proofErr w:type="gramEnd"/>
      <w:r w:rsidR="00EC61CA">
        <w:t xml:space="preserve">, Galldris was a </w:t>
      </w:r>
      <w:r w:rsidR="00942996">
        <w:t>construction</w:t>
      </w:r>
      <w:r w:rsidR="00EC61CA">
        <w:t xml:space="preserve"> company </w:t>
      </w:r>
      <w:r w:rsidR="00043181">
        <w:t>with a civil side and a rail side</w:t>
      </w:r>
      <w:r w:rsidR="008A0BD8">
        <w:t>.</w:t>
      </w:r>
    </w:p>
    <w:p w14:paraId="38FBC747" w14:textId="2D0B0BB3" w:rsidR="00942996" w:rsidRDefault="00563A26" w:rsidP="00A460E1">
      <w:pPr>
        <w:pStyle w:val="ParaLevel2"/>
      </w:pPr>
      <w:r>
        <w:t xml:space="preserve">From November 2000 – 2004, the </w:t>
      </w:r>
      <w:r w:rsidR="008C5AFB">
        <w:t>husband</w:t>
      </w:r>
      <w:r>
        <w:t xml:space="preserve"> also operated Galldris (Ireland). The </w:t>
      </w:r>
      <w:r w:rsidR="008C5AFB">
        <w:t>husband</w:t>
      </w:r>
      <w:r>
        <w:t xml:space="preserve"> closed this business owing to the success of Galldris in the UK and </w:t>
      </w:r>
      <w:r>
        <w:lastRenderedPageBreak/>
        <w:t xml:space="preserve">being unable to manage both. £1m was transferred from </w:t>
      </w:r>
      <w:r w:rsidR="00E25CE8">
        <w:t>Galldris (Ireland) to Galldris in March 2004</w:t>
      </w:r>
      <w:r w:rsidR="008A0BD8">
        <w:t>.</w:t>
      </w:r>
    </w:p>
    <w:p w14:paraId="73D88653" w14:textId="147A45E1" w:rsidR="00D86A7C" w:rsidRDefault="00D86A7C" w:rsidP="00A460E1">
      <w:pPr>
        <w:pStyle w:val="ParaLevel2"/>
      </w:pPr>
      <w:r>
        <w:t xml:space="preserve">In 2000, the </w:t>
      </w:r>
      <w:r w:rsidR="008C5AFB">
        <w:t>husband</w:t>
      </w:r>
      <w:r>
        <w:t xml:space="preserve"> and Mr O’Driscoll purchased land in Hertford for development</w:t>
      </w:r>
      <w:r w:rsidR="008A0BD8">
        <w:t>.</w:t>
      </w:r>
    </w:p>
    <w:p w14:paraId="767961F1" w14:textId="3576D53F" w:rsidR="003F7E27" w:rsidRDefault="003F7E27" w:rsidP="00A460E1">
      <w:pPr>
        <w:pStyle w:val="ParaLevel2"/>
      </w:pPr>
      <w:r>
        <w:t>On 13 May 2002, ODG Plant Hire Ltd was incorporated.</w:t>
      </w:r>
    </w:p>
    <w:p w14:paraId="15ED600C" w14:textId="3143ECFC" w:rsidR="00E25CE8" w:rsidRDefault="00E25CE8" w:rsidP="00A460E1">
      <w:pPr>
        <w:pStyle w:val="ParaLevel2"/>
      </w:pPr>
      <w:r>
        <w:t xml:space="preserve">The </w:t>
      </w:r>
      <w:r w:rsidR="008C5AFB">
        <w:t>husband</w:t>
      </w:r>
      <w:r>
        <w:t xml:space="preserve"> purchased </w:t>
      </w:r>
      <w:proofErr w:type="gramStart"/>
      <w:r>
        <w:t>a number of</w:t>
      </w:r>
      <w:proofErr w:type="gramEnd"/>
      <w:r>
        <w:t xml:space="preserve"> investment properties in 2003</w:t>
      </w:r>
      <w:r w:rsidR="00095681">
        <w:t xml:space="preserve"> some of which were later </w:t>
      </w:r>
      <w:r w:rsidR="007D5BAB">
        <w:t>sold to help fund the refurbishment of the matrimonial home at 3 Belmont Avenue</w:t>
      </w:r>
      <w:r w:rsidR="008A0BD8">
        <w:t>.</w:t>
      </w:r>
    </w:p>
    <w:p w14:paraId="5ACB18EC" w14:textId="696ACE4B" w:rsidR="00BF3BCC" w:rsidRDefault="00BF3BCC" w:rsidP="00A460E1">
      <w:pPr>
        <w:pStyle w:val="ParaLevel2"/>
      </w:pPr>
      <w:r>
        <w:t>In</w:t>
      </w:r>
      <w:r w:rsidR="00463743">
        <w:t xml:space="preserve"> late 2003</w:t>
      </w:r>
      <w:r w:rsidR="00094D69">
        <w:t xml:space="preserve"> or</w:t>
      </w:r>
      <w:r>
        <w:t xml:space="preserve"> February 2004, the </w:t>
      </w:r>
      <w:r w:rsidR="008C5AFB">
        <w:t>husband</w:t>
      </w:r>
      <w:r>
        <w:t xml:space="preserve"> bought Irish property No 2</w:t>
      </w:r>
      <w:r w:rsidR="009637C2">
        <w:rPr>
          <w:rStyle w:val="FootnoteReference"/>
        </w:rPr>
        <w:footnoteReference w:id="2"/>
      </w:r>
      <w:r>
        <w:t xml:space="preserve"> for 70,000 Irish Punts (mortgage free)</w:t>
      </w:r>
      <w:r w:rsidR="00094D69">
        <w:t xml:space="preserve">. </w:t>
      </w:r>
      <w:r w:rsidR="00F0468E">
        <w:t xml:space="preserve">Following a fire in 2011, </w:t>
      </w:r>
      <w:r w:rsidR="00AE6325">
        <w:t xml:space="preserve">it </w:t>
      </w:r>
      <w:r w:rsidR="00F0468E">
        <w:t>was completely refurbished.</w:t>
      </w:r>
      <w:r w:rsidR="00AC70D5">
        <w:t xml:space="preserve"> </w:t>
      </w:r>
    </w:p>
    <w:p w14:paraId="26F5CF3E" w14:textId="3FED5276" w:rsidR="007D5BAB" w:rsidRDefault="00095681" w:rsidP="00095681">
      <w:pPr>
        <w:pStyle w:val="ParaLevel2"/>
      </w:pPr>
      <w:r>
        <w:t>B</w:t>
      </w:r>
      <w:r w:rsidR="00AF3C0A">
        <w:t>y</w:t>
      </w:r>
      <w:r>
        <w:t xml:space="preserve"> 2005 the business was prospering. Its </w:t>
      </w:r>
      <w:proofErr w:type="gramStart"/>
      <w:r>
        <w:t>combined  accounts</w:t>
      </w:r>
      <w:proofErr w:type="gramEnd"/>
      <w:r>
        <w:t xml:space="preserve"> for the year ending </w:t>
      </w:r>
      <w:r w:rsidR="00CB2DFD">
        <w:t>31 March 2005</w:t>
      </w:r>
      <w:r>
        <w:t xml:space="preserve"> show turnover of £5.7 million and pre-tax profit of £320,000. </w:t>
      </w:r>
      <w:r w:rsidR="00BF3BCC">
        <w:t xml:space="preserve">In July 2005, the </w:t>
      </w:r>
      <w:r w:rsidR="008C5AFB">
        <w:t>husband</w:t>
      </w:r>
      <w:r w:rsidR="00BF3BCC">
        <w:t xml:space="preserve"> bought </w:t>
      </w:r>
      <w:r w:rsidR="00D86A7C">
        <w:t>a property in Hornsey</w:t>
      </w:r>
      <w:r w:rsidR="00826834">
        <w:t xml:space="preserve"> </w:t>
      </w:r>
      <w:proofErr w:type="gramStart"/>
      <w:r w:rsidR="00826834">
        <w:t xml:space="preserve">- </w:t>
      </w:r>
      <w:r w:rsidR="00BF3BCC">
        <w:t xml:space="preserve"> a</w:t>
      </w:r>
      <w:proofErr w:type="gramEnd"/>
      <w:r w:rsidR="00BF3BCC">
        <w:t xml:space="preserve"> dance studio</w:t>
      </w:r>
      <w:r w:rsidR="00826834">
        <w:t xml:space="preserve"> - </w:t>
      </w:r>
      <w:r w:rsidR="00BF3BCC">
        <w:t xml:space="preserve"> which was developed into 6 apartments</w:t>
      </w:r>
      <w:r w:rsidR="008A0BD8">
        <w:t>.</w:t>
      </w:r>
    </w:p>
    <w:p w14:paraId="0A326A4C" w14:textId="103DD33A" w:rsidR="00BF3BCC" w:rsidRDefault="00D86A7C" w:rsidP="00A460E1">
      <w:pPr>
        <w:pStyle w:val="ParaLevel2"/>
      </w:pPr>
      <w:r>
        <w:t xml:space="preserve">As </w:t>
      </w:r>
      <w:proofErr w:type="gramStart"/>
      <w:r w:rsidR="00095681">
        <w:t>at</w:t>
      </w:r>
      <w:proofErr w:type="gramEnd"/>
      <w:r>
        <w:t xml:space="preserve"> July 2005, when the </w:t>
      </w:r>
      <w:r w:rsidR="00095681">
        <w:t>w</w:t>
      </w:r>
      <w:r>
        <w:t>ife moved from Ireland</w:t>
      </w:r>
      <w:r w:rsidR="004A7688">
        <w:t xml:space="preserve"> and the parties started to cohabit</w:t>
      </w:r>
      <w:r>
        <w:t xml:space="preserve">, </w:t>
      </w:r>
      <w:r w:rsidR="004A7688">
        <w:t xml:space="preserve">the </w:t>
      </w:r>
      <w:r w:rsidR="008C5AFB">
        <w:t>husband</w:t>
      </w:r>
      <w:r>
        <w:t xml:space="preserve"> held the following property portfolio</w:t>
      </w:r>
      <w:r w:rsidR="004A7688">
        <w:t xml:space="preserve"> of which the cost price totalled approximately £1.24m</w:t>
      </w:r>
      <w:r>
        <w:t>:</w:t>
      </w:r>
    </w:p>
    <w:p w14:paraId="1E08811A" w14:textId="5DB8D9BE" w:rsidR="00D86A7C" w:rsidRDefault="00D86A7C" w:rsidP="00D86A7C">
      <w:pPr>
        <w:pStyle w:val="ParaLevel3"/>
      </w:pPr>
      <w:r>
        <w:t>Land at Hertford (50%</w:t>
      </w:r>
      <w:proofErr w:type="gramStart"/>
      <w:r>
        <w:t>)</w:t>
      </w:r>
      <w:r w:rsidR="00FE52C8">
        <w:t>;</w:t>
      </w:r>
      <w:proofErr w:type="gramEnd"/>
    </w:p>
    <w:p w14:paraId="7B61414A" w14:textId="7EBF5240" w:rsidR="00FE52C8" w:rsidRDefault="00FE52C8" w:rsidP="00090E04">
      <w:pPr>
        <w:pStyle w:val="ParaLevel3"/>
      </w:pPr>
      <w:r>
        <w:t xml:space="preserve">The </w:t>
      </w:r>
      <w:r w:rsidR="00090E04">
        <w:t xml:space="preserve">investment properties mentioned </w:t>
      </w:r>
      <w:proofErr w:type="gramStart"/>
      <w:r w:rsidR="00090E04">
        <w:t>above;</w:t>
      </w:r>
      <w:proofErr w:type="gramEnd"/>
    </w:p>
    <w:p w14:paraId="731166D6" w14:textId="7286BE51" w:rsidR="00FE52C8" w:rsidRDefault="00FE52C8" w:rsidP="00D86A7C">
      <w:pPr>
        <w:pStyle w:val="ParaLevel3"/>
      </w:pPr>
      <w:r>
        <w:t>Irish Property No 2; and</w:t>
      </w:r>
    </w:p>
    <w:p w14:paraId="07B35F46" w14:textId="5C2E89D6" w:rsidR="00FE52C8" w:rsidRDefault="00FE52C8" w:rsidP="00D86A7C">
      <w:pPr>
        <w:pStyle w:val="ParaLevel3"/>
      </w:pPr>
      <w:r>
        <w:t>The Hornsey property.</w:t>
      </w:r>
    </w:p>
    <w:p w14:paraId="3F3C8928" w14:textId="6CBA9C58" w:rsidR="00FE52C8" w:rsidRDefault="004A7688" w:rsidP="00FE52C8">
      <w:pPr>
        <w:pStyle w:val="ParaLevel2"/>
      </w:pPr>
      <w:r>
        <w:t xml:space="preserve">At this time, the </w:t>
      </w:r>
      <w:r w:rsidR="008C5AFB">
        <w:t>husband</w:t>
      </w:r>
      <w:r>
        <w:t xml:space="preserve"> </w:t>
      </w:r>
      <w:r w:rsidR="00FF292F">
        <w:t>states</w:t>
      </w:r>
      <w:r>
        <w:t xml:space="preserve"> that he had savings of c.£55,000, with the remainder of his capital mostly held in Galldris or in the properties purchased</w:t>
      </w:r>
      <w:r w:rsidR="00362D6B">
        <w:t>. He had also acquire</w:t>
      </w:r>
      <w:r w:rsidR="00FE66F3">
        <w:t>d</w:t>
      </w:r>
      <w:r w:rsidR="00362D6B">
        <w:t xml:space="preserve"> </w:t>
      </w:r>
      <w:r>
        <w:t>a 911 Porsche purchased for £12,500 and a collection of classic cars in Ireland</w:t>
      </w:r>
      <w:r w:rsidR="008A0BD8">
        <w:t>.</w:t>
      </w:r>
    </w:p>
    <w:p w14:paraId="61AA1141" w14:textId="39DD5DA7" w:rsidR="002D06DB" w:rsidRDefault="00090E04" w:rsidP="00FE52C8">
      <w:pPr>
        <w:pStyle w:val="ParaLevel2"/>
      </w:pPr>
      <w:r>
        <w:t>As noted above, a</w:t>
      </w:r>
      <w:r w:rsidR="002D06DB">
        <w:t xml:space="preserve">t the time that cohabitation began in July 2005 the </w:t>
      </w:r>
      <w:r w:rsidR="008C5AFB">
        <w:t>wife</w:t>
      </w:r>
      <w:r w:rsidR="002D06DB">
        <w:t xml:space="preserve"> moved into the </w:t>
      </w:r>
      <w:r w:rsidR="008C5AFB">
        <w:t>husband</w:t>
      </w:r>
      <w:r w:rsidR="002D06DB">
        <w:t xml:space="preserve">’s one-bed flat. The </w:t>
      </w:r>
      <w:r w:rsidR="008C5AFB">
        <w:t>wife</w:t>
      </w:r>
      <w:r w:rsidR="002D06DB">
        <w:t xml:space="preserve"> describes Galldris as operating from a portacabin and renting a yard at Mollison Avenue.</w:t>
      </w:r>
      <w:r w:rsidR="00B65C85">
        <w:t xml:space="preserve"> Galldris is said to have moved into “proper offices” around 2006.</w:t>
      </w:r>
    </w:p>
    <w:p w14:paraId="2E68BC79" w14:textId="06E543CE" w:rsidR="00ED5FDB" w:rsidRDefault="004A7688" w:rsidP="00535B64">
      <w:pPr>
        <w:pStyle w:val="ParaLevel2"/>
      </w:pPr>
      <w:r>
        <w:t>In August 20</w:t>
      </w:r>
      <w:r w:rsidR="00A17781">
        <w:t>0</w:t>
      </w:r>
      <w:r>
        <w:t xml:space="preserve">5, the </w:t>
      </w:r>
      <w:r w:rsidR="008C5AFB">
        <w:t>husband</w:t>
      </w:r>
      <w:r>
        <w:t xml:space="preserve"> purchased a property in Southgate, London, for </w:t>
      </w:r>
      <w:r w:rsidR="00535B64">
        <w:t xml:space="preserve">c.£250,000 with a small mortgage, in his sole name. The property was </w:t>
      </w:r>
      <w:r w:rsidR="00967A32">
        <w:t xml:space="preserve">intended </w:t>
      </w:r>
      <w:r w:rsidR="00535B64">
        <w:t xml:space="preserve">for himself and the </w:t>
      </w:r>
      <w:r w:rsidR="008C5AFB">
        <w:t>wife</w:t>
      </w:r>
      <w:r w:rsidR="00535B64">
        <w:t xml:space="preserve"> to live in together. </w:t>
      </w:r>
      <w:r w:rsidR="008A0BD8">
        <w:t>The parties moved into the Southgate property in late September 2005 when refurbishments were completed.</w:t>
      </w:r>
    </w:p>
    <w:p w14:paraId="4AC8B6D3" w14:textId="4E0CD3B4" w:rsidR="008A0BD8" w:rsidRDefault="008A0BD8" w:rsidP="008A0BD8">
      <w:pPr>
        <w:pStyle w:val="ParaLevel2"/>
      </w:pPr>
      <w:r>
        <w:lastRenderedPageBreak/>
        <w:t xml:space="preserve">In September 2005, the </w:t>
      </w:r>
      <w:r w:rsidR="008C5AFB">
        <w:t>wife</w:t>
      </w:r>
      <w:r>
        <w:t xml:space="preserve"> began working as a </w:t>
      </w:r>
      <w:proofErr w:type="gramStart"/>
      <w:r>
        <w:t>full time</w:t>
      </w:r>
      <w:proofErr w:type="gramEnd"/>
      <w:r>
        <w:t xml:space="preserve"> supply teacher.</w:t>
      </w:r>
    </w:p>
    <w:p w14:paraId="71DEB741" w14:textId="2F8C0EF3" w:rsidR="00535B64" w:rsidRDefault="00ED5FDB" w:rsidP="00535B64">
      <w:pPr>
        <w:pStyle w:val="ParaLevel2"/>
      </w:pPr>
      <w:r>
        <w:t xml:space="preserve">The Southgate property </w:t>
      </w:r>
      <w:r w:rsidR="00535B64">
        <w:t>was sold in July 2006, and the proceeds were invested directly into the purchase of Belmont Avenue, purchased in July 2006 for £570,000.</w:t>
      </w:r>
      <w:r w:rsidR="008A0BD8">
        <w:t xml:space="preserve"> The </w:t>
      </w:r>
      <w:r w:rsidR="008C5AFB">
        <w:t>husband</w:t>
      </w:r>
      <w:r w:rsidR="008A0BD8">
        <w:t xml:space="preserve"> describes this as the first matrimonial home.</w:t>
      </w:r>
    </w:p>
    <w:p w14:paraId="6AFCEA85" w14:textId="52631A15" w:rsidR="008A0BD8" w:rsidRDefault="008A0BD8" w:rsidP="00535B64">
      <w:pPr>
        <w:pStyle w:val="ParaLevel2"/>
      </w:pPr>
      <w:r>
        <w:t xml:space="preserve">In July 2006, the </w:t>
      </w:r>
      <w:r w:rsidR="008C5AFB">
        <w:t>wife</w:t>
      </w:r>
      <w:r>
        <w:t xml:space="preserve"> secured a permanent teaching job which she continued until Easter 2010 when the twins were </w:t>
      </w:r>
      <w:proofErr w:type="gramStart"/>
      <w:r>
        <w:t>born</w:t>
      </w:r>
      <w:proofErr w:type="gramEnd"/>
      <w:r>
        <w:t xml:space="preserve"> and she stopped working.</w:t>
      </w:r>
      <w:r w:rsidR="007C0A24">
        <w:t xml:space="preserve"> Since then, the </w:t>
      </w:r>
      <w:r w:rsidR="008C5AFB">
        <w:t>wife</w:t>
      </w:r>
      <w:r w:rsidR="007C0A24">
        <w:t xml:space="preserve"> has worked </w:t>
      </w:r>
      <w:r w:rsidR="00BD3CED">
        <w:t xml:space="preserve">intermittently, most recently as </w:t>
      </w:r>
      <w:r w:rsidR="007C0A24">
        <w:t>a part-time supply teacher from September 2018 to April 2019.</w:t>
      </w:r>
    </w:p>
    <w:p w14:paraId="018F23C2" w14:textId="55C92329" w:rsidR="00A17781" w:rsidRDefault="00535B64" w:rsidP="000D3E7D">
      <w:pPr>
        <w:pStyle w:val="ParaLevel2"/>
      </w:pPr>
      <w:r>
        <w:t xml:space="preserve">By December 2006, </w:t>
      </w:r>
      <w:r w:rsidR="00965C12">
        <w:t xml:space="preserve">the </w:t>
      </w:r>
      <w:r w:rsidR="008C5AFB">
        <w:t>husband</w:t>
      </w:r>
      <w:r w:rsidR="00965C12">
        <w:t xml:space="preserve"> had increased his property portfolio. In addition to the properties</w:t>
      </w:r>
      <w:r w:rsidR="00967A32">
        <w:t xml:space="preserve"> mentioned above</w:t>
      </w:r>
      <w:r w:rsidR="00965C12">
        <w:t xml:space="preserve">, the </w:t>
      </w:r>
      <w:r w:rsidR="008C5AFB">
        <w:t>husband</w:t>
      </w:r>
      <w:r w:rsidR="00965C12">
        <w:t xml:space="preserve"> also owned</w:t>
      </w:r>
      <w:r w:rsidR="000D3E7D">
        <w:t xml:space="preserve"> f</w:t>
      </w:r>
      <w:r w:rsidR="00965C12">
        <w:t>our properties on Hoxton High Street</w:t>
      </w:r>
      <w:r w:rsidR="000D3E7D">
        <w:t>,</w:t>
      </w:r>
      <w:r w:rsidR="009637C2">
        <w:t xml:space="preserve"> and</w:t>
      </w:r>
      <w:r w:rsidR="000D3E7D">
        <w:t xml:space="preserve"> a</w:t>
      </w:r>
      <w:r w:rsidR="00965C12">
        <w:t xml:space="preserve"> 50% share in land at Mollison Avenue Yard</w:t>
      </w:r>
      <w:r w:rsidR="000D3E7D">
        <w:t xml:space="preserve">. </w:t>
      </w:r>
      <w:r w:rsidR="00CC3F26">
        <w:t xml:space="preserve">The </w:t>
      </w:r>
      <w:r w:rsidR="008C5AFB">
        <w:t>husband</w:t>
      </w:r>
      <w:r w:rsidR="00CC3F26">
        <w:t xml:space="preserve"> states that the cost price of the</w:t>
      </w:r>
      <w:r w:rsidR="00362D6B">
        <w:t xml:space="preserve"> </w:t>
      </w:r>
      <w:r w:rsidR="000D3E7D">
        <w:t xml:space="preserve">various </w:t>
      </w:r>
      <w:r w:rsidR="00CC3F26">
        <w:t xml:space="preserve">properties </w:t>
      </w:r>
      <w:r w:rsidR="00CC3F26" w:rsidRPr="005F1AEF">
        <w:t>totalled approximately £2.1m</w:t>
      </w:r>
      <w:r w:rsidR="00967A32">
        <w:t>.</w:t>
      </w:r>
      <w:r w:rsidR="00D35A4F">
        <w:t xml:space="preserve"> T</w:t>
      </w:r>
      <w:r w:rsidR="00A17781">
        <w:t xml:space="preserve">he </w:t>
      </w:r>
      <w:r w:rsidR="008C5AFB">
        <w:t>husband</w:t>
      </w:r>
      <w:r w:rsidR="00FF292F">
        <w:t xml:space="preserve"> states that he </w:t>
      </w:r>
      <w:r w:rsidR="00972FCB">
        <w:t xml:space="preserve">also </w:t>
      </w:r>
      <w:r w:rsidR="00FF292F">
        <w:t>had savings of c.£50,000</w:t>
      </w:r>
      <w:r w:rsidR="00972FCB">
        <w:t>.</w:t>
      </w:r>
    </w:p>
    <w:p w14:paraId="5B3971DD" w14:textId="7C5E92F3" w:rsidR="000461B2" w:rsidRDefault="00967A32" w:rsidP="00AF3C0A">
      <w:pPr>
        <w:pStyle w:val="ParaLevel2"/>
      </w:pPr>
      <w:r>
        <w:t>The combined figures from the accounts for 2007 show that the business had plateaued</w:t>
      </w:r>
      <w:r w:rsidR="00AF3C0A">
        <w:t xml:space="preserve">. Turnover was </w:t>
      </w:r>
      <w:r w:rsidR="00090E04">
        <w:t>£</w:t>
      </w:r>
      <w:r w:rsidR="00AF3C0A">
        <w:t xml:space="preserve">5.8 million and pre-tax profit was £327,000. These were very similar figures to 2005. </w:t>
      </w:r>
    </w:p>
    <w:p w14:paraId="07CAD08E" w14:textId="6CD537A1" w:rsidR="00322308" w:rsidRDefault="00AF3C0A" w:rsidP="000461B2">
      <w:pPr>
        <w:pStyle w:val="ParaLevel2"/>
      </w:pPr>
      <w:r>
        <w:t xml:space="preserve">However, </w:t>
      </w:r>
      <w:r w:rsidR="000D3E7D">
        <w:t xml:space="preserve">thereafter </w:t>
      </w:r>
      <w:r w:rsidR="00A10F1F">
        <w:t xml:space="preserve">Galldris grew significantly. Notably, Galldris moved into its present office in 2008, and 3G Tunnelling Services Ltd was incorporated on 21 October 2011. The accounts for the </w:t>
      </w:r>
      <w:r w:rsidR="009E31E3">
        <w:t>five</w:t>
      </w:r>
      <w:r w:rsidR="00A10F1F">
        <w:t xml:space="preserve"> most recent financial years ending 31 March </w:t>
      </w:r>
      <w:r>
        <w:t>show</w:t>
      </w:r>
      <w:r w:rsidR="00A10F1F">
        <w:t>:</w:t>
      </w:r>
    </w:p>
    <w:tbl>
      <w:tblPr>
        <w:tblW w:w="10150" w:type="dxa"/>
        <w:tblInd w:w="-572" w:type="dxa"/>
        <w:tblLook w:val="04A0" w:firstRow="1" w:lastRow="0" w:firstColumn="1" w:lastColumn="0" w:noHBand="0" w:noVBand="1"/>
      </w:tblPr>
      <w:tblGrid>
        <w:gridCol w:w="2760"/>
        <w:gridCol w:w="1380"/>
        <w:gridCol w:w="1673"/>
        <w:gridCol w:w="1417"/>
        <w:gridCol w:w="1440"/>
        <w:gridCol w:w="1480"/>
      </w:tblGrid>
      <w:tr w:rsidR="00322308" w14:paraId="46E110D0" w14:textId="77777777" w:rsidTr="000461B2">
        <w:trPr>
          <w:trHeight w:val="309"/>
        </w:trPr>
        <w:tc>
          <w:tcPr>
            <w:tcW w:w="2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DA09F" w14:textId="77777777" w:rsidR="00322308" w:rsidRDefault="00322308">
            <w:pPr>
              <w:jc w:val="both"/>
              <w:rPr>
                <w:color w:val="000000"/>
                <w:lang w:eastAsia="en-GB"/>
              </w:rPr>
            </w:pPr>
            <w:r>
              <w:rPr>
                <w:color w:val="000000"/>
              </w:rPr>
              <w:t>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2C97BC98" w14:textId="77777777" w:rsidR="00322308" w:rsidRDefault="00322308">
            <w:pPr>
              <w:jc w:val="center"/>
              <w:rPr>
                <w:b/>
                <w:bCs/>
                <w:color w:val="000000"/>
              </w:rPr>
            </w:pPr>
            <w:r>
              <w:rPr>
                <w:b/>
                <w:bCs/>
                <w:color w:val="000000"/>
              </w:rPr>
              <w:t>2018</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14:paraId="542ADBF9" w14:textId="77777777" w:rsidR="00322308" w:rsidRDefault="00322308">
            <w:pPr>
              <w:jc w:val="center"/>
              <w:rPr>
                <w:b/>
                <w:bCs/>
                <w:color w:val="000000"/>
              </w:rPr>
            </w:pPr>
            <w:r>
              <w:rPr>
                <w:b/>
                <w:bCs/>
                <w:color w:val="000000"/>
              </w:rPr>
              <w:t>2019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B45C79C" w14:textId="77777777" w:rsidR="00322308" w:rsidRDefault="00322308">
            <w:pPr>
              <w:jc w:val="center"/>
              <w:rPr>
                <w:b/>
                <w:bCs/>
                <w:color w:val="000000"/>
              </w:rPr>
            </w:pPr>
            <w:r>
              <w:rPr>
                <w:b/>
                <w:bCs/>
                <w:color w:val="000000"/>
              </w:rPr>
              <w:t>2020</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F077195" w14:textId="77777777" w:rsidR="00322308" w:rsidRDefault="00322308">
            <w:pPr>
              <w:jc w:val="center"/>
              <w:rPr>
                <w:b/>
                <w:bCs/>
                <w:color w:val="000000"/>
              </w:rPr>
            </w:pPr>
            <w:r>
              <w:rPr>
                <w:b/>
                <w:bCs/>
                <w:color w:val="000000"/>
              </w:rPr>
              <w:t>2021</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2B9D26AA" w14:textId="77777777" w:rsidR="00322308" w:rsidRDefault="00322308">
            <w:pPr>
              <w:jc w:val="center"/>
              <w:rPr>
                <w:b/>
                <w:bCs/>
                <w:color w:val="000000"/>
              </w:rPr>
            </w:pPr>
            <w:r>
              <w:rPr>
                <w:b/>
                <w:bCs/>
                <w:color w:val="000000"/>
              </w:rPr>
              <w:t>2022</w:t>
            </w:r>
          </w:p>
        </w:tc>
      </w:tr>
      <w:tr w:rsidR="00322308" w14:paraId="438ED72E" w14:textId="77777777" w:rsidTr="000461B2">
        <w:trPr>
          <w:trHeight w:val="309"/>
        </w:trPr>
        <w:tc>
          <w:tcPr>
            <w:tcW w:w="2760" w:type="dxa"/>
            <w:tcBorders>
              <w:top w:val="nil"/>
              <w:left w:val="single" w:sz="4" w:space="0" w:color="auto"/>
              <w:bottom w:val="nil"/>
              <w:right w:val="single" w:sz="4" w:space="0" w:color="auto"/>
            </w:tcBorders>
            <w:shd w:val="clear" w:color="auto" w:fill="auto"/>
            <w:vAlign w:val="center"/>
            <w:hideMark/>
          </w:tcPr>
          <w:p w14:paraId="434ED939" w14:textId="77777777" w:rsidR="00322308" w:rsidRDefault="00322308">
            <w:pPr>
              <w:jc w:val="both"/>
              <w:rPr>
                <w:color w:val="000000"/>
              </w:rPr>
            </w:pPr>
            <w:r>
              <w:rPr>
                <w:color w:val="000000"/>
              </w:rPr>
              <w:t>Turnover</w:t>
            </w:r>
          </w:p>
        </w:tc>
        <w:tc>
          <w:tcPr>
            <w:tcW w:w="1380" w:type="dxa"/>
            <w:tcBorders>
              <w:top w:val="nil"/>
              <w:left w:val="nil"/>
              <w:bottom w:val="nil"/>
              <w:right w:val="single" w:sz="4" w:space="0" w:color="auto"/>
            </w:tcBorders>
            <w:shd w:val="clear" w:color="auto" w:fill="auto"/>
            <w:noWrap/>
            <w:vAlign w:val="bottom"/>
            <w:hideMark/>
          </w:tcPr>
          <w:p w14:paraId="42F03B7F" w14:textId="77777777" w:rsidR="00322308" w:rsidRDefault="00322308">
            <w:pPr>
              <w:jc w:val="right"/>
            </w:pPr>
            <w:r>
              <w:t xml:space="preserve">73,757,529 </w:t>
            </w:r>
          </w:p>
        </w:tc>
        <w:tc>
          <w:tcPr>
            <w:tcW w:w="1673" w:type="dxa"/>
            <w:tcBorders>
              <w:top w:val="nil"/>
              <w:left w:val="nil"/>
              <w:bottom w:val="nil"/>
              <w:right w:val="single" w:sz="4" w:space="0" w:color="auto"/>
            </w:tcBorders>
            <w:shd w:val="clear" w:color="auto" w:fill="auto"/>
            <w:noWrap/>
            <w:vAlign w:val="bottom"/>
            <w:hideMark/>
          </w:tcPr>
          <w:p w14:paraId="15273E2C" w14:textId="77777777" w:rsidR="00322308" w:rsidRDefault="00322308">
            <w:pPr>
              <w:jc w:val="right"/>
            </w:pPr>
            <w:r>
              <w:t xml:space="preserve">80,905,854 </w:t>
            </w:r>
          </w:p>
        </w:tc>
        <w:tc>
          <w:tcPr>
            <w:tcW w:w="1417" w:type="dxa"/>
            <w:tcBorders>
              <w:top w:val="nil"/>
              <w:left w:val="nil"/>
              <w:bottom w:val="nil"/>
              <w:right w:val="single" w:sz="4" w:space="0" w:color="auto"/>
            </w:tcBorders>
            <w:shd w:val="clear" w:color="auto" w:fill="auto"/>
            <w:noWrap/>
            <w:vAlign w:val="bottom"/>
            <w:hideMark/>
          </w:tcPr>
          <w:p w14:paraId="1D88D8F5" w14:textId="77777777" w:rsidR="00322308" w:rsidRDefault="00322308">
            <w:pPr>
              <w:jc w:val="right"/>
            </w:pPr>
            <w:r>
              <w:t xml:space="preserve">68,927,385 </w:t>
            </w:r>
          </w:p>
        </w:tc>
        <w:tc>
          <w:tcPr>
            <w:tcW w:w="1440" w:type="dxa"/>
            <w:tcBorders>
              <w:top w:val="nil"/>
              <w:left w:val="nil"/>
              <w:bottom w:val="nil"/>
              <w:right w:val="single" w:sz="4" w:space="0" w:color="auto"/>
            </w:tcBorders>
            <w:shd w:val="clear" w:color="auto" w:fill="auto"/>
            <w:noWrap/>
            <w:vAlign w:val="bottom"/>
            <w:hideMark/>
          </w:tcPr>
          <w:p w14:paraId="25F7E09C" w14:textId="77777777" w:rsidR="00322308" w:rsidRDefault="00322308">
            <w:pPr>
              <w:jc w:val="right"/>
            </w:pPr>
            <w:r>
              <w:t xml:space="preserve">70,613,084 </w:t>
            </w:r>
          </w:p>
        </w:tc>
        <w:tc>
          <w:tcPr>
            <w:tcW w:w="1480" w:type="dxa"/>
            <w:tcBorders>
              <w:top w:val="nil"/>
              <w:left w:val="nil"/>
              <w:bottom w:val="nil"/>
              <w:right w:val="single" w:sz="4" w:space="0" w:color="auto"/>
            </w:tcBorders>
            <w:shd w:val="clear" w:color="auto" w:fill="auto"/>
            <w:noWrap/>
            <w:vAlign w:val="bottom"/>
            <w:hideMark/>
          </w:tcPr>
          <w:p w14:paraId="31707D97" w14:textId="77777777" w:rsidR="00322308" w:rsidRDefault="00322308">
            <w:pPr>
              <w:jc w:val="right"/>
            </w:pPr>
            <w:r>
              <w:t xml:space="preserve">107,008,718 </w:t>
            </w:r>
          </w:p>
        </w:tc>
      </w:tr>
      <w:tr w:rsidR="00322308" w14:paraId="60B5DAB8" w14:textId="77777777" w:rsidTr="000461B2">
        <w:trPr>
          <w:trHeight w:val="309"/>
        </w:trPr>
        <w:tc>
          <w:tcPr>
            <w:tcW w:w="2760" w:type="dxa"/>
            <w:tcBorders>
              <w:top w:val="nil"/>
              <w:left w:val="single" w:sz="4" w:space="0" w:color="auto"/>
              <w:bottom w:val="nil"/>
              <w:right w:val="single" w:sz="4" w:space="0" w:color="auto"/>
            </w:tcBorders>
            <w:shd w:val="clear" w:color="auto" w:fill="auto"/>
            <w:vAlign w:val="center"/>
            <w:hideMark/>
          </w:tcPr>
          <w:p w14:paraId="59E1EAEF" w14:textId="77777777" w:rsidR="00322308" w:rsidRDefault="00322308">
            <w:pPr>
              <w:jc w:val="both"/>
              <w:rPr>
                <w:color w:val="000000"/>
              </w:rPr>
            </w:pPr>
            <w:r>
              <w:rPr>
                <w:color w:val="000000"/>
              </w:rPr>
              <w:t>Gross Profit</w:t>
            </w:r>
          </w:p>
        </w:tc>
        <w:tc>
          <w:tcPr>
            <w:tcW w:w="1380" w:type="dxa"/>
            <w:tcBorders>
              <w:top w:val="nil"/>
              <w:left w:val="nil"/>
              <w:bottom w:val="nil"/>
              <w:right w:val="single" w:sz="4" w:space="0" w:color="auto"/>
            </w:tcBorders>
            <w:shd w:val="clear" w:color="auto" w:fill="auto"/>
            <w:noWrap/>
            <w:vAlign w:val="bottom"/>
            <w:hideMark/>
          </w:tcPr>
          <w:p w14:paraId="4AFEA9E4" w14:textId="77777777" w:rsidR="00322308" w:rsidRDefault="00322308">
            <w:pPr>
              <w:jc w:val="right"/>
            </w:pPr>
            <w:r>
              <w:t xml:space="preserve">17,024,387 </w:t>
            </w:r>
          </w:p>
        </w:tc>
        <w:tc>
          <w:tcPr>
            <w:tcW w:w="1673" w:type="dxa"/>
            <w:tcBorders>
              <w:top w:val="nil"/>
              <w:left w:val="nil"/>
              <w:bottom w:val="nil"/>
              <w:right w:val="single" w:sz="4" w:space="0" w:color="auto"/>
            </w:tcBorders>
            <w:shd w:val="clear" w:color="auto" w:fill="auto"/>
            <w:noWrap/>
            <w:vAlign w:val="bottom"/>
            <w:hideMark/>
          </w:tcPr>
          <w:p w14:paraId="26C86C37" w14:textId="77777777" w:rsidR="00322308" w:rsidRDefault="00322308">
            <w:pPr>
              <w:jc w:val="right"/>
            </w:pPr>
            <w:r>
              <w:t xml:space="preserve">17,115,127 </w:t>
            </w:r>
          </w:p>
        </w:tc>
        <w:tc>
          <w:tcPr>
            <w:tcW w:w="1417" w:type="dxa"/>
            <w:tcBorders>
              <w:top w:val="nil"/>
              <w:left w:val="nil"/>
              <w:bottom w:val="nil"/>
              <w:right w:val="single" w:sz="4" w:space="0" w:color="auto"/>
            </w:tcBorders>
            <w:shd w:val="clear" w:color="auto" w:fill="auto"/>
            <w:noWrap/>
            <w:vAlign w:val="bottom"/>
            <w:hideMark/>
          </w:tcPr>
          <w:p w14:paraId="71EC5265" w14:textId="77777777" w:rsidR="00322308" w:rsidRDefault="00322308">
            <w:pPr>
              <w:jc w:val="right"/>
            </w:pPr>
            <w:r>
              <w:t xml:space="preserve">13,817,059 </w:t>
            </w:r>
          </w:p>
        </w:tc>
        <w:tc>
          <w:tcPr>
            <w:tcW w:w="1440" w:type="dxa"/>
            <w:tcBorders>
              <w:top w:val="nil"/>
              <w:left w:val="nil"/>
              <w:bottom w:val="nil"/>
              <w:right w:val="single" w:sz="4" w:space="0" w:color="auto"/>
            </w:tcBorders>
            <w:shd w:val="clear" w:color="auto" w:fill="auto"/>
            <w:noWrap/>
            <w:vAlign w:val="bottom"/>
            <w:hideMark/>
          </w:tcPr>
          <w:p w14:paraId="1221D36C" w14:textId="77777777" w:rsidR="00322308" w:rsidRDefault="00322308">
            <w:pPr>
              <w:jc w:val="right"/>
            </w:pPr>
            <w:r>
              <w:t xml:space="preserve">9,159,192 </w:t>
            </w:r>
          </w:p>
        </w:tc>
        <w:tc>
          <w:tcPr>
            <w:tcW w:w="1480" w:type="dxa"/>
            <w:tcBorders>
              <w:top w:val="nil"/>
              <w:left w:val="nil"/>
              <w:bottom w:val="nil"/>
              <w:right w:val="single" w:sz="4" w:space="0" w:color="auto"/>
            </w:tcBorders>
            <w:shd w:val="clear" w:color="auto" w:fill="auto"/>
            <w:noWrap/>
            <w:vAlign w:val="bottom"/>
            <w:hideMark/>
          </w:tcPr>
          <w:p w14:paraId="36B88AE9" w14:textId="77777777" w:rsidR="00322308" w:rsidRDefault="00322308">
            <w:pPr>
              <w:jc w:val="right"/>
            </w:pPr>
            <w:r>
              <w:t xml:space="preserve">10,381,395 </w:t>
            </w:r>
          </w:p>
        </w:tc>
      </w:tr>
      <w:tr w:rsidR="00322308" w14:paraId="7C5F4CA6" w14:textId="77777777" w:rsidTr="000461B2">
        <w:trPr>
          <w:trHeight w:val="309"/>
        </w:trPr>
        <w:tc>
          <w:tcPr>
            <w:tcW w:w="2760" w:type="dxa"/>
            <w:tcBorders>
              <w:top w:val="nil"/>
              <w:left w:val="single" w:sz="4" w:space="0" w:color="auto"/>
              <w:bottom w:val="nil"/>
              <w:right w:val="single" w:sz="4" w:space="0" w:color="auto"/>
            </w:tcBorders>
            <w:shd w:val="clear" w:color="auto" w:fill="auto"/>
            <w:vAlign w:val="center"/>
            <w:hideMark/>
          </w:tcPr>
          <w:p w14:paraId="3B94A906" w14:textId="77777777" w:rsidR="00322308" w:rsidRDefault="00322308">
            <w:pPr>
              <w:jc w:val="both"/>
              <w:rPr>
                <w:color w:val="000000"/>
              </w:rPr>
            </w:pPr>
            <w:r>
              <w:rPr>
                <w:color w:val="000000"/>
              </w:rPr>
              <w:t>Operating Profit</w:t>
            </w:r>
          </w:p>
        </w:tc>
        <w:tc>
          <w:tcPr>
            <w:tcW w:w="1380" w:type="dxa"/>
            <w:tcBorders>
              <w:top w:val="nil"/>
              <w:left w:val="nil"/>
              <w:bottom w:val="nil"/>
              <w:right w:val="single" w:sz="4" w:space="0" w:color="auto"/>
            </w:tcBorders>
            <w:shd w:val="clear" w:color="auto" w:fill="auto"/>
            <w:noWrap/>
            <w:vAlign w:val="bottom"/>
            <w:hideMark/>
          </w:tcPr>
          <w:p w14:paraId="51251F66" w14:textId="77777777" w:rsidR="00322308" w:rsidRDefault="00322308">
            <w:pPr>
              <w:jc w:val="right"/>
            </w:pPr>
            <w:r>
              <w:t xml:space="preserve">3,826,621 </w:t>
            </w:r>
          </w:p>
        </w:tc>
        <w:tc>
          <w:tcPr>
            <w:tcW w:w="1673" w:type="dxa"/>
            <w:tcBorders>
              <w:top w:val="nil"/>
              <w:left w:val="nil"/>
              <w:bottom w:val="nil"/>
              <w:right w:val="single" w:sz="4" w:space="0" w:color="auto"/>
            </w:tcBorders>
            <w:shd w:val="clear" w:color="auto" w:fill="auto"/>
            <w:noWrap/>
            <w:vAlign w:val="bottom"/>
            <w:hideMark/>
          </w:tcPr>
          <w:p w14:paraId="18326C31" w14:textId="77777777" w:rsidR="00322308" w:rsidRDefault="00322308">
            <w:pPr>
              <w:jc w:val="right"/>
            </w:pPr>
            <w:r>
              <w:t xml:space="preserve">3,275,890 </w:t>
            </w:r>
          </w:p>
        </w:tc>
        <w:tc>
          <w:tcPr>
            <w:tcW w:w="1417" w:type="dxa"/>
            <w:tcBorders>
              <w:top w:val="nil"/>
              <w:left w:val="nil"/>
              <w:bottom w:val="nil"/>
              <w:right w:val="single" w:sz="4" w:space="0" w:color="auto"/>
            </w:tcBorders>
            <w:shd w:val="clear" w:color="auto" w:fill="auto"/>
            <w:noWrap/>
            <w:vAlign w:val="bottom"/>
            <w:hideMark/>
          </w:tcPr>
          <w:p w14:paraId="616D4900" w14:textId="77777777" w:rsidR="00322308" w:rsidRDefault="00322308">
            <w:pPr>
              <w:jc w:val="right"/>
            </w:pPr>
            <w:r>
              <w:t xml:space="preserve">3,489,144 </w:t>
            </w:r>
          </w:p>
        </w:tc>
        <w:tc>
          <w:tcPr>
            <w:tcW w:w="1440" w:type="dxa"/>
            <w:tcBorders>
              <w:top w:val="nil"/>
              <w:left w:val="nil"/>
              <w:bottom w:val="nil"/>
              <w:right w:val="single" w:sz="4" w:space="0" w:color="auto"/>
            </w:tcBorders>
            <w:shd w:val="clear" w:color="auto" w:fill="auto"/>
            <w:noWrap/>
            <w:vAlign w:val="bottom"/>
            <w:hideMark/>
          </w:tcPr>
          <w:p w14:paraId="38965D7E" w14:textId="77777777" w:rsidR="00322308" w:rsidRDefault="00322308">
            <w:pPr>
              <w:jc w:val="right"/>
            </w:pPr>
            <w:r>
              <w:t xml:space="preserve">333,281 </w:t>
            </w:r>
          </w:p>
        </w:tc>
        <w:tc>
          <w:tcPr>
            <w:tcW w:w="1480" w:type="dxa"/>
            <w:tcBorders>
              <w:top w:val="nil"/>
              <w:left w:val="nil"/>
              <w:bottom w:val="nil"/>
              <w:right w:val="single" w:sz="4" w:space="0" w:color="auto"/>
            </w:tcBorders>
            <w:shd w:val="clear" w:color="auto" w:fill="auto"/>
            <w:noWrap/>
            <w:vAlign w:val="bottom"/>
            <w:hideMark/>
          </w:tcPr>
          <w:p w14:paraId="7B8D721A" w14:textId="77777777" w:rsidR="00322308" w:rsidRDefault="00322308">
            <w:pPr>
              <w:jc w:val="right"/>
            </w:pPr>
            <w:r>
              <w:t xml:space="preserve">650,608 </w:t>
            </w:r>
          </w:p>
        </w:tc>
      </w:tr>
      <w:tr w:rsidR="00322308" w14:paraId="6FFEC587" w14:textId="77777777" w:rsidTr="000461B2">
        <w:trPr>
          <w:trHeight w:val="309"/>
        </w:trPr>
        <w:tc>
          <w:tcPr>
            <w:tcW w:w="2760" w:type="dxa"/>
            <w:tcBorders>
              <w:top w:val="nil"/>
              <w:left w:val="single" w:sz="4" w:space="0" w:color="auto"/>
              <w:bottom w:val="nil"/>
              <w:right w:val="single" w:sz="4" w:space="0" w:color="auto"/>
            </w:tcBorders>
            <w:shd w:val="clear" w:color="auto" w:fill="auto"/>
            <w:vAlign w:val="center"/>
            <w:hideMark/>
          </w:tcPr>
          <w:p w14:paraId="6F0C6A39" w14:textId="77777777" w:rsidR="00322308" w:rsidRDefault="00322308">
            <w:pPr>
              <w:jc w:val="both"/>
              <w:rPr>
                <w:color w:val="000000"/>
              </w:rPr>
            </w:pPr>
            <w:r>
              <w:rPr>
                <w:color w:val="000000"/>
              </w:rPr>
              <w:t>Profit before Tax</w:t>
            </w:r>
          </w:p>
        </w:tc>
        <w:tc>
          <w:tcPr>
            <w:tcW w:w="1380" w:type="dxa"/>
            <w:tcBorders>
              <w:top w:val="nil"/>
              <w:left w:val="nil"/>
              <w:bottom w:val="nil"/>
              <w:right w:val="single" w:sz="4" w:space="0" w:color="auto"/>
            </w:tcBorders>
            <w:shd w:val="clear" w:color="auto" w:fill="auto"/>
            <w:noWrap/>
            <w:vAlign w:val="bottom"/>
            <w:hideMark/>
          </w:tcPr>
          <w:p w14:paraId="4A53F887" w14:textId="77777777" w:rsidR="00322308" w:rsidRDefault="00322308">
            <w:pPr>
              <w:jc w:val="right"/>
            </w:pPr>
            <w:r>
              <w:t xml:space="preserve">4,965,551 </w:t>
            </w:r>
          </w:p>
        </w:tc>
        <w:tc>
          <w:tcPr>
            <w:tcW w:w="1673" w:type="dxa"/>
            <w:tcBorders>
              <w:top w:val="nil"/>
              <w:left w:val="nil"/>
              <w:bottom w:val="nil"/>
              <w:right w:val="single" w:sz="4" w:space="0" w:color="auto"/>
            </w:tcBorders>
            <w:shd w:val="clear" w:color="auto" w:fill="auto"/>
            <w:noWrap/>
            <w:vAlign w:val="bottom"/>
            <w:hideMark/>
          </w:tcPr>
          <w:p w14:paraId="12723B92" w14:textId="77777777" w:rsidR="00322308" w:rsidRDefault="00322308">
            <w:pPr>
              <w:jc w:val="right"/>
            </w:pPr>
            <w:r>
              <w:t xml:space="preserve">3,361,220 </w:t>
            </w:r>
          </w:p>
        </w:tc>
        <w:tc>
          <w:tcPr>
            <w:tcW w:w="1417" w:type="dxa"/>
            <w:tcBorders>
              <w:top w:val="nil"/>
              <w:left w:val="nil"/>
              <w:bottom w:val="nil"/>
              <w:right w:val="single" w:sz="4" w:space="0" w:color="auto"/>
            </w:tcBorders>
            <w:shd w:val="clear" w:color="auto" w:fill="auto"/>
            <w:noWrap/>
            <w:vAlign w:val="bottom"/>
            <w:hideMark/>
          </w:tcPr>
          <w:p w14:paraId="4364126D" w14:textId="77777777" w:rsidR="00322308" w:rsidRDefault="00322308">
            <w:pPr>
              <w:jc w:val="right"/>
            </w:pPr>
            <w:r>
              <w:t xml:space="preserve">3,537,017 </w:t>
            </w:r>
          </w:p>
        </w:tc>
        <w:tc>
          <w:tcPr>
            <w:tcW w:w="1440" w:type="dxa"/>
            <w:tcBorders>
              <w:top w:val="nil"/>
              <w:left w:val="nil"/>
              <w:bottom w:val="nil"/>
              <w:right w:val="single" w:sz="4" w:space="0" w:color="auto"/>
            </w:tcBorders>
            <w:shd w:val="clear" w:color="auto" w:fill="auto"/>
            <w:noWrap/>
            <w:vAlign w:val="bottom"/>
            <w:hideMark/>
          </w:tcPr>
          <w:p w14:paraId="7123B6E3" w14:textId="77777777" w:rsidR="00322308" w:rsidRDefault="00322308">
            <w:pPr>
              <w:jc w:val="right"/>
            </w:pPr>
            <w:r>
              <w:t xml:space="preserve">293,582 </w:t>
            </w:r>
          </w:p>
        </w:tc>
        <w:tc>
          <w:tcPr>
            <w:tcW w:w="1480" w:type="dxa"/>
            <w:tcBorders>
              <w:top w:val="nil"/>
              <w:left w:val="nil"/>
              <w:bottom w:val="nil"/>
              <w:right w:val="single" w:sz="4" w:space="0" w:color="auto"/>
            </w:tcBorders>
            <w:shd w:val="clear" w:color="auto" w:fill="auto"/>
            <w:noWrap/>
            <w:vAlign w:val="bottom"/>
            <w:hideMark/>
          </w:tcPr>
          <w:p w14:paraId="022C13C3" w14:textId="77777777" w:rsidR="00322308" w:rsidRDefault="00322308">
            <w:pPr>
              <w:jc w:val="right"/>
            </w:pPr>
            <w:r>
              <w:t xml:space="preserve">591,095 </w:t>
            </w:r>
          </w:p>
        </w:tc>
      </w:tr>
      <w:tr w:rsidR="00322308" w14:paraId="7651B761" w14:textId="77777777" w:rsidTr="000461B2">
        <w:trPr>
          <w:trHeight w:val="309"/>
        </w:trPr>
        <w:tc>
          <w:tcPr>
            <w:tcW w:w="2760" w:type="dxa"/>
            <w:tcBorders>
              <w:top w:val="nil"/>
              <w:left w:val="single" w:sz="4" w:space="0" w:color="auto"/>
              <w:bottom w:val="single" w:sz="4" w:space="0" w:color="auto"/>
              <w:right w:val="single" w:sz="4" w:space="0" w:color="auto"/>
            </w:tcBorders>
            <w:shd w:val="clear" w:color="auto" w:fill="auto"/>
            <w:vAlign w:val="center"/>
            <w:hideMark/>
          </w:tcPr>
          <w:p w14:paraId="1BECB3E6" w14:textId="77777777" w:rsidR="00322308" w:rsidRDefault="00322308">
            <w:pPr>
              <w:jc w:val="both"/>
              <w:rPr>
                <w:color w:val="000000"/>
              </w:rPr>
            </w:pPr>
            <w:r>
              <w:rPr>
                <w:color w:val="000000"/>
              </w:rPr>
              <w:t>Adjusted Profit before Tax</w:t>
            </w:r>
          </w:p>
        </w:tc>
        <w:tc>
          <w:tcPr>
            <w:tcW w:w="1380" w:type="dxa"/>
            <w:tcBorders>
              <w:top w:val="nil"/>
              <w:left w:val="nil"/>
              <w:bottom w:val="single" w:sz="4" w:space="0" w:color="auto"/>
              <w:right w:val="single" w:sz="4" w:space="0" w:color="auto"/>
            </w:tcBorders>
            <w:shd w:val="clear" w:color="auto" w:fill="auto"/>
            <w:noWrap/>
            <w:vAlign w:val="bottom"/>
            <w:hideMark/>
          </w:tcPr>
          <w:p w14:paraId="62BE3FAA" w14:textId="77777777" w:rsidR="00322308" w:rsidRDefault="00322308">
            <w:pPr>
              <w:jc w:val="right"/>
            </w:pPr>
            <w:r>
              <w:t xml:space="preserve">12,328,753 </w:t>
            </w:r>
          </w:p>
        </w:tc>
        <w:tc>
          <w:tcPr>
            <w:tcW w:w="1673" w:type="dxa"/>
            <w:tcBorders>
              <w:top w:val="nil"/>
              <w:left w:val="nil"/>
              <w:bottom w:val="single" w:sz="4" w:space="0" w:color="auto"/>
              <w:right w:val="single" w:sz="4" w:space="0" w:color="auto"/>
            </w:tcBorders>
            <w:shd w:val="clear" w:color="auto" w:fill="auto"/>
            <w:noWrap/>
            <w:vAlign w:val="bottom"/>
            <w:hideMark/>
          </w:tcPr>
          <w:p w14:paraId="379D570B" w14:textId="77777777" w:rsidR="00322308" w:rsidRDefault="00322308">
            <w:pPr>
              <w:jc w:val="right"/>
            </w:pPr>
            <w:r>
              <w:t xml:space="preserve">12,319,324 </w:t>
            </w:r>
          </w:p>
        </w:tc>
        <w:tc>
          <w:tcPr>
            <w:tcW w:w="1417" w:type="dxa"/>
            <w:tcBorders>
              <w:top w:val="nil"/>
              <w:left w:val="nil"/>
              <w:bottom w:val="single" w:sz="4" w:space="0" w:color="auto"/>
              <w:right w:val="single" w:sz="4" w:space="0" w:color="auto"/>
            </w:tcBorders>
            <w:shd w:val="clear" w:color="auto" w:fill="auto"/>
            <w:noWrap/>
            <w:vAlign w:val="bottom"/>
            <w:hideMark/>
          </w:tcPr>
          <w:p w14:paraId="2A210542" w14:textId="77777777" w:rsidR="00322308" w:rsidRDefault="00322308">
            <w:pPr>
              <w:jc w:val="right"/>
            </w:pPr>
            <w:r>
              <w:t xml:space="preserve">8,116,482 </w:t>
            </w:r>
          </w:p>
        </w:tc>
        <w:tc>
          <w:tcPr>
            <w:tcW w:w="1440" w:type="dxa"/>
            <w:tcBorders>
              <w:top w:val="nil"/>
              <w:left w:val="nil"/>
              <w:bottom w:val="single" w:sz="4" w:space="0" w:color="auto"/>
              <w:right w:val="single" w:sz="4" w:space="0" w:color="auto"/>
            </w:tcBorders>
            <w:shd w:val="clear" w:color="auto" w:fill="auto"/>
            <w:noWrap/>
            <w:vAlign w:val="bottom"/>
            <w:hideMark/>
          </w:tcPr>
          <w:p w14:paraId="4FD37AA9" w14:textId="77777777" w:rsidR="00322308" w:rsidRDefault="00322308">
            <w:pPr>
              <w:jc w:val="right"/>
            </w:pPr>
            <w:r>
              <w:t xml:space="preserve">3,019,677 </w:t>
            </w:r>
          </w:p>
        </w:tc>
        <w:tc>
          <w:tcPr>
            <w:tcW w:w="1480" w:type="dxa"/>
            <w:tcBorders>
              <w:top w:val="nil"/>
              <w:left w:val="nil"/>
              <w:bottom w:val="single" w:sz="4" w:space="0" w:color="auto"/>
              <w:right w:val="single" w:sz="4" w:space="0" w:color="auto"/>
            </w:tcBorders>
            <w:shd w:val="clear" w:color="auto" w:fill="auto"/>
            <w:noWrap/>
            <w:vAlign w:val="bottom"/>
            <w:hideMark/>
          </w:tcPr>
          <w:p w14:paraId="7F157C62" w14:textId="77777777" w:rsidR="00322308" w:rsidRDefault="00322308">
            <w:pPr>
              <w:jc w:val="right"/>
            </w:pPr>
            <w:r>
              <w:t xml:space="preserve">1,947,389 </w:t>
            </w:r>
          </w:p>
        </w:tc>
      </w:tr>
    </w:tbl>
    <w:p w14:paraId="7FD39DDF" w14:textId="2F7DC85A" w:rsidR="00825219" w:rsidRDefault="00825219" w:rsidP="00CC3F26">
      <w:pPr>
        <w:pStyle w:val="ParaLevel2"/>
      </w:pPr>
      <w:r>
        <w:t xml:space="preserve">In 2013, Irish property No 1 was purchased by </w:t>
      </w:r>
      <w:r w:rsidR="00613285">
        <w:t xml:space="preserve">the husband </w:t>
      </w:r>
      <w:r>
        <w:t xml:space="preserve">in his sole name though it was later transferred into joint names. </w:t>
      </w:r>
      <w:r w:rsidRPr="008B23F0">
        <w:t xml:space="preserve">Extensive building works were completed in 2016, though the parties disagree as to how much involvement </w:t>
      </w:r>
      <w:r w:rsidR="00613285">
        <w:t xml:space="preserve">the wife </w:t>
      </w:r>
      <w:r w:rsidRPr="008B23F0">
        <w:t>had in such works.</w:t>
      </w:r>
    </w:p>
    <w:p w14:paraId="2E4AE2CE" w14:textId="507DC224" w:rsidR="00091CB9" w:rsidRDefault="003D4F05" w:rsidP="000461B2">
      <w:pPr>
        <w:pStyle w:val="ParaLevel2"/>
      </w:pPr>
      <w:r>
        <w:t xml:space="preserve">The </w:t>
      </w:r>
      <w:r w:rsidR="008C5AFB">
        <w:t>husband</w:t>
      </w:r>
      <w:r>
        <w:t xml:space="preserve"> purchased the </w:t>
      </w:r>
      <w:r w:rsidR="00613285">
        <w:t>final</w:t>
      </w:r>
      <w:r>
        <w:t xml:space="preserve"> matrimonial home in January 2015, and </w:t>
      </w:r>
      <w:r w:rsidR="00613285">
        <w:t xml:space="preserve">the </w:t>
      </w:r>
      <w:r>
        <w:t xml:space="preserve">parties moved into </w:t>
      </w:r>
      <w:r w:rsidR="00613285">
        <w:t xml:space="preserve">it </w:t>
      </w:r>
      <w:r>
        <w:t>in January 2016</w:t>
      </w:r>
      <w:r w:rsidR="009637C2">
        <w:t>.</w:t>
      </w:r>
    </w:p>
    <w:p w14:paraId="52DCB5B0" w14:textId="25E2ADFB" w:rsidR="003E71FF" w:rsidRPr="003E71FF" w:rsidRDefault="003E71FF" w:rsidP="003E71FF">
      <w:pPr>
        <w:pStyle w:val="ParaLevel1"/>
        <w:numPr>
          <w:ilvl w:val="0"/>
          <w:numId w:val="0"/>
        </w:numPr>
        <w:ind w:left="720" w:hanging="720"/>
        <w:rPr>
          <w:i/>
          <w:iCs/>
        </w:rPr>
      </w:pPr>
      <w:r>
        <w:rPr>
          <w:i/>
          <w:iCs/>
        </w:rPr>
        <w:t>Separation</w:t>
      </w:r>
    </w:p>
    <w:p w14:paraId="3F514EAC" w14:textId="480715D0" w:rsidR="00A57E30" w:rsidRDefault="00A57E30" w:rsidP="00A57E30">
      <w:pPr>
        <w:pStyle w:val="ParaLevel1"/>
      </w:pPr>
      <w:r>
        <w:t>The parties separated on 17 November 2019 and a petition for divorce was filed by the wife on 17 March 2020. Decree nisi was granted on 8 March 2021, and decree absolute has not yet been granted.</w:t>
      </w:r>
    </w:p>
    <w:p w14:paraId="02F2E313" w14:textId="20921C12" w:rsidR="006D5D99" w:rsidRDefault="006D5D99" w:rsidP="00A57E30">
      <w:pPr>
        <w:pStyle w:val="ParaLevel1"/>
      </w:pPr>
      <w:r>
        <w:t xml:space="preserve">Following the </w:t>
      </w:r>
      <w:proofErr w:type="gramStart"/>
      <w:r>
        <w:t>separation</w:t>
      </w:r>
      <w:proofErr w:type="gramEnd"/>
      <w:r>
        <w:t xml:space="preserve"> </w:t>
      </w:r>
      <w:r w:rsidR="00FD6F1A">
        <w:t xml:space="preserve">the husband purchased his own home in Barnet </w:t>
      </w:r>
      <w:r w:rsidR="00FF0343">
        <w:t>in August 2020</w:t>
      </w:r>
      <w:r w:rsidR="00657B48">
        <w:t xml:space="preserve"> for £2.15m mortgage-free, </w:t>
      </w:r>
      <w:r w:rsidR="00D35A4F">
        <w:t>al</w:t>
      </w:r>
      <w:r w:rsidR="00657B48" w:rsidRPr="00F85967">
        <w:t xml:space="preserve">though a £1.5m mortgage was subsequently secured against </w:t>
      </w:r>
      <w:r w:rsidR="00657B48">
        <w:t>it</w:t>
      </w:r>
      <w:r w:rsidR="00FF0343">
        <w:t>.</w:t>
      </w:r>
      <w:r w:rsidR="002D625E">
        <w:t xml:space="preserve"> It is described by the </w:t>
      </w:r>
      <w:r w:rsidR="008C5AFB">
        <w:t>husband</w:t>
      </w:r>
      <w:r w:rsidR="002D625E">
        <w:t xml:space="preserve"> as “very close” to the former matrimonial </w:t>
      </w:r>
      <w:r w:rsidR="002D625E">
        <w:lastRenderedPageBreak/>
        <w:t>home.</w:t>
      </w:r>
      <w:r w:rsidR="00657B48">
        <w:t xml:space="preserve"> This property has since been improved, including </w:t>
      </w:r>
      <w:r w:rsidR="00613285">
        <w:t xml:space="preserve">by addition </w:t>
      </w:r>
      <w:r w:rsidR="00657B48">
        <w:t>of a neighbouring piece of land purchased on 29 June 2021 for £250,000</w:t>
      </w:r>
      <w:r w:rsidR="002D625E">
        <w:t>.</w:t>
      </w:r>
    </w:p>
    <w:p w14:paraId="62234D22" w14:textId="06BB1F0E" w:rsidR="005062F6" w:rsidRDefault="00613285" w:rsidP="00A57E30">
      <w:pPr>
        <w:pStyle w:val="ParaLevel1"/>
      </w:pPr>
      <w:r>
        <w:t>The wife</w:t>
      </w:r>
      <w:r w:rsidR="005062F6">
        <w:t xml:space="preserve"> has remained living at the former matrimonial home since separation. The children reside with her throughout the week, and then stay with </w:t>
      </w:r>
      <w:r>
        <w:t>the husband</w:t>
      </w:r>
      <w:r w:rsidR="005062F6">
        <w:t xml:space="preserve"> at his new home on weekends.</w:t>
      </w:r>
    </w:p>
    <w:p w14:paraId="36AB637B" w14:textId="09025C97" w:rsidR="00176090" w:rsidRPr="00176090" w:rsidRDefault="00176090" w:rsidP="00176090">
      <w:pPr>
        <w:pStyle w:val="ParaLevel1"/>
        <w:numPr>
          <w:ilvl w:val="0"/>
          <w:numId w:val="0"/>
        </w:numPr>
        <w:rPr>
          <w:i/>
          <w:iCs/>
        </w:rPr>
      </w:pPr>
      <w:r>
        <w:rPr>
          <w:i/>
          <w:iCs/>
        </w:rPr>
        <w:t xml:space="preserve">The </w:t>
      </w:r>
      <w:r w:rsidR="003E71FF">
        <w:rPr>
          <w:i/>
          <w:iCs/>
        </w:rPr>
        <w:t>financial remedy application</w:t>
      </w:r>
    </w:p>
    <w:p w14:paraId="249830F4" w14:textId="15AB0730" w:rsidR="00A57E30" w:rsidRDefault="00A57E30" w:rsidP="00A57E30">
      <w:pPr>
        <w:pStyle w:val="ParaLevel1"/>
      </w:pPr>
      <w:r>
        <w:t>The wife made an application for financial re</w:t>
      </w:r>
      <w:r w:rsidR="00A66630">
        <w:t>medies</w:t>
      </w:r>
      <w:r>
        <w:t xml:space="preserve"> in </w:t>
      </w:r>
      <w:r w:rsidR="00A66630">
        <w:t xml:space="preserve">a </w:t>
      </w:r>
      <w:r>
        <w:t xml:space="preserve">Form A dated 14 April 2020. </w:t>
      </w:r>
    </w:p>
    <w:p w14:paraId="36A2EA8A" w14:textId="1915F68F" w:rsidR="00A57E30" w:rsidRPr="003E6E7E" w:rsidRDefault="00E04D55" w:rsidP="00A57E30">
      <w:pPr>
        <w:pStyle w:val="ParaLevel1"/>
      </w:pPr>
      <w:r>
        <w:t>The wife’</w:t>
      </w:r>
      <w:r w:rsidR="00A57E30" w:rsidRPr="003E6E7E">
        <w:t>s Form E was dated 9 October 2020</w:t>
      </w:r>
      <w:r w:rsidR="00A57E30">
        <w:t xml:space="preserve"> and </w:t>
      </w:r>
      <w:r>
        <w:t>said</w:t>
      </w:r>
      <w:r w:rsidR="00A57E30" w:rsidRPr="003E6E7E">
        <w:t xml:space="preserve"> that the parties enjoyed “a very comfortable standard of living </w:t>
      </w:r>
      <w:r w:rsidR="00420A66">
        <w:t>-</w:t>
      </w:r>
      <w:r w:rsidR="00A57E30" w:rsidRPr="003E6E7E">
        <w:t xml:space="preserve"> money was never an issue”. In terms of </w:t>
      </w:r>
      <w:proofErr w:type="gramStart"/>
      <w:r w:rsidR="00A57E30" w:rsidRPr="003E6E7E">
        <w:t>particular contributions</w:t>
      </w:r>
      <w:proofErr w:type="gramEnd"/>
      <w:r w:rsidR="00A57E30" w:rsidRPr="003E6E7E">
        <w:t xml:space="preserve">, </w:t>
      </w:r>
      <w:r w:rsidR="00A57E30">
        <w:t xml:space="preserve">the wife </w:t>
      </w:r>
      <w:r w:rsidR="00A57E30" w:rsidRPr="003E6E7E">
        <w:t>note</w:t>
      </w:r>
      <w:r>
        <w:t>d</w:t>
      </w:r>
      <w:r w:rsidR="00A57E30" w:rsidRPr="003E6E7E">
        <w:t xml:space="preserve"> her contributions to renovating/refurbish</w:t>
      </w:r>
      <w:r w:rsidR="005B04AB">
        <w:t>ing</w:t>
      </w:r>
      <w:r w:rsidR="00A57E30" w:rsidRPr="003E6E7E">
        <w:t xml:space="preserve"> previous family homes, work as a teacher, and involvement in the property development business, as well as her contributions as the “homemaker” with </w:t>
      </w:r>
      <w:r w:rsidR="00A57E30">
        <w:t xml:space="preserve">the husband </w:t>
      </w:r>
      <w:r w:rsidR="00A57E30" w:rsidRPr="003E6E7E">
        <w:t>the “breadwinner”.</w:t>
      </w:r>
    </w:p>
    <w:p w14:paraId="230C8CF9" w14:textId="409BDE9B" w:rsidR="00A57E30" w:rsidRDefault="00A57E30" w:rsidP="00A57E30">
      <w:pPr>
        <w:pStyle w:val="ParaLevel1"/>
      </w:pPr>
      <w:r>
        <w:t>The husband’s</w:t>
      </w:r>
      <w:r w:rsidRPr="003E6E7E">
        <w:t xml:space="preserve"> Form E was dated 15 October 2020 </w:t>
      </w:r>
      <w:r>
        <w:t xml:space="preserve">and </w:t>
      </w:r>
      <w:r w:rsidRPr="003E6E7E">
        <w:t>state</w:t>
      </w:r>
      <w:r>
        <w:t>d</w:t>
      </w:r>
      <w:r w:rsidRPr="003E6E7E">
        <w:t xml:space="preserve"> that the parties</w:t>
      </w:r>
      <w:r>
        <w:t xml:space="preserve"> “enjoyed a comfortable standard of living commensurate with my income” during the marriage. In terms of </w:t>
      </w:r>
      <w:proofErr w:type="gramStart"/>
      <w:r>
        <w:t>particular contributions</w:t>
      </w:r>
      <w:proofErr w:type="gramEnd"/>
      <w:r>
        <w:t xml:space="preserve">, the husband asserted that his business was “essentially the same business that it was when he and </w:t>
      </w:r>
      <w:r w:rsidR="00E04D55">
        <w:t xml:space="preserve">Mr O’Driscoll </w:t>
      </w:r>
      <w:r>
        <w:t xml:space="preserve">started out together in 1998” and that “without the work, time and money that </w:t>
      </w:r>
      <w:r w:rsidR="00E04D55">
        <w:t xml:space="preserve">he and Mr O’Driscoll </w:t>
      </w:r>
      <w:r>
        <w:t xml:space="preserve">invested in the business in those early years the company would not be what it is today”. </w:t>
      </w:r>
      <w:r w:rsidR="005B04AB">
        <w:t>T</w:t>
      </w:r>
      <w:r>
        <w:t>he husband’s asserted pre-marital wealth and contributions are addressed in further detail later in this judgment.</w:t>
      </w:r>
    </w:p>
    <w:p w14:paraId="790407F3" w14:textId="36B7BDAC" w:rsidR="00E04D55" w:rsidRDefault="00A57E30" w:rsidP="00A57E30">
      <w:pPr>
        <w:pStyle w:val="ParaLevel1"/>
      </w:pPr>
      <w:r>
        <w:t xml:space="preserve">On 6 November 2020, the wife made a Part 25 application for the instruction of experts to report as follows: </w:t>
      </w:r>
    </w:p>
    <w:p w14:paraId="1BB81963" w14:textId="77777777" w:rsidR="00E04D55" w:rsidRDefault="00A57E30" w:rsidP="00E04D55">
      <w:pPr>
        <w:pStyle w:val="ParaLevel2"/>
      </w:pPr>
      <w:r>
        <w:t xml:space="preserve">a forensic business accountant as a single joint expert to value the husband’s business </w:t>
      </w:r>
      <w:proofErr w:type="gramStart"/>
      <w:r>
        <w:t>interests;</w:t>
      </w:r>
      <w:proofErr w:type="gramEnd"/>
      <w:r>
        <w:t xml:space="preserve"> </w:t>
      </w:r>
    </w:p>
    <w:p w14:paraId="5EA63008" w14:textId="5A835254" w:rsidR="00E04D55" w:rsidRDefault="00A57E30" w:rsidP="00E04D55">
      <w:pPr>
        <w:pStyle w:val="ParaLevel2"/>
      </w:pPr>
      <w:r>
        <w:t xml:space="preserve">a tax accountant as a single joint expert to determine the tax liabilities of the husband and/or his </w:t>
      </w:r>
      <w:proofErr w:type="gramStart"/>
      <w:r>
        <w:t>businesses;</w:t>
      </w:r>
      <w:proofErr w:type="gramEnd"/>
      <w:r>
        <w:t xml:space="preserve"> </w:t>
      </w:r>
    </w:p>
    <w:p w14:paraId="6C2DBD75" w14:textId="77777777" w:rsidR="00983051" w:rsidRDefault="00A57E30" w:rsidP="00E04D55">
      <w:pPr>
        <w:pStyle w:val="ParaLevel2"/>
      </w:pPr>
      <w:r>
        <w:t xml:space="preserve">two surveyors to carry out a valuation of the husband’s property portfolio in the UK and in the Republic of Ireland, to include commercial and residential </w:t>
      </w:r>
      <w:proofErr w:type="gramStart"/>
      <w:r>
        <w:t>properties;</w:t>
      </w:r>
      <w:proofErr w:type="gramEnd"/>
      <w:r>
        <w:t xml:space="preserve"> and </w:t>
      </w:r>
    </w:p>
    <w:p w14:paraId="3388E1F5" w14:textId="5BBFF612" w:rsidR="00A57E30" w:rsidRDefault="00A57E30" w:rsidP="00E04D55">
      <w:pPr>
        <w:pStyle w:val="ParaLevel2"/>
      </w:pPr>
      <w:r>
        <w:t>a surveyor to be appointed to value the former matrimonial home and the husband’s home.</w:t>
      </w:r>
    </w:p>
    <w:p w14:paraId="25514202" w14:textId="57801C10" w:rsidR="00A57E30" w:rsidRDefault="00A57E30" w:rsidP="00A57E30">
      <w:pPr>
        <w:pStyle w:val="ParaLevel1"/>
      </w:pPr>
      <w:r>
        <w:t xml:space="preserve">A First Appointment was held on 13 November 2020 before Peel J, at which directions were made by consent for replies to questionnaires; updating disclosure; </w:t>
      </w:r>
      <w:r w:rsidR="005B04AB">
        <w:t xml:space="preserve">the </w:t>
      </w:r>
      <w:r>
        <w:t xml:space="preserve">instruction of Alastair Woodgate of Rumball Sedgwick to value the matrimonial home to  commence only if the parties could not reach agreement on the value within 14 days; </w:t>
      </w:r>
      <w:r w:rsidR="005B04AB">
        <w:t xml:space="preserve">the </w:t>
      </w:r>
      <w:r>
        <w:t>instruction of Michael Lee of Michael R Lee (Surveyors) Ltd to value the husband’s  UK property portfolio;</w:t>
      </w:r>
      <w:r w:rsidR="005B04AB">
        <w:t xml:space="preserve"> the</w:t>
      </w:r>
      <w:r>
        <w:t xml:space="preserve"> instruction of Manus Kelly of DNG Kelly to value the husband’s  Irish property portfolio; </w:t>
      </w:r>
      <w:r w:rsidR="00E04D55">
        <w:t xml:space="preserve">and </w:t>
      </w:r>
      <w:r w:rsidR="005B04AB">
        <w:t xml:space="preserve">the </w:t>
      </w:r>
      <w:r>
        <w:t>instruction of Faye Hall of Smith &amp; Williamson to report on various issues concerning the husband’s business interests; and the listing of a FDR.</w:t>
      </w:r>
    </w:p>
    <w:p w14:paraId="1DC1D7BE" w14:textId="77777777" w:rsidR="00A57E30" w:rsidRPr="00A10EE4" w:rsidRDefault="00A57E30" w:rsidP="00A57E30">
      <w:pPr>
        <w:pStyle w:val="ParaLevel1"/>
      </w:pPr>
      <w:r w:rsidRPr="00A10EE4">
        <w:t xml:space="preserve">A private FDR was conducted by Brent Molyneux QC </w:t>
      </w:r>
      <w:r>
        <w:t>on</w:t>
      </w:r>
      <w:r w:rsidRPr="00A10EE4">
        <w:t xml:space="preserve"> 29 </w:t>
      </w:r>
      <w:r>
        <w:t>and</w:t>
      </w:r>
      <w:r w:rsidRPr="00A10EE4">
        <w:t xml:space="preserve"> 30 April 2021.</w:t>
      </w:r>
    </w:p>
    <w:p w14:paraId="307E5AC2" w14:textId="26EB16D3" w:rsidR="00A57E30" w:rsidRPr="00A10EE4" w:rsidRDefault="00A57E30" w:rsidP="00A57E30">
      <w:pPr>
        <w:pStyle w:val="ParaLevel1"/>
      </w:pPr>
      <w:r w:rsidRPr="00A10EE4">
        <w:t xml:space="preserve">Neither party accepted the valuations of Faye Hall, and </w:t>
      </w:r>
      <w:r w:rsidRPr="00A10EE4">
        <w:rPr>
          <w:i/>
          <w:iCs/>
        </w:rPr>
        <w:t>Daniels v Walker</w:t>
      </w:r>
      <w:r w:rsidRPr="00A10EE4">
        <w:t xml:space="preserve"> applications were made by</w:t>
      </w:r>
      <w:r w:rsidR="00E04D55">
        <w:t xml:space="preserve"> </w:t>
      </w:r>
      <w:r>
        <w:t xml:space="preserve">the wife </w:t>
      </w:r>
      <w:r w:rsidRPr="00A10EE4">
        <w:t xml:space="preserve">and </w:t>
      </w:r>
      <w:r>
        <w:t xml:space="preserve">the husband </w:t>
      </w:r>
      <w:r w:rsidRPr="00A10EE4">
        <w:t xml:space="preserve">on 12 May 2021 and 17 May 2021 respectively. </w:t>
      </w:r>
      <w:r>
        <w:t xml:space="preserve"> The wife </w:t>
      </w:r>
      <w:r w:rsidRPr="00A10EE4">
        <w:t xml:space="preserve">maintained that Faye Hall had “grossly undervalued” </w:t>
      </w:r>
      <w:r>
        <w:t>the husband’s</w:t>
      </w:r>
      <w:r w:rsidRPr="00A10EE4">
        <w:t xml:space="preserve"> corporate interests “as a result of over</w:t>
      </w:r>
      <w:r>
        <w:t>-</w:t>
      </w:r>
      <w:r w:rsidRPr="00A10EE4">
        <w:t xml:space="preserve">reliance on pessimistic forecasting data provided to her by </w:t>
      </w:r>
      <w:r>
        <w:t>the husband’s</w:t>
      </w:r>
      <w:r w:rsidRPr="00A10EE4">
        <w:t xml:space="preserve"> team</w:t>
      </w:r>
      <w:proofErr w:type="gramStart"/>
      <w:r w:rsidRPr="00A10EE4">
        <w:t>”, and</w:t>
      </w:r>
      <w:proofErr w:type="gramEnd"/>
      <w:r w:rsidRPr="00A10EE4">
        <w:t xml:space="preserve"> sought to adduce evidence from Sally Longworth. </w:t>
      </w:r>
      <w:r>
        <w:t xml:space="preserve">The husband, </w:t>
      </w:r>
      <w:r w:rsidRPr="00A10EE4">
        <w:t xml:space="preserve">on the other hand, considered that Faye Hall “place[d] a much higher value on those assets than he believes is correct” </w:t>
      </w:r>
      <w:r>
        <w:t>and</w:t>
      </w:r>
      <w:r w:rsidRPr="00A10EE4">
        <w:t xml:space="preserve"> sought to rely on evidence from Paul Singleton.</w:t>
      </w:r>
    </w:p>
    <w:p w14:paraId="30F47E47" w14:textId="23D753BA" w:rsidR="00A57E30" w:rsidRDefault="00A57E30" w:rsidP="00E04D55">
      <w:pPr>
        <w:pStyle w:val="ParaLevel1"/>
      </w:pPr>
      <w:r>
        <w:t>The wife’s</w:t>
      </w:r>
      <w:r w:rsidRPr="00A10EE4">
        <w:t xml:space="preserve"> application further disagreed with the analysis of Manus Kelly and sought permission to instruct Declan McLoughlin. </w:t>
      </w:r>
      <w:r>
        <w:t xml:space="preserve">The husband </w:t>
      </w:r>
      <w:r w:rsidRPr="00A10EE4">
        <w:t>disagreed with the valuation of the family home provided by Rumball Sedgwick and sought permission to rely on evidence from Nick Staton of Staton Estate Agents.</w:t>
      </w:r>
    </w:p>
    <w:p w14:paraId="2E9D255D" w14:textId="33BB0A3C" w:rsidR="00A57E30" w:rsidRDefault="00A57E30" w:rsidP="00A57E30">
      <w:pPr>
        <w:pStyle w:val="ParaLevel1"/>
      </w:pPr>
      <w:r>
        <w:t>At the Case Management Hearing on 25 May 2021, Holman J ordered by consent</w:t>
      </w:r>
      <w:r>
        <w:rPr>
          <w:i/>
          <w:iCs/>
        </w:rPr>
        <w:t xml:space="preserve"> </w:t>
      </w:r>
      <w:r>
        <w:t xml:space="preserve">that:  </w:t>
      </w:r>
    </w:p>
    <w:p w14:paraId="5DAF23C5" w14:textId="1256069B" w:rsidR="00A57E30" w:rsidRDefault="00A57E30" w:rsidP="00A57E30">
      <w:pPr>
        <w:pStyle w:val="ParaLevel2"/>
        <w:numPr>
          <w:ilvl w:val="1"/>
          <w:numId w:val="1"/>
        </w:numPr>
      </w:pPr>
      <w:r>
        <w:t xml:space="preserve">the husband was to reply to a specific question in the wife’s questionnaire as to the extent of his wealth when </w:t>
      </w:r>
      <w:r w:rsidR="00FE66F3">
        <w:t xml:space="preserve">the </w:t>
      </w:r>
      <w:r>
        <w:t xml:space="preserve">parties started to cohabit and were </w:t>
      </w:r>
      <w:proofErr w:type="gramStart"/>
      <w:r>
        <w:t>engaged;</w:t>
      </w:r>
      <w:proofErr w:type="gramEnd"/>
      <w:r>
        <w:t xml:space="preserve">  </w:t>
      </w:r>
    </w:p>
    <w:p w14:paraId="22FC253E" w14:textId="16B3CD75" w:rsidR="00A57E30" w:rsidRDefault="00A57E30" w:rsidP="00A57E30">
      <w:pPr>
        <w:pStyle w:val="ParaLevel2"/>
        <w:numPr>
          <w:ilvl w:val="1"/>
          <w:numId w:val="1"/>
        </w:numPr>
      </w:pPr>
      <w:r>
        <w:t xml:space="preserve">the husband was to use his best endeavours to serve on the wife the final audited business accounts for the year ended March </w:t>
      </w:r>
      <w:proofErr w:type="gramStart"/>
      <w:r>
        <w:t>2021;</w:t>
      </w:r>
      <w:proofErr w:type="gramEnd"/>
      <w:r>
        <w:t xml:space="preserve"> </w:t>
      </w:r>
    </w:p>
    <w:p w14:paraId="3E2D8BD9" w14:textId="31F3B670" w:rsidR="00A57E30" w:rsidRDefault="00A57E30" w:rsidP="00A57E30">
      <w:pPr>
        <w:pStyle w:val="ParaLevel2"/>
        <w:numPr>
          <w:ilvl w:val="1"/>
          <w:numId w:val="1"/>
        </w:numPr>
      </w:pPr>
      <w:r>
        <w:t>permission was granted to adduce the evidence of Sally Longworth (for the wife) and Paul Singleton (for the husband) as to the husband’s business interests, and for those experts to meet a</w:t>
      </w:r>
      <w:r w:rsidR="00FE66F3">
        <w:t>nd</w:t>
      </w:r>
      <w:r>
        <w:t xml:space="preserve"> produce a joint </w:t>
      </w:r>
      <w:proofErr w:type="gramStart"/>
      <w:r>
        <w:t>statement;</w:t>
      </w:r>
      <w:proofErr w:type="gramEnd"/>
      <w:r>
        <w:t xml:space="preserve"> </w:t>
      </w:r>
    </w:p>
    <w:p w14:paraId="745AD2E1" w14:textId="6F226259" w:rsidR="00A57E30" w:rsidRDefault="00A57E30" w:rsidP="00A57E30">
      <w:pPr>
        <w:pStyle w:val="ParaLevel2"/>
        <w:numPr>
          <w:ilvl w:val="1"/>
          <w:numId w:val="1"/>
        </w:numPr>
      </w:pPr>
      <w:r>
        <w:t>the experts in respect of the matrimonial home and the husband’s Irish property portfolio were to meet and, if agreement on valuation could not be reached, then permission was granted for each of Nick Staton (for</w:t>
      </w:r>
      <w:r w:rsidR="00671856">
        <w:t xml:space="preserve"> </w:t>
      </w:r>
      <w:r>
        <w:t xml:space="preserve">the husband on the matrimonial home) and Declan McLoughlin (for the wife on the Irish property portfolio) to file a </w:t>
      </w:r>
      <w:proofErr w:type="gramStart"/>
      <w:r>
        <w:t>report;</w:t>
      </w:r>
      <w:proofErr w:type="gramEnd"/>
      <w:r>
        <w:t xml:space="preserve"> </w:t>
      </w:r>
    </w:p>
    <w:p w14:paraId="5B58F3C7" w14:textId="1E0092D5" w:rsidR="00A57E30" w:rsidRDefault="00A57E30" w:rsidP="00A57E30">
      <w:pPr>
        <w:pStyle w:val="ParaLevel2"/>
        <w:numPr>
          <w:ilvl w:val="1"/>
          <w:numId w:val="1"/>
        </w:numPr>
      </w:pPr>
      <w:r>
        <w:t xml:space="preserve">updating disclosure, s25 statements and open proposals were </w:t>
      </w:r>
      <w:r w:rsidR="007F12D4">
        <w:t xml:space="preserve">to be provided </w:t>
      </w:r>
      <w:r>
        <w:t xml:space="preserve">in advance of a pre-trial review. </w:t>
      </w:r>
    </w:p>
    <w:p w14:paraId="7E8D04D0" w14:textId="6DAAB5CF" w:rsidR="00A57E30" w:rsidRDefault="00A57E30" w:rsidP="00A57E30">
      <w:pPr>
        <w:pStyle w:val="ParaLevel1"/>
      </w:pPr>
      <w:r>
        <w:t>By an application dated 2 March 2022, the husband sought permission to adduce a witness statement from Mr Thomas Kerins, the Managing Director of Galldris, to explain his and the husband’s role</w:t>
      </w:r>
      <w:r w:rsidR="00FE66F3">
        <w:t>s</w:t>
      </w:r>
      <w:r>
        <w:t xml:space="preserve"> in the company and the company’s performance and trajectory.</w:t>
      </w:r>
    </w:p>
    <w:p w14:paraId="02FE9282" w14:textId="77777777" w:rsidR="00A57E30" w:rsidRDefault="00A57E30" w:rsidP="00A57E30">
      <w:pPr>
        <w:pStyle w:val="ParaLevel1"/>
      </w:pPr>
      <w:r>
        <w:t xml:space="preserve">A pre-trial review was held before myself on 9 March 2022, at which I directed that: </w:t>
      </w:r>
    </w:p>
    <w:p w14:paraId="7B472AEA" w14:textId="3D8218E9" w:rsidR="00A57E30" w:rsidRDefault="00A57E30" w:rsidP="00A57E30">
      <w:pPr>
        <w:pStyle w:val="ParaLevel2"/>
        <w:numPr>
          <w:ilvl w:val="1"/>
          <w:numId w:val="1"/>
        </w:numPr>
      </w:pPr>
      <w:r>
        <w:t xml:space="preserve">further evidence on a number of issues between the parties was to be provided by the wife and the husband respectively, including s25 statements and permission to rely on a witness statement from Mr Kerins dealing with specified issues of fact </w:t>
      </w:r>
      <w:proofErr w:type="gramStart"/>
      <w:r>
        <w:t>only;</w:t>
      </w:r>
      <w:proofErr w:type="gramEnd"/>
      <w:r>
        <w:t xml:space="preserve"> </w:t>
      </w:r>
    </w:p>
    <w:p w14:paraId="74463ADC" w14:textId="43028972" w:rsidR="00A57E30" w:rsidRDefault="00A57E30" w:rsidP="00A57E30">
      <w:pPr>
        <w:pStyle w:val="ParaLevel2"/>
        <w:numPr>
          <w:ilvl w:val="1"/>
          <w:numId w:val="1"/>
        </w:numPr>
      </w:pPr>
      <w:r>
        <w:t xml:space="preserve">Ms Longworth and Mr Singleton were to meet with Mr Kerins, must share with each other “all information and documentation with which they have respectively been provided in the course of their enquiries”, and </w:t>
      </w:r>
      <w:r w:rsidR="007F12D4">
        <w:t xml:space="preserve">were </w:t>
      </w:r>
      <w:r>
        <w:t>to produce an updated statement of areas of agreement/</w:t>
      </w:r>
      <w:proofErr w:type="gramStart"/>
      <w:r>
        <w:t>disagreement;</w:t>
      </w:r>
      <w:proofErr w:type="gramEnd"/>
      <w:r>
        <w:t xml:space="preserve"> </w:t>
      </w:r>
    </w:p>
    <w:p w14:paraId="454CF166" w14:textId="3B40BD1A" w:rsidR="00A57E30" w:rsidRDefault="00A57E30" w:rsidP="00A57E30">
      <w:pPr>
        <w:pStyle w:val="ParaLevel2"/>
        <w:numPr>
          <w:ilvl w:val="1"/>
          <w:numId w:val="1"/>
        </w:numPr>
      </w:pPr>
      <w:r>
        <w:t>unless the court determine</w:t>
      </w:r>
      <w:r w:rsidR="007F12D4">
        <w:t>d</w:t>
      </w:r>
      <w:r>
        <w:t xml:space="preserve"> oral evidence </w:t>
      </w:r>
      <w:r w:rsidR="007F12D4">
        <w:t xml:space="preserve">to be </w:t>
      </w:r>
      <w:r>
        <w:t xml:space="preserve">necessary at the final hearing, the question of the value of the family home was to be resolved by the appointed experts giving evidence in </w:t>
      </w:r>
      <w:proofErr w:type="gramStart"/>
      <w:r>
        <w:t>writing;</w:t>
      </w:r>
      <w:proofErr w:type="gramEnd"/>
    </w:p>
    <w:p w14:paraId="33D5AA0D" w14:textId="3DA35EC5" w:rsidR="00A57E30" w:rsidRDefault="00A57E30" w:rsidP="00A57E30">
      <w:pPr>
        <w:pStyle w:val="ParaLevel2"/>
        <w:numPr>
          <w:ilvl w:val="1"/>
          <w:numId w:val="1"/>
        </w:numPr>
      </w:pPr>
      <w:r>
        <w:t xml:space="preserve">the question of whether any discount should be applied to the value of the properties held within Twin Estates (London) Limited was to be decided </w:t>
      </w:r>
      <w:proofErr w:type="gramStart"/>
      <w:r>
        <w:t>on the basis of</w:t>
      </w:r>
      <w:proofErr w:type="gramEnd"/>
      <w:r>
        <w:t xml:space="preserve"> submissions only; and</w:t>
      </w:r>
    </w:p>
    <w:p w14:paraId="26E97FF4" w14:textId="77777777" w:rsidR="00A57E30" w:rsidRDefault="00A57E30" w:rsidP="00A57E30">
      <w:pPr>
        <w:pStyle w:val="ParaLevel2"/>
        <w:numPr>
          <w:ilvl w:val="1"/>
          <w:numId w:val="1"/>
        </w:numPr>
      </w:pPr>
      <w:r>
        <w:t>other preparatory steps were to be taken in advance of the final hearing.</w:t>
      </w:r>
    </w:p>
    <w:p w14:paraId="66DE7533" w14:textId="402533D5" w:rsidR="00A57E30" w:rsidRDefault="00A57E30" w:rsidP="00A57E30">
      <w:pPr>
        <w:pStyle w:val="ParaLevel1"/>
      </w:pPr>
      <w:r>
        <w:t xml:space="preserve">Section 25 statements were subsequently provided by the husband dated 3 May 2022 and the wife dated 9 May 2022. </w:t>
      </w:r>
      <w:r w:rsidR="00AB6447">
        <w:t>The o</w:t>
      </w:r>
      <w:r>
        <w:t xml:space="preserve">pen proposal </w:t>
      </w:r>
      <w:r w:rsidR="00AB6447">
        <w:t xml:space="preserve">referred to above </w:t>
      </w:r>
      <w:r>
        <w:t>were made by the husband and the wife on 10 May 2022.</w:t>
      </w:r>
    </w:p>
    <w:p w14:paraId="7F432341" w14:textId="15F60814" w:rsidR="00A57E30" w:rsidRDefault="00A57E30" w:rsidP="00A57E30">
      <w:pPr>
        <w:pStyle w:val="ParaLevel1"/>
      </w:pPr>
      <w:r>
        <w:t xml:space="preserve">Forms H1 were provided by the wife dated 10 May 2022 and the husband dated 17 May 2022. </w:t>
      </w:r>
      <w:r w:rsidR="00AB6447">
        <w:t xml:space="preserve"> The exorbitan</w:t>
      </w:r>
      <w:r w:rsidR="000D3E7D">
        <w:t>ce</w:t>
      </w:r>
      <w:r w:rsidR="00AB6447">
        <w:t xml:space="preserve"> of the costs I have </w:t>
      </w:r>
      <w:r w:rsidR="007E364A">
        <w:t>set out</w:t>
      </w:r>
      <w:r w:rsidR="00AB6447">
        <w:t xml:space="preserve"> above. </w:t>
      </w:r>
    </w:p>
    <w:p w14:paraId="4DAC6CDF" w14:textId="49757B4F" w:rsidR="00A57E30" w:rsidRDefault="00A57E30" w:rsidP="00A57E30">
      <w:pPr>
        <w:pStyle w:val="ParaLevel1"/>
      </w:pPr>
      <w:r>
        <w:t>An application for a reporting restriction order and/or anonymity order was made by the</w:t>
      </w:r>
      <w:r w:rsidR="007F12D4">
        <w:t xml:space="preserve"> </w:t>
      </w:r>
      <w:r>
        <w:t xml:space="preserve">husband dated 13 May 2022. At the beginning of the final hearing, I heard submissions and </w:t>
      </w:r>
      <w:r w:rsidR="007A685A">
        <w:t xml:space="preserve">then </w:t>
      </w:r>
      <w:r>
        <w:t xml:space="preserve">granted an interim blanket reporting restrictions order pending the conclusion of the evidence and closing submissions when I would be </w:t>
      </w:r>
      <w:proofErr w:type="gramStart"/>
      <w:r>
        <w:t>in a position</w:t>
      </w:r>
      <w:proofErr w:type="gramEnd"/>
      <w:r>
        <w:t xml:space="preserve"> to undertake the requisite “ultimate balancing exercise” (see my judgment, </w:t>
      </w:r>
      <w:r>
        <w:rPr>
          <w:i/>
          <w:iCs/>
        </w:rPr>
        <w:t>XZ v YZ</w:t>
      </w:r>
      <w:r>
        <w:t xml:space="preserve"> [2022] EWFC 49). Having heard closing submissions, I directed that the interim </w:t>
      </w:r>
      <w:r w:rsidR="00AB6447">
        <w:t>order sh</w:t>
      </w:r>
      <w:r w:rsidR="00420A66">
        <w:t>ould</w:t>
      </w:r>
      <w:r w:rsidR="00AB6447">
        <w:t xml:space="preserve"> </w:t>
      </w:r>
      <w:r>
        <w:t>continue until the handing down of my final judgment on that issue. I have produced a separate judgment on that matter</w:t>
      </w:r>
      <w:r w:rsidR="007E364A">
        <w:t xml:space="preserve"> (</w:t>
      </w:r>
      <w:r w:rsidR="007E364A" w:rsidRPr="007E364A">
        <w:rPr>
          <w:i/>
          <w:iCs/>
        </w:rPr>
        <w:t>Gallagher v Gallagher (No.1) (Reporting Restrictions)</w:t>
      </w:r>
      <w:r w:rsidR="007E364A" w:rsidRPr="007E364A">
        <w:t xml:space="preserve"> </w:t>
      </w:r>
      <w:r w:rsidR="007E364A">
        <w:t xml:space="preserve">[2022] EWFC </w:t>
      </w:r>
      <w:r w:rsidR="000177AE">
        <w:t>52</w:t>
      </w:r>
      <w:r w:rsidR="007E364A">
        <w:t>)</w:t>
      </w:r>
      <w:r w:rsidR="007F12D4">
        <w:t>.</w:t>
      </w:r>
    </w:p>
    <w:p w14:paraId="3844996F" w14:textId="363C23D1" w:rsidR="00A57E30" w:rsidRPr="007629A4" w:rsidRDefault="00A57E30" w:rsidP="00A57E30">
      <w:pPr>
        <w:pStyle w:val="ParaLevel1"/>
      </w:pPr>
      <w:r>
        <w:t xml:space="preserve">At the outset of the final hearing, which commenced on 20 May 2022 following a reading day, it appeared to me that there were lacunae in the evidence which required </w:t>
      </w:r>
      <w:r w:rsidR="007E364A">
        <w:t xml:space="preserve">urgent </w:t>
      </w:r>
      <w:r>
        <w:t>remed</w:t>
      </w:r>
      <w:r w:rsidR="007E364A">
        <w:t>ial action</w:t>
      </w:r>
      <w:r>
        <w:t xml:space="preserve">. This was particularly striking given the </w:t>
      </w:r>
      <w:r w:rsidR="007A685A">
        <w:t xml:space="preserve">vast </w:t>
      </w:r>
      <w:r>
        <w:t>amount of costs incurred. I did not, and do not, accept the submission of Mr Southgate that this was assisting the husband to fill the gaps in his case. This was doing nothing more</w:t>
      </w:r>
      <w:r w:rsidR="007A685A">
        <w:t>,</w:t>
      </w:r>
      <w:r>
        <w:t xml:space="preserve"> and nothing less</w:t>
      </w:r>
      <w:r w:rsidR="007A685A">
        <w:t>,</w:t>
      </w:r>
      <w:r>
        <w:t xml:space="preserve"> than ensuring the court had all the relevant information </w:t>
      </w:r>
      <w:proofErr w:type="gramStart"/>
      <w:r>
        <w:t>in order to</w:t>
      </w:r>
      <w:proofErr w:type="gramEnd"/>
      <w:r>
        <w:t xml:space="preserve"> reach a properly </w:t>
      </w:r>
      <w:r w:rsidRPr="007629A4">
        <w:t>informed decision.</w:t>
      </w:r>
    </w:p>
    <w:p w14:paraId="3ABF0015" w14:textId="3FC3DF90" w:rsidR="00A57E30" w:rsidRPr="007629A4" w:rsidRDefault="00A57E30" w:rsidP="00A57E30">
      <w:pPr>
        <w:pStyle w:val="ParaLevel1"/>
      </w:pPr>
      <w:r>
        <w:t>I therefore</w:t>
      </w:r>
      <w:r w:rsidRPr="007629A4">
        <w:t xml:space="preserve"> directed the parties to instruct junior tax counsel </w:t>
      </w:r>
      <w:r w:rsidR="007A685A">
        <w:t xml:space="preserve">jointly </w:t>
      </w:r>
      <w:r w:rsidRPr="007629A4">
        <w:t xml:space="preserve">to address the likelihood of </w:t>
      </w:r>
      <w:proofErr w:type="gramStart"/>
      <w:r w:rsidRPr="007629A4">
        <w:t>a number of</w:t>
      </w:r>
      <w:proofErr w:type="gramEnd"/>
      <w:r w:rsidRPr="007629A4">
        <w:t xml:space="preserve"> potential tax liabilities eventuating. The court received the conscientious and prompt advice of Mr Thomas Chacko on 24 May 2022, to whom the court expresses its gratitude.</w:t>
      </w:r>
      <w:r>
        <w:t xml:space="preserve"> A supplementary report was subsequently provided on </w:t>
      </w:r>
      <w:r w:rsidR="00C95AD3">
        <w:t>6 June 2022</w:t>
      </w:r>
      <w:r>
        <w:t xml:space="preserve">. </w:t>
      </w:r>
    </w:p>
    <w:p w14:paraId="1287A7DA" w14:textId="3076BFE3" w:rsidR="000C5DFE" w:rsidRDefault="00B91D42" w:rsidP="00B91D42">
      <w:pPr>
        <w:pStyle w:val="ParaLevel1"/>
        <w:numPr>
          <w:ilvl w:val="0"/>
          <w:numId w:val="0"/>
        </w:numPr>
        <w:rPr>
          <w:lang w:eastAsia="en-GB"/>
        </w:rPr>
      </w:pPr>
      <w:r>
        <w:rPr>
          <w:b/>
          <w:bCs/>
          <w:lang w:eastAsia="en-GB"/>
        </w:rPr>
        <w:t xml:space="preserve">The transition </w:t>
      </w:r>
      <w:r w:rsidR="00A57E30">
        <w:rPr>
          <w:b/>
          <w:bCs/>
          <w:lang w:eastAsia="en-GB"/>
        </w:rPr>
        <w:t>of Gal</w:t>
      </w:r>
      <w:r w:rsidR="0027588B">
        <w:rPr>
          <w:b/>
          <w:bCs/>
          <w:lang w:eastAsia="en-GB"/>
        </w:rPr>
        <w:t>l</w:t>
      </w:r>
      <w:r w:rsidR="00A57E30">
        <w:rPr>
          <w:b/>
          <w:bCs/>
          <w:lang w:eastAsia="en-GB"/>
        </w:rPr>
        <w:t xml:space="preserve">dris </w:t>
      </w:r>
      <w:r>
        <w:rPr>
          <w:b/>
          <w:bCs/>
          <w:lang w:eastAsia="en-GB"/>
        </w:rPr>
        <w:t>to Tier</w:t>
      </w:r>
      <w:r w:rsidR="007D6F51">
        <w:rPr>
          <w:b/>
          <w:bCs/>
          <w:lang w:eastAsia="en-GB"/>
        </w:rPr>
        <w:t>-</w:t>
      </w:r>
      <w:r>
        <w:rPr>
          <w:b/>
          <w:bCs/>
          <w:lang w:eastAsia="en-GB"/>
        </w:rPr>
        <w:t>1</w:t>
      </w:r>
      <w:r w:rsidR="00FE3AAF">
        <w:rPr>
          <w:b/>
          <w:bCs/>
          <w:lang w:eastAsia="en-GB"/>
        </w:rPr>
        <w:t xml:space="preserve"> status</w:t>
      </w:r>
      <w:r w:rsidR="005816BF">
        <w:rPr>
          <w:lang w:eastAsia="en-GB"/>
        </w:rPr>
        <w:t xml:space="preserve"> </w:t>
      </w:r>
      <w:r w:rsidR="001569DC">
        <w:rPr>
          <w:lang w:eastAsia="en-GB"/>
        </w:rPr>
        <w:t xml:space="preserve"> </w:t>
      </w:r>
      <w:r w:rsidR="001A61D5">
        <w:rPr>
          <w:lang w:eastAsia="en-GB"/>
        </w:rPr>
        <w:t xml:space="preserve"> </w:t>
      </w:r>
    </w:p>
    <w:p w14:paraId="7D05A4CA" w14:textId="6FDC451C" w:rsidR="00AB6447" w:rsidRDefault="00B84148" w:rsidP="00760439">
      <w:pPr>
        <w:pStyle w:val="ParaLevel1"/>
        <w:rPr>
          <w:lang w:eastAsia="en-GB"/>
        </w:rPr>
      </w:pPr>
      <w:r>
        <w:rPr>
          <w:lang w:eastAsia="en-GB"/>
        </w:rPr>
        <w:t>Thomas</w:t>
      </w:r>
      <w:r w:rsidR="00BB7449">
        <w:rPr>
          <w:lang w:eastAsia="en-GB"/>
        </w:rPr>
        <w:t xml:space="preserve"> Kerins joined Galldris in September 2021 as managing director. In his witness statement he wrote:</w:t>
      </w:r>
    </w:p>
    <w:p w14:paraId="5D7D544A" w14:textId="35461A5C" w:rsidR="00BB7449" w:rsidRDefault="00BB7449" w:rsidP="00BB7449">
      <w:pPr>
        <w:pStyle w:val="Quote"/>
        <w:rPr>
          <w:lang w:eastAsia="en-GB"/>
        </w:rPr>
      </w:pPr>
      <w:r>
        <w:rPr>
          <w:lang w:eastAsia="en-GB"/>
        </w:rPr>
        <w:t>“Donal and Sean explained they were looking for an individual to guide the company in the delivery of their clients' increasing demands for Tier 1 work. Historically, Galldris was a Tier 2 contractor. When I joined, it was delivering some Tier 1 projects and moving into increased Tier 1 work. If Galldris is unable to service their current clients Tier 1 work requirements, those clients would look to competitors. The role was therefore an opportunity to enhance the work Galldris was already doing, and to direct the company as it transitions into the Tier 1 world by putting in place the required infrastructure, processes, and systems.”</w:t>
      </w:r>
    </w:p>
    <w:p w14:paraId="05E00661" w14:textId="1B4457F0" w:rsidR="00BB7449" w:rsidRDefault="00BB7449" w:rsidP="00760439">
      <w:pPr>
        <w:pStyle w:val="ParaLevel1"/>
        <w:rPr>
          <w:lang w:eastAsia="en-GB"/>
        </w:rPr>
      </w:pPr>
      <w:r>
        <w:rPr>
          <w:lang w:eastAsia="en-GB"/>
        </w:rPr>
        <w:t xml:space="preserve">The categorisations “Tier-1” and “Tier-2” are not official kitemarks. They are </w:t>
      </w:r>
      <w:r w:rsidR="007E364A">
        <w:rPr>
          <w:lang w:eastAsia="en-GB"/>
        </w:rPr>
        <w:t>creations</w:t>
      </w:r>
      <w:r>
        <w:rPr>
          <w:lang w:eastAsia="en-GB"/>
        </w:rPr>
        <w:t xml:space="preserve"> of the construction industry and are no more than descriptors of the </w:t>
      </w:r>
      <w:r w:rsidR="00B84148">
        <w:rPr>
          <w:lang w:eastAsia="en-GB"/>
        </w:rPr>
        <w:t>types of work done by construction businesses.</w:t>
      </w:r>
      <w:r>
        <w:rPr>
          <w:lang w:eastAsia="en-GB"/>
        </w:rPr>
        <w:t xml:space="preserve"> </w:t>
      </w:r>
      <w:r w:rsidR="00570815">
        <w:rPr>
          <w:lang w:eastAsia="en-GB"/>
        </w:rPr>
        <w:t xml:space="preserve">However, </w:t>
      </w:r>
      <w:r w:rsidR="00420A66">
        <w:rPr>
          <w:lang w:eastAsia="en-GB"/>
        </w:rPr>
        <w:t xml:space="preserve">the position of </w:t>
      </w:r>
      <w:r w:rsidR="00570815">
        <w:rPr>
          <w:lang w:eastAsia="en-GB"/>
        </w:rPr>
        <w:t xml:space="preserve">a construction business </w:t>
      </w:r>
      <w:r w:rsidR="00420A66">
        <w:rPr>
          <w:lang w:eastAsia="en-GB"/>
        </w:rPr>
        <w:t xml:space="preserve">in the hierarchy will strongly </w:t>
      </w:r>
      <w:proofErr w:type="gramStart"/>
      <w:r w:rsidR="00420A66">
        <w:rPr>
          <w:lang w:eastAsia="en-GB"/>
        </w:rPr>
        <w:t xml:space="preserve">influence </w:t>
      </w:r>
      <w:r w:rsidR="00570815">
        <w:rPr>
          <w:lang w:eastAsia="en-GB"/>
        </w:rPr>
        <w:t xml:space="preserve"> its</w:t>
      </w:r>
      <w:proofErr w:type="gramEnd"/>
      <w:r w:rsidR="00570815">
        <w:rPr>
          <w:lang w:eastAsia="en-GB"/>
        </w:rPr>
        <w:t xml:space="preserve"> turnover and profits.</w:t>
      </w:r>
    </w:p>
    <w:p w14:paraId="5C06F684" w14:textId="5D6E091F" w:rsidR="00D17517" w:rsidRDefault="00B91D42" w:rsidP="00760439">
      <w:pPr>
        <w:pStyle w:val="ParaLevel1"/>
        <w:rPr>
          <w:lang w:eastAsia="en-GB"/>
        </w:rPr>
      </w:pPr>
      <w:r>
        <w:rPr>
          <w:lang w:eastAsia="en-GB"/>
        </w:rPr>
        <w:t>I have read the written</w:t>
      </w:r>
      <w:r w:rsidR="005A76ED">
        <w:rPr>
          <w:lang w:eastAsia="en-GB"/>
        </w:rPr>
        <w:t xml:space="preserve"> </w:t>
      </w:r>
      <w:r>
        <w:rPr>
          <w:lang w:eastAsia="en-GB"/>
        </w:rPr>
        <w:t>evidence</w:t>
      </w:r>
      <w:r w:rsidR="005A76ED">
        <w:rPr>
          <w:lang w:eastAsia="en-GB"/>
        </w:rPr>
        <w:t>,</w:t>
      </w:r>
      <w:r>
        <w:rPr>
          <w:lang w:eastAsia="en-GB"/>
        </w:rPr>
        <w:t xml:space="preserve"> and heard the oral evidence</w:t>
      </w:r>
      <w:r w:rsidR="005A76ED">
        <w:rPr>
          <w:lang w:eastAsia="en-GB"/>
        </w:rPr>
        <w:t>,</w:t>
      </w:r>
      <w:r>
        <w:rPr>
          <w:lang w:eastAsia="en-GB"/>
        </w:rPr>
        <w:t xml:space="preserve"> of the husband </w:t>
      </w:r>
      <w:r w:rsidR="00B0236B">
        <w:rPr>
          <w:lang w:eastAsia="en-GB"/>
        </w:rPr>
        <w:t>as well as</w:t>
      </w:r>
      <w:r>
        <w:rPr>
          <w:lang w:eastAsia="en-GB"/>
        </w:rPr>
        <w:t xml:space="preserve"> </w:t>
      </w:r>
      <w:r w:rsidR="005F7A2C">
        <w:rPr>
          <w:lang w:eastAsia="en-GB"/>
        </w:rPr>
        <w:t xml:space="preserve">of </w:t>
      </w:r>
      <w:r>
        <w:rPr>
          <w:lang w:eastAsia="en-GB"/>
        </w:rPr>
        <w:t xml:space="preserve">the experts Mr Singleton and Ms Longworth. I have also read the written evidence of </w:t>
      </w:r>
      <w:r w:rsidR="00B84148">
        <w:rPr>
          <w:lang w:eastAsia="en-GB"/>
        </w:rPr>
        <w:t>Mr</w:t>
      </w:r>
      <w:r>
        <w:rPr>
          <w:lang w:eastAsia="en-GB"/>
        </w:rPr>
        <w:t xml:space="preserve"> Kerins. I have been able to form a very clear view </w:t>
      </w:r>
      <w:r w:rsidR="00B84148">
        <w:rPr>
          <w:lang w:eastAsia="en-GB"/>
        </w:rPr>
        <w:t>about</w:t>
      </w:r>
      <w:r>
        <w:rPr>
          <w:lang w:eastAsia="en-GB"/>
        </w:rPr>
        <w:t xml:space="preserve"> the reasons for the transition and the</w:t>
      </w:r>
      <w:r w:rsidR="00D17517">
        <w:rPr>
          <w:lang w:eastAsia="en-GB"/>
        </w:rPr>
        <w:t>ir</w:t>
      </w:r>
      <w:r>
        <w:rPr>
          <w:lang w:eastAsia="en-GB"/>
        </w:rPr>
        <w:t xml:space="preserve"> likely consequences</w:t>
      </w:r>
      <w:r w:rsidR="00D17517">
        <w:rPr>
          <w:lang w:eastAsia="en-GB"/>
        </w:rPr>
        <w:t>.</w:t>
      </w:r>
    </w:p>
    <w:p w14:paraId="6923575C" w14:textId="4886E791" w:rsidR="005A76ED" w:rsidRDefault="00604618" w:rsidP="00D17517">
      <w:pPr>
        <w:pStyle w:val="ParaLevel1"/>
      </w:pPr>
      <w:r>
        <w:t xml:space="preserve">The evidence </w:t>
      </w:r>
      <w:r w:rsidR="005A76ED">
        <w:t>described to me the construction industry’s hierarchy and what it signified</w:t>
      </w:r>
      <w:r w:rsidR="00B0236B">
        <w:t>. I summarise that evidence</w:t>
      </w:r>
      <w:r w:rsidR="005A76ED">
        <w:t xml:space="preserve"> as follows</w:t>
      </w:r>
      <w:r w:rsidR="003772FC">
        <w:t>:</w:t>
      </w:r>
    </w:p>
    <w:p w14:paraId="125FB668" w14:textId="53A30658" w:rsidR="00D17517" w:rsidRDefault="005A76ED" w:rsidP="003772FC">
      <w:pPr>
        <w:pStyle w:val="ParaLevel2"/>
      </w:pPr>
      <w:r>
        <w:t>A</w:t>
      </w:r>
      <w:r w:rsidR="00D17517">
        <w:t xml:space="preserve"> Tier</w:t>
      </w:r>
      <w:r w:rsidR="007D6F51">
        <w:t>-</w:t>
      </w:r>
      <w:r w:rsidR="00D17517">
        <w:t xml:space="preserve">1 contractor will make the primary contract with the client (which may or may not be a public sector body). These contracts are typically much larger than the contracts </w:t>
      </w:r>
      <w:proofErr w:type="gramStart"/>
      <w:r w:rsidR="00D17517">
        <w:t>entered into</w:t>
      </w:r>
      <w:proofErr w:type="gramEnd"/>
      <w:r w:rsidR="00D17517">
        <w:t xml:space="preserve"> by Tier</w:t>
      </w:r>
      <w:r w:rsidR="007D6F51">
        <w:t>-</w:t>
      </w:r>
      <w:r w:rsidR="00D17517">
        <w:t>2 contractors. The revenue of a Tier</w:t>
      </w:r>
      <w:r w:rsidR="007D6F51">
        <w:t>-</w:t>
      </w:r>
      <w:r w:rsidR="00D17517">
        <w:t>2 contractor derives from secondary contracts with the Tier</w:t>
      </w:r>
      <w:r w:rsidR="007D6F51">
        <w:t>-</w:t>
      </w:r>
      <w:r w:rsidR="00D17517">
        <w:t xml:space="preserve">1 contractor. </w:t>
      </w:r>
      <w:r w:rsidR="007F6B12">
        <w:t xml:space="preserve"> </w:t>
      </w:r>
      <w:r w:rsidR="00D17517">
        <w:t>Examples</w:t>
      </w:r>
      <w:r w:rsidR="007F6B12">
        <w:t xml:space="preserve"> would be</w:t>
      </w:r>
      <w:r w:rsidR="00D17517">
        <w:t xml:space="preserve"> works by electricians, plumbers, </w:t>
      </w:r>
      <w:proofErr w:type="gramStart"/>
      <w:r w:rsidR="00D17517">
        <w:t>joiners</w:t>
      </w:r>
      <w:proofErr w:type="gramEnd"/>
      <w:r w:rsidR="00D17517">
        <w:t xml:space="preserve"> and plasterers. They are one step removed from the original source of the revenue and </w:t>
      </w:r>
      <w:proofErr w:type="gramStart"/>
      <w:r w:rsidR="00D17517">
        <w:t>have to</w:t>
      </w:r>
      <w:proofErr w:type="gramEnd"/>
      <w:r w:rsidR="00D17517">
        <w:t xml:space="preserve"> rely on the Tier</w:t>
      </w:r>
      <w:r w:rsidR="007D6F51">
        <w:t>-</w:t>
      </w:r>
      <w:r w:rsidR="00D17517">
        <w:t>1 contractor for payment.</w:t>
      </w:r>
    </w:p>
    <w:p w14:paraId="122BFF32" w14:textId="79F1BDA0" w:rsidR="00D17517" w:rsidRDefault="00D17517" w:rsidP="003772FC">
      <w:pPr>
        <w:pStyle w:val="ParaLevel2"/>
      </w:pPr>
      <w:r>
        <w:t>Therefore, the turnover revenue of a Tier</w:t>
      </w:r>
      <w:r w:rsidR="007D6F51">
        <w:t>-</w:t>
      </w:r>
      <w:r>
        <w:t>1 contractor will usually be much higher than that of a Tier</w:t>
      </w:r>
      <w:r w:rsidR="0071589C">
        <w:t>-</w:t>
      </w:r>
      <w:r>
        <w:t xml:space="preserve">2 contractor. Further, the source of that revenue, particularly if it derives from a public sector client, is guaranteed to be paid on time and is therefore stable and certain. </w:t>
      </w:r>
    </w:p>
    <w:p w14:paraId="737AF322" w14:textId="3DDE3D10" w:rsidR="00D17517" w:rsidRDefault="00D17517" w:rsidP="003772FC">
      <w:pPr>
        <w:pStyle w:val="ParaLevel2"/>
      </w:pPr>
      <w:r>
        <w:t>However, the profit margins of a Tier</w:t>
      </w:r>
      <w:r w:rsidR="0071589C">
        <w:t>-</w:t>
      </w:r>
      <w:r>
        <w:t>1 contractor are typically lower than those of Tier</w:t>
      </w:r>
      <w:r w:rsidR="0071589C">
        <w:t>-</w:t>
      </w:r>
      <w:r>
        <w:t>2 contractor. This is because Tier</w:t>
      </w:r>
      <w:r w:rsidR="0071589C">
        <w:t>-</w:t>
      </w:r>
      <w:r>
        <w:t xml:space="preserve">1 contractors usually (but not invariably) will have much greater administrative expenses. This case is directly in point. The expenses have risen from £2.3m (of which £892,000 was salaries) in 2018 to £6.8m (of which £4.6m was salaries) in 2022. </w:t>
      </w:r>
    </w:p>
    <w:p w14:paraId="4ECE50F1" w14:textId="11D9559F" w:rsidR="00D17517" w:rsidRDefault="003772FC" w:rsidP="003772FC">
      <w:pPr>
        <w:pStyle w:val="ParaLevel2"/>
      </w:pPr>
      <w:r>
        <w:t>The question therefore arises w</w:t>
      </w:r>
      <w:r w:rsidR="00D17517">
        <w:t xml:space="preserve">hy a contractor </w:t>
      </w:r>
      <w:r>
        <w:t xml:space="preserve">would </w:t>
      </w:r>
      <w:r w:rsidR="00D17517">
        <w:t>want to transition from Tier</w:t>
      </w:r>
      <w:r w:rsidR="0071589C">
        <w:t>-</w:t>
      </w:r>
      <w:r w:rsidR="00D17517">
        <w:t>2 to Tier</w:t>
      </w:r>
      <w:r w:rsidR="0071589C">
        <w:t>-</w:t>
      </w:r>
      <w:r w:rsidR="00D17517">
        <w:t>1 where margins and therefore profits are lower</w:t>
      </w:r>
      <w:r>
        <w:t>.</w:t>
      </w:r>
      <w:r w:rsidR="00D17517">
        <w:t xml:space="preserve"> </w:t>
      </w:r>
    </w:p>
    <w:p w14:paraId="65A4E4FE" w14:textId="77777777" w:rsidR="007F6B12" w:rsidRDefault="00D17517" w:rsidP="003772FC">
      <w:pPr>
        <w:pStyle w:val="ParaLevel2"/>
      </w:pPr>
      <w:r>
        <w:t>The answer is that while a Tier</w:t>
      </w:r>
      <w:r w:rsidR="0071589C">
        <w:t>-</w:t>
      </w:r>
      <w:r>
        <w:t xml:space="preserve">2 contractor typically prospers in a bull market, </w:t>
      </w:r>
      <w:r w:rsidR="0071589C">
        <w:t>such a contractor</w:t>
      </w:r>
      <w:r>
        <w:t xml:space="preserve"> tends to suffer badly in a bear market with many going to the wall.</w:t>
      </w:r>
    </w:p>
    <w:p w14:paraId="5C04157A" w14:textId="21BEDBD0" w:rsidR="00D17517" w:rsidRDefault="00D17517" w:rsidP="003772FC">
      <w:pPr>
        <w:pStyle w:val="ParaLevel2"/>
      </w:pPr>
      <w:r>
        <w:t>In a bull market there may well be a shortage in the market of electricians, plumbers</w:t>
      </w:r>
      <w:r w:rsidR="00EB733C">
        <w:t>,</w:t>
      </w:r>
      <w:r>
        <w:t xml:space="preserve"> etc</w:t>
      </w:r>
      <w:r w:rsidR="00EB733C">
        <w:t>.</w:t>
      </w:r>
      <w:r>
        <w:t xml:space="preserve"> and so these Tie</w:t>
      </w:r>
      <w:r w:rsidR="0071589C">
        <w:t>r-</w:t>
      </w:r>
      <w:r>
        <w:t>2 contractors will be able to dictate prices</w:t>
      </w:r>
      <w:r w:rsidR="00EB733C">
        <w:t xml:space="preserve"> and contractual terms</w:t>
      </w:r>
      <w:r>
        <w:t xml:space="preserve"> in their sub-contract negotiations with the Tier</w:t>
      </w:r>
      <w:r w:rsidR="0071589C">
        <w:t>-</w:t>
      </w:r>
      <w:r>
        <w:t xml:space="preserve">1 contractor. </w:t>
      </w:r>
    </w:p>
    <w:p w14:paraId="23B8C0B0" w14:textId="303748E5" w:rsidR="00D17517" w:rsidRDefault="00D17517" w:rsidP="003772FC">
      <w:pPr>
        <w:pStyle w:val="ParaLevel2"/>
      </w:pPr>
      <w:r>
        <w:t>But the roles are reversed in a bear market. Here the Tier</w:t>
      </w:r>
      <w:r w:rsidR="0071589C">
        <w:t>-</w:t>
      </w:r>
      <w:r>
        <w:t xml:space="preserve">1 contractor </w:t>
      </w:r>
      <w:proofErr w:type="gramStart"/>
      <w:r>
        <w:t>can  impose</w:t>
      </w:r>
      <w:proofErr w:type="gramEnd"/>
      <w:r>
        <w:t xml:space="preserve"> </w:t>
      </w:r>
      <w:r w:rsidR="003772FC">
        <w:t>bruta</w:t>
      </w:r>
      <w:r>
        <w:t>l terms on the Tier</w:t>
      </w:r>
      <w:r w:rsidR="0071589C">
        <w:t>-</w:t>
      </w:r>
      <w:r>
        <w:t>2 contractor scrabbling for work perhaps insisting</w:t>
      </w:r>
      <w:r w:rsidR="0071589C">
        <w:t>, for example,</w:t>
      </w:r>
      <w:r>
        <w:t xml:space="preserve"> that the Tier</w:t>
      </w:r>
      <w:r w:rsidR="0071589C">
        <w:t>-</w:t>
      </w:r>
      <w:r>
        <w:t xml:space="preserve">2 contractor accepts a </w:t>
      </w:r>
      <w:r w:rsidR="003772FC">
        <w:t>prolonged delay in payment of</w:t>
      </w:r>
      <w:r>
        <w:t xml:space="preserve"> an </w:t>
      </w:r>
      <w:r w:rsidR="003772FC">
        <w:t xml:space="preserve">outstanding invoice (or even a </w:t>
      </w:r>
      <w:r w:rsidR="0070291B">
        <w:t>price reduction</w:t>
      </w:r>
      <w:r w:rsidR="003772FC">
        <w:t>)</w:t>
      </w:r>
      <w:r>
        <w:t>. Here the Tier</w:t>
      </w:r>
      <w:r w:rsidR="0071589C">
        <w:t>-</w:t>
      </w:r>
      <w:r>
        <w:t>2 contractors are price takers rather than price makers.</w:t>
      </w:r>
    </w:p>
    <w:p w14:paraId="01C4F1D7" w14:textId="4986F2C4" w:rsidR="00D17517" w:rsidRDefault="00D17517" w:rsidP="003772FC">
      <w:pPr>
        <w:pStyle w:val="ParaLevel2"/>
      </w:pPr>
      <w:r>
        <w:t xml:space="preserve">The combination of Brexit and Covid has suggested for at least a couple of years that the economy is heading for downturn if not recession, and recent economic events have confirmed this. </w:t>
      </w:r>
      <w:proofErr w:type="gramStart"/>
      <w:r>
        <w:t>Therefore</w:t>
      </w:r>
      <w:proofErr w:type="gramEnd"/>
      <w:r>
        <w:t xml:space="preserve"> the transition of a business from Tier</w:t>
      </w:r>
      <w:r w:rsidR="0071589C">
        <w:t>-</w:t>
      </w:r>
      <w:r>
        <w:t>2 to Tier</w:t>
      </w:r>
      <w:r w:rsidR="0071589C">
        <w:t>-</w:t>
      </w:r>
      <w:r>
        <w:t xml:space="preserve">1 makes complete economic sense. </w:t>
      </w:r>
    </w:p>
    <w:p w14:paraId="3B35BCB6" w14:textId="591C2B5C" w:rsidR="00D17517" w:rsidRDefault="00D17517" w:rsidP="003772FC">
      <w:pPr>
        <w:pStyle w:val="ParaLevel2"/>
      </w:pPr>
      <w:r>
        <w:t>Given the cyclical nature of economies</w:t>
      </w:r>
      <w:r w:rsidR="00EB733C">
        <w:t>,</w:t>
      </w:r>
      <w:r>
        <w:t xml:space="preserve"> a transition from Tie</w:t>
      </w:r>
      <w:r w:rsidR="0071589C">
        <w:t>r-</w:t>
      </w:r>
      <w:r>
        <w:t>2 to Tier</w:t>
      </w:r>
      <w:r w:rsidR="0071589C">
        <w:t>-</w:t>
      </w:r>
      <w:r>
        <w:t>1 would make sense even in a bull market, in that riding the peaks and troughs is much more manageable</w:t>
      </w:r>
      <w:r w:rsidR="00B6399A">
        <w:t xml:space="preserve"> as a Tier-1 contractor</w:t>
      </w:r>
      <w:r>
        <w:t xml:space="preserve">. </w:t>
      </w:r>
    </w:p>
    <w:p w14:paraId="14BD77F4" w14:textId="1B626C41" w:rsidR="00673B94" w:rsidRDefault="00B91D42" w:rsidP="00760439">
      <w:pPr>
        <w:pStyle w:val="ParaLevel1"/>
        <w:rPr>
          <w:lang w:eastAsia="en-GB"/>
        </w:rPr>
      </w:pPr>
      <w:r>
        <w:rPr>
          <w:lang w:eastAsia="en-GB"/>
        </w:rPr>
        <w:t xml:space="preserve"> </w:t>
      </w:r>
      <w:r w:rsidR="00673B94">
        <w:rPr>
          <w:lang w:eastAsia="en-GB"/>
        </w:rPr>
        <w:t xml:space="preserve">In the joint </w:t>
      </w:r>
      <w:r w:rsidR="0070291B">
        <w:rPr>
          <w:lang w:eastAsia="en-GB"/>
        </w:rPr>
        <w:t xml:space="preserve">experts’ </w:t>
      </w:r>
      <w:r w:rsidR="00673B94">
        <w:rPr>
          <w:lang w:eastAsia="en-GB"/>
        </w:rPr>
        <w:t>report Ms Longworth wrote</w:t>
      </w:r>
      <w:r w:rsidR="0070291B">
        <w:rPr>
          <w:lang w:eastAsia="en-GB"/>
        </w:rPr>
        <w:t>:</w:t>
      </w:r>
    </w:p>
    <w:p w14:paraId="0BB68968" w14:textId="3F881960" w:rsidR="00673B94" w:rsidRDefault="00673B94" w:rsidP="00673B94">
      <w:pPr>
        <w:pStyle w:val="Quote"/>
        <w:rPr>
          <w:lang w:eastAsia="en-GB"/>
        </w:rPr>
      </w:pPr>
      <w:r>
        <w:rPr>
          <w:lang w:eastAsia="en-GB"/>
        </w:rPr>
        <w:t xml:space="preserve">“Based on the information from TK, Sil and GM, </w:t>
      </w:r>
      <w:proofErr w:type="gramStart"/>
      <w:r>
        <w:rPr>
          <w:lang w:eastAsia="en-GB"/>
        </w:rPr>
        <w:t>it would appear that the</w:t>
      </w:r>
      <w:proofErr w:type="gramEnd"/>
      <w:r>
        <w:rPr>
          <w:lang w:eastAsia="en-GB"/>
        </w:rPr>
        <w:t xml:space="preserve"> business will be loss making going forward. TK expects sales to continue at £l00m with substantial increases in staff costs and a reduced margin as more Tier 1 work is taken on a reduced margin, whilst S</w:t>
      </w:r>
      <w:r w:rsidR="00B6399A">
        <w:rPr>
          <w:lang w:eastAsia="en-GB"/>
        </w:rPr>
        <w:t>IL</w:t>
      </w:r>
      <w:r>
        <w:rPr>
          <w:lang w:eastAsia="en-GB"/>
        </w:rPr>
        <w:t xml:space="preserve"> and GM consider loss making contracts will continue despite the new management. SL considers such an outcome incongruous with the investment in high level and expensive staff and the decision to become a 'blue chip' company. There appears to be no commercial justification for the very high level of </w:t>
      </w:r>
      <w:proofErr w:type="gramStart"/>
      <w:r>
        <w:rPr>
          <w:lang w:eastAsia="en-GB"/>
        </w:rPr>
        <w:t>investment, if</w:t>
      </w:r>
      <w:proofErr w:type="gramEnd"/>
      <w:r>
        <w:rPr>
          <w:lang w:eastAsia="en-GB"/>
        </w:rPr>
        <w:t xml:space="preserve"> business performance is not expected to improve. Whilst she acknowledges the issues with pricing and inflationary costs, she does not consider these will impact to the same level going forward given the shorter contract lengths being tendered for and the move to more Tier 1 work. </w:t>
      </w:r>
    </w:p>
    <w:p w14:paraId="6BCDBA53" w14:textId="02F4D5F8" w:rsidR="00B91D42" w:rsidRDefault="00673B94" w:rsidP="00673B94">
      <w:pPr>
        <w:pStyle w:val="Quote"/>
        <w:rPr>
          <w:lang w:eastAsia="en-GB"/>
        </w:rPr>
      </w:pPr>
      <w:r>
        <w:rPr>
          <w:lang w:eastAsia="en-GB"/>
        </w:rPr>
        <w:t>She notes further that the business has a strong balance sheet, with a high cash balance, and that it has grown substantially over the last few years in both turnover and gross profit as shown in the graphs below …”</w:t>
      </w:r>
    </w:p>
    <w:p w14:paraId="02AC7E9B" w14:textId="06F57CCF" w:rsidR="00B91D42" w:rsidRDefault="00673B94" w:rsidP="00760439">
      <w:pPr>
        <w:pStyle w:val="ParaLevel1"/>
        <w:rPr>
          <w:lang w:eastAsia="en-GB"/>
        </w:rPr>
      </w:pPr>
      <w:r>
        <w:rPr>
          <w:lang w:eastAsia="en-GB"/>
        </w:rPr>
        <w:t xml:space="preserve">This view led her to adopt high figures for </w:t>
      </w:r>
      <w:r w:rsidR="00F76E6A">
        <w:rPr>
          <w:lang w:eastAsia="en-GB"/>
        </w:rPr>
        <w:t>future maintainable earnings.</w:t>
      </w:r>
      <w:r w:rsidR="00E22BA4">
        <w:rPr>
          <w:lang w:eastAsia="en-GB"/>
        </w:rPr>
        <w:t xml:space="preserve"> </w:t>
      </w:r>
      <w:r w:rsidR="00392A1E">
        <w:rPr>
          <w:lang w:eastAsia="en-GB"/>
        </w:rPr>
        <w:t xml:space="preserve">She assessed separately the future maintainable earnings of two </w:t>
      </w:r>
      <w:r w:rsidR="0070291B">
        <w:rPr>
          <w:lang w:eastAsia="en-GB"/>
        </w:rPr>
        <w:t xml:space="preserve">distinct </w:t>
      </w:r>
      <w:r w:rsidR="00392A1E">
        <w:rPr>
          <w:lang w:eastAsia="en-GB"/>
        </w:rPr>
        <w:t xml:space="preserve">elements of the business. </w:t>
      </w:r>
      <w:r w:rsidR="00E22BA4">
        <w:rPr>
          <w:lang w:eastAsia="en-GB"/>
        </w:rPr>
        <w:t>The aggregate</w:t>
      </w:r>
      <w:r w:rsidR="00F76E6A" w:rsidRPr="00F76E6A">
        <w:rPr>
          <w:lang w:eastAsia="en-GB"/>
        </w:rPr>
        <w:t xml:space="preserve"> </w:t>
      </w:r>
      <w:r w:rsidR="00F76E6A">
        <w:rPr>
          <w:lang w:eastAsia="en-GB"/>
        </w:rPr>
        <w:t>future maintainable earnings</w:t>
      </w:r>
      <w:r w:rsidR="00E22BA4">
        <w:rPr>
          <w:lang w:eastAsia="en-GB"/>
        </w:rPr>
        <w:t xml:space="preserve"> </w:t>
      </w:r>
      <w:r w:rsidR="00B6399A">
        <w:rPr>
          <w:lang w:eastAsia="en-GB"/>
        </w:rPr>
        <w:t>were</w:t>
      </w:r>
      <w:r w:rsidR="00E22BA4">
        <w:rPr>
          <w:lang w:eastAsia="en-GB"/>
        </w:rPr>
        <w:t xml:space="preserve"> £8.1m. Mr Southgate QC went even further</w:t>
      </w:r>
      <w:r w:rsidR="00B6399A">
        <w:rPr>
          <w:lang w:eastAsia="en-GB"/>
        </w:rPr>
        <w:t>,</w:t>
      </w:r>
      <w:r w:rsidR="00E22BA4">
        <w:rPr>
          <w:lang w:eastAsia="en-GB"/>
        </w:rPr>
        <w:t xml:space="preserve"> urging me to discern, and reflect in my disposition, an indefinable</w:t>
      </w:r>
      <w:r w:rsidR="00392A1E">
        <w:rPr>
          <w:lang w:eastAsia="en-GB"/>
        </w:rPr>
        <w:t xml:space="preserve"> </w:t>
      </w:r>
      <w:r w:rsidR="000A25AA">
        <w:rPr>
          <w:lang w:eastAsia="en-GB"/>
        </w:rPr>
        <w:t>(</w:t>
      </w:r>
      <w:r w:rsidR="00392A1E">
        <w:rPr>
          <w:lang w:eastAsia="en-GB"/>
        </w:rPr>
        <w:t xml:space="preserve">and unvalued) </w:t>
      </w:r>
      <w:r w:rsidR="00E22BA4">
        <w:rPr>
          <w:lang w:eastAsia="en-GB"/>
        </w:rPr>
        <w:t xml:space="preserve">“springboard” </w:t>
      </w:r>
      <w:r w:rsidR="0070291B">
        <w:rPr>
          <w:lang w:eastAsia="en-GB"/>
        </w:rPr>
        <w:t xml:space="preserve">lurking </w:t>
      </w:r>
      <w:r w:rsidR="00E22BA4">
        <w:rPr>
          <w:lang w:eastAsia="en-GB"/>
        </w:rPr>
        <w:t>latent</w:t>
      </w:r>
      <w:r w:rsidR="0070291B">
        <w:rPr>
          <w:lang w:eastAsia="en-GB"/>
        </w:rPr>
        <w:t xml:space="preserve">ly </w:t>
      </w:r>
      <w:r w:rsidR="00E22BA4">
        <w:rPr>
          <w:lang w:eastAsia="en-GB"/>
        </w:rPr>
        <w:t xml:space="preserve">in the transitioned business which will at some point in the future propel the profits skywards. </w:t>
      </w:r>
    </w:p>
    <w:p w14:paraId="40CC9857" w14:textId="7B2E85E2" w:rsidR="00B91D42" w:rsidRDefault="00E22BA4" w:rsidP="00760439">
      <w:pPr>
        <w:pStyle w:val="ParaLevel1"/>
        <w:rPr>
          <w:lang w:eastAsia="en-GB"/>
        </w:rPr>
      </w:pPr>
      <w:r>
        <w:rPr>
          <w:lang w:eastAsia="en-GB"/>
        </w:rPr>
        <w:t xml:space="preserve">On this point I accept the evidence of the husband, Mr Singleton and Mr Kerins. For the reasons given above the sensible decision has been made to transition the business to Tier-1 and thereby to sacrifice the </w:t>
      </w:r>
      <w:r w:rsidR="000E778F">
        <w:rPr>
          <w:lang w:eastAsia="en-GB"/>
        </w:rPr>
        <w:t>p</w:t>
      </w:r>
      <w:r w:rsidR="00B84148">
        <w:rPr>
          <w:lang w:eastAsia="en-GB"/>
        </w:rPr>
        <w:t>rospect</w:t>
      </w:r>
      <w:r>
        <w:rPr>
          <w:lang w:eastAsia="en-GB"/>
        </w:rPr>
        <w:t xml:space="preserve"> of big profits on high margins on </w:t>
      </w:r>
      <w:r w:rsidR="000E778F">
        <w:rPr>
          <w:lang w:eastAsia="en-GB"/>
        </w:rPr>
        <w:t>lower revenue in exchange for the stability and certainty of smaller profits</w:t>
      </w:r>
      <w:r w:rsidR="00B84148">
        <w:rPr>
          <w:lang w:eastAsia="en-GB"/>
        </w:rPr>
        <w:t xml:space="preserve"> on</w:t>
      </w:r>
      <w:r w:rsidR="000E778F">
        <w:rPr>
          <w:lang w:eastAsia="en-GB"/>
        </w:rPr>
        <w:t xml:space="preserve"> lower margins on bigger revenue. I therefore do not accept either the £8m </w:t>
      </w:r>
      <w:r w:rsidR="00392A1E">
        <w:rPr>
          <w:lang w:eastAsia="en-GB"/>
        </w:rPr>
        <w:t xml:space="preserve">future maintainable earnings </w:t>
      </w:r>
      <w:r w:rsidR="000E778F">
        <w:rPr>
          <w:lang w:eastAsia="en-GB"/>
        </w:rPr>
        <w:t>figure o</w:t>
      </w:r>
      <w:r w:rsidR="00604618">
        <w:rPr>
          <w:lang w:eastAsia="en-GB"/>
        </w:rPr>
        <w:t>r</w:t>
      </w:r>
      <w:r w:rsidR="000E778F">
        <w:rPr>
          <w:lang w:eastAsia="en-GB"/>
        </w:rPr>
        <w:t xml:space="preserve"> the springboard argument.</w:t>
      </w:r>
    </w:p>
    <w:p w14:paraId="16830519" w14:textId="2BE85E18" w:rsidR="000D511E" w:rsidRPr="000D511E" w:rsidRDefault="00B603E5" w:rsidP="000D511E">
      <w:pPr>
        <w:pStyle w:val="ParaLevel1"/>
        <w:numPr>
          <w:ilvl w:val="0"/>
          <w:numId w:val="0"/>
        </w:numPr>
        <w:rPr>
          <w:b/>
          <w:bCs/>
          <w:lang w:eastAsia="en-GB"/>
        </w:rPr>
      </w:pPr>
      <w:r>
        <w:rPr>
          <w:b/>
          <w:bCs/>
          <w:lang w:eastAsia="en-GB"/>
        </w:rPr>
        <w:t xml:space="preserve">The impartiality of </w:t>
      </w:r>
      <w:r w:rsidR="000D511E" w:rsidRPr="000D511E">
        <w:rPr>
          <w:b/>
          <w:bCs/>
          <w:lang w:eastAsia="en-GB"/>
        </w:rPr>
        <w:t xml:space="preserve">the experts </w:t>
      </w:r>
    </w:p>
    <w:p w14:paraId="5E494884" w14:textId="12C1B578" w:rsidR="000D511E" w:rsidRDefault="000D511E" w:rsidP="00760439">
      <w:pPr>
        <w:pStyle w:val="ParaLevel1"/>
        <w:rPr>
          <w:lang w:eastAsia="en-GB"/>
        </w:rPr>
      </w:pPr>
      <w:r>
        <w:rPr>
          <w:lang w:eastAsia="en-GB"/>
        </w:rPr>
        <w:t xml:space="preserve">In </w:t>
      </w:r>
      <w:r w:rsidRPr="000D511E">
        <w:rPr>
          <w:i/>
          <w:iCs/>
          <w:lang w:eastAsia="en-GB"/>
        </w:rPr>
        <w:t>Vernon v Bosley (No 1)</w:t>
      </w:r>
      <w:r w:rsidRPr="000D511E">
        <w:rPr>
          <w:lang w:eastAsia="en-GB"/>
        </w:rPr>
        <w:t xml:space="preserve"> [1996] EWCA Civ 1310</w:t>
      </w:r>
      <w:r w:rsidR="00F8549F">
        <w:rPr>
          <w:lang w:eastAsia="en-GB"/>
        </w:rPr>
        <w:t>,</w:t>
      </w:r>
      <w:r>
        <w:rPr>
          <w:lang w:eastAsia="en-GB"/>
        </w:rPr>
        <w:t xml:space="preserve"> Thorpe LJ memorably wrote</w:t>
      </w:r>
      <w:r w:rsidR="007F6B12">
        <w:rPr>
          <w:lang w:eastAsia="en-GB"/>
        </w:rPr>
        <w:t>:</w:t>
      </w:r>
    </w:p>
    <w:p w14:paraId="2F965E16" w14:textId="0C93891E" w:rsidR="000D511E" w:rsidRDefault="000D511E" w:rsidP="000D511E">
      <w:pPr>
        <w:pStyle w:val="Quote"/>
        <w:rPr>
          <w:lang w:eastAsia="en-GB"/>
        </w:rPr>
      </w:pPr>
      <w:bookmarkStart w:id="1" w:name="para286"/>
      <w:r>
        <w:t>“The area of expertise in any case may be likened to a broad street with the plaintiff walking on one pavement and the defendant walking on the opposite one. Somehow the expert must be ever mindful of the need to walk straight down the middle of the road and to resist the temptation to join the party from whom his instructions come on the pavement. It seems to me that the expert</w:t>
      </w:r>
      <w:r w:rsidR="00FE66F3">
        <w:t>’</w:t>
      </w:r>
      <w:r>
        <w:t>s difficulty in resisting the temptation and the blandishments is much increased if he attends the trial for days on end as a member of the litigation team. Some sort of seduction into shared attitudes, assumptions and goals seems to me almost inevitable</w:t>
      </w:r>
      <w:bookmarkEnd w:id="1"/>
      <w:r w:rsidR="00F8549F">
        <w:rPr>
          <w:lang w:eastAsia="en-GB"/>
        </w:rPr>
        <w:t>.</w:t>
      </w:r>
      <w:r>
        <w:rPr>
          <w:lang w:eastAsia="en-GB"/>
        </w:rPr>
        <w:t>”</w:t>
      </w:r>
    </w:p>
    <w:p w14:paraId="3401C201" w14:textId="7E1A06B5" w:rsidR="000D511E" w:rsidRDefault="000A25AA" w:rsidP="00760439">
      <w:pPr>
        <w:pStyle w:val="ParaLevel1"/>
        <w:rPr>
          <w:lang w:eastAsia="en-GB"/>
        </w:rPr>
      </w:pPr>
      <w:r>
        <w:rPr>
          <w:lang w:eastAsia="en-GB"/>
        </w:rPr>
        <w:t xml:space="preserve">That was 16 years ago. But the judicial </w:t>
      </w:r>
      <w:r w:rsidR="0070291B">
        <w:rPr>
          <w:lang w:eastAsia="en-GB"/>
        </w:rPr>
        <w:t>remonstrations</w:t>
      </w:r>
      <w:r>
        <w:rPr>
          <w:lang w:eastAsia="en-GB"/>
        </w:rPr>
        <w:t xml:space="preserve"> have </w:t>
      </w:r>
      <w:r w:rsidR="000D3E7D">
        <w:rPr>
          <w:lang w:eastAsia="en-GB"/>
        </w:rPr>
        <w:t>persisted</w:t>
      </w:r>
      <w:r>
        <w:rPr>
          <w:lang w:eastAsia="en-GB"/>
        </w:rPr>
        <w:t xml:space="preserve">. </w:t>
      </w:r>
      <w:r w:rsidR="003E74B1">
        <w:rPr>
          <w:lang w:eastAsia="en-GB"/>
        </w:rPr>
        <w:t xml:space="preserve">A report in the </w:t>
      </w:r>
      <w:r w:rsidR="00F2468F">
        <w:rPr>
          <w:lang w:eastAsia="en-GB"/>
        </w:rPr>
        <w:t>Law Society’s Gazette on 20 May 2022</w:t>
      </w:r>
      <w:r w:rsidR="00F8549F">
        <w:rPr>
          <w:lang w:eastAsia="en-GB"/>
        </w:rPr>
        <w:t xml:space="preserve">, entitled </w:t>
      </w:r>
      <w:r w:rsidR="00F8549F" w:rsidRPr="001C43D7">
        <w:rPr>
          <w:i/>
          <w:iCs/>
          <w:lang w:eastAsia="en-GB"/>
        </w:rPr>
        <w:t>“Partisan experts can be fatal, Supreme Court justice warns”</w:t>
      </w:r>
      <w:r w:rsidR="00F8549F">
        <w:rPr>
          <w:lang w:eastAsia="en-GB"/>
        </w:rPr>
        <w:t xml:space="preserve">, </w:t>
      </w:r>
      <w:r w:rsidR="00F2468F">
        <w:rPr>
          <w:lang w:eastAsia="en-GB"/>
        </w:rPr>
        <w:t>recorded Lord Hamblen making the following remarks</w:t>
      </w:r>
      <w:r w:rsidR="004E73B0">
        <w:rPr>
          <w:lang w:eastAsia="en-GB"/>
        </w:rPr>
        <w:t xml:space="preserve">, in </w:t>
      </w:r>
      <w:r w:rsidR="00FE66F3">
        <w:rPr>
          <w:lang w:eastAsia="en-GB"/>
        </w:rPr>
        <w:t xml:space="preserve">an </w:t>
      </w:r>
      <w:r w:rsidR="004E73B0">
        <w:rPr>
          <w:lang w:eastAsia="en-GB"/>
        </w:rPr>
        <w:t>almost identical vein,</w:t>
      </w:r>
      <w:r w:rsidR="00F2468F">
        <w:rPr>
          <w:lang w:eastAsia="en-GB"/>
        </w:rPr>
        <w:t xml:space="preserve"> at a legal conference</w:t>
      </w:r>
      <w:r w:rsidR="00F8549F">
        <w:rPr>
          <w:lang w:eastAsia="en-GB"/>
        </w:rPr>
        <w:t>:</w:t>
      </w:r>
    </w:p>
    <w:p w14:paraId="74ADC3BA" w14:textId="17AFB0E4" w:rsidR="00F2468F" w:rsidRDefault="00F2468F" w:rsidP="00F2468F">
      <w:pPr>
        <w:pStyle w:val="Quote"/>
        <w:rPr>
          <w:szCs w:val="24"/>
          <w:lang w:eastAsia="en-GB"/>
        </w:rPr>
      </w:pPr>
      <w:r>
        <w:t>“A Supreme Court justice today told experts that they must avoid the risk of taking sides and advocating for their instructing party. Lord Hamblen told the Expert Witness Institute that cases where experts were admonished for being partisan by the court had occurred ‘far too often’ in recent years – each time to the detriment of those they speak for.</w:t>
      </w:r>
    </w:p>
    <w:p w14:paraId="493AB127" w14:textId="0498043C" w:rsidR="00F2468F" w:rsidRDefault="004E73B0" w:rsidP="00F2468F">
      <w:pPr>
        <w:pStyle w:val="Quote"/>
      </w:pPr>
      <w:r>
        <w:t xml:space="preserve">[Lord] </w:t>
      </w:r>
      <w:r w:rsidR="00F2468F">
        <w:t>Hamblen said witnesses should refrain from becoming an advocate themselves and give evidence in such a way that you would not know which side has instructed them. ’There is nothing more fatal to the acceptability of an expert’s evidence than the questions of independence and impartiality,’ he said. ‘It will taint all [and] it is therefore vital to avoid any hint of partiality.</w:t>
      </w:r>
    </w:p>
    <w:p w14:paraId="7F4B049A" w14:textId="7DA1850D" w:rsidR="00F2468F" w:rsidRDefault="00F2468F" w:rsidP="00F2468F">
      <w:pPr>
        <w:pStyle w:val="Quote"/>
        <w:rPr>
          <w:lang w:eastAsia="en-GB"/>
        </w:rPr>
      </w:pPr>
      <w:r>
        <w:t>‘It is counsel’s job to argue a case – that is not the role of an expert. If you give evidence in an argumentative manner that will undermine your independence.</w:t>
      </w:r>
      <w:r w:rsidR="00F8549F">
        <w:t>’</w:t>
      </w:r>
      <w:r>
        <w:t>”</w:t>
      </w:r>
      <w:r w:rsidR="00F8549F">
        <w:rPr>
          <w:rStyle w:val="FootnoteReference"/>
        </w:rPr>
        <w:footnoteReference w:id="3"/>
      </w:r>
      <w:r>
        <w:rPr>
          <w:lang w:eastAsia="en-GB"/>
        </w:rPr>
        <w:t xml:space="preserve"> </w:t>
      </w:r>
    </w:p>
    <w:p w14:paraId="2633F36D" w14:textId="6805BEB6" w:rsidR="00DF0866" w:rsidRDefault="00F2468F" w:rsidP="00760439">
      <w:pPr>
        <w:pStyle w:val="ParaLevel1"/>
        <w:rPr>
          <w:lang w:eastAsia="en-GB"/>
        </w:rPr>
      </w:pPr>
      <w:r>
        <w:rPr>
          <w:lang w:eastAsia="en-GB"/>
        </w:rPr>
        <w:t xml:space="preserve">While I have no concerns at all about the impartiality of </w:t>
      </w:r>
      <w:proofErr w:type="gramStart"/>
      <w:r>
        <w:rPr>
          <w:lang w:eastAsia="en-GB"/>
        </w:rPr>
        <w:t>Ms Longworth</w:t>
      </w:r>
      <w:proofErr w:type="gramEnd"/>
      <w:r>
        <w:rPr>
          <w:lang w:eastAsia="en-GB"/>
        </w:rPr>
        <w:t xml:space="preserve"> I have to record my clear </w:t>
      </w:r>
      <w:r w:rsidR="00E91FC3">
        <w:rPr>
          <w:lang w:eastAsia="en-GB"/>
        </w:rPr>
        <w:t xml:space="preserve">conclusion that Mr Singleton walked </w:t>
      </w:r>
      <w:r w:rsidR="00B23105">
        <w:rPr>
          <w:lang w:eastAsia="en-GB"/>
        </w:rPr>
        <w:t xml:space="preserve">on the pavement </w:t>
      </w:r>
      <w:r w:rsidR="007A21CE">
        <w:rPr>
          <w:lang w:eastAsia="en-GB"/>
        </w:rPr>
        <w:t>hand-in-</w:t>
      </w:r>
      <w:r w:rsidR="00310734">
        <w:rPr>
          <w:lang w:eastAsia="en-GB"/>
        </w:rPr>
        <w:t>h</w:t>
      </w:r>
      <w:r w:rsidR="007A21CE">
        <w:rPr>
          <w:lang w:eastAsia="en-GB"/>
        </w:rPr>
        <w:t xml:space="preserve">and </w:t>
      </w:r>
      <w:r w:rsidR="00E91FC3">
        <w:rPr>
          <w:lang w:eastAsia="en-GB"/>
        </w:rPr>
        <w:t xml:space="preserve">with the husband. </w:t>
      </w:r>
      <w:r w:rsidR="00DF0866">
        <w:rPr>
          <w:lang w:eastAsia="en-GB"/>
        </w:rPr>
        <w:t>I acknowledge that Mr Singleton is a highly proficient</w:t>
      </w:r>
      <w:r w:rsidR="007A21CE">
        <w:rPr>
          <w:lang w:eastAsia="en-GB"/>
        </w:rPr>
        <w:t>,</w:t>
      </w:r>
      <w:r w:rsidR="00DF0866">
        <w:rPr>
          <w:lang w:eastAsia="en-GB"/>
        </w:rPr>
        <w:t xml:space="preserve"> knowledgeable</w:t>
      </w:r>
      <w:r w:rsidR="00B84148">
        <w:rPr>
          <w:lang w:eastAsia="en-GB"/>
        </w:rPr>
        <w:t>,</w:t>
      </w:r>
      <w:r w:rsidR="00DF0866">
        <w:rPr>
          <w:lang w:eastAsia="en-GB"/>
        </w:rPr>
        <w:t xml:space="preserve"> intelligent</w:t>
      </w:r>
      <w:r w:rsidR="00310734">
        <w:rPr>
          <w:lang w:eastAsia="en-GB"/>
        </w:rPr>
        <w:t>,</w:t>
      </w:r>
      <w:r w:rsidR="00DF0866">
        <w:rPr>
          <w:lang w:eastAsia="en-GB"/>
        </w:rPr>
        <w:t xml:space="preserve"> </w:t>
      </w:r>
      <w:r w:rsidR="00B84148">
        <w:rPr>
          <w:lang w:eastAsia="en-GB"/>
        </w:rPr>
        <w:t xml:space="preserve">and articulate </w:t>
      </w:r>
      <w:r w:rsidR="00DF0866">
        <w:rPr>
          <w:lang w:eastAsia="en-GB"/>
        </w:rPr>
        <w:t xml:space="preserve">accountant who has fully immersed himself in the detail of the operation of Galldris. I also acknowledge that for an expert to give his or her </w:t>
      </w:r>
      <w:r w:rsidR="007A21CE">
        <w:rPr>
          <w:lang w:eastAsia="en-GB"/>
        </w:rPr>
        <w:t xml:space="preserve">oral </w:t>
      </w:r>
      <w:r w:rsidR="00DF0866">
        <w:rPr>
          <w:lang w:eastAsia="en-GB"/>
        </w:rPr>
        <w:t xml:space="preserve">evidence </w:t>
      </w:r>
      <w:r w:rsidR="004E73B0">
        <w:rPr>
          <w:lang w:eastAsia="en-GB"/>
        </w:rPr>
        <w:t xml:space="preserve">forthrightly </w:t>
      </w:r>
      <w:r w:rsidR="00DF0866">
        <w:rPr>
          <w:lang w:eastAsia="en-GB"/>
        </w:rPr>
        <w:t xml:space="preserve">in support of his written opinion is not of itself indicative of partiality. I further acknowledge that </w:t>
      </w:r>
      <w:r w:rsidR="007A685A">
        <w:rPr>
          <w:lang w:eastAsia="en-GB"/>
        </w:rPr>
        <w:t xml:space="preserve">some might say that </w:t>
      </w:r>
      <w:r w:rsidR="00DF0866">
        <w:rPr>
          <w:lang w:eastAsia="en-GB"/>
        </w:rPr>
        <w:t xml:space="preserve">the </w:t>
      </w:r>
      <w:r w:rsidR="007E364A">
        <w:rPr>
          <w:lang w:eastAsia="en-GB"/>
        </w:rPr>
        <w:t>forceful</w:t>
      </w:r>
      <w:r w:rsidR="00B23105">
        <w:rPr>
          <w:lang w:eastAsia="en-GB"/>
        </w:rPr>
        <w:t xml:space="preserve"> </w:t>
      </w:r>
      <w:r w:rsidR="0070291B">
        <w:rPr>
          <w:lang w:eastAsia="en-GB"/>
        </w:rPr>
        <w:t xml:space="preserve">judicial </w:t>
      </w:r>
      <w:r w:rsidR="00DF0866">
        <w:rPr>
          <w:lang w:eastAsia="en-GB"/>
        </w:rPr>
        <w:t>demand</w:t>
      </w:r>
      <w:r w:rsidR="007E364A">
        <w:rPr>
          <w:lang w:eastAsia="en-GB"/>
        </w:rPr>
        <w:t>s</w:t>
      </w:r>
      <w:r w:rsidR="00DF0866">
        <w:rPr>
          <w:lang w:eastAsia="en-GB"/>
        </w:rPr>
        <w:t xml:space="preserve"> </w:t>
      </w:r>
      <w:r w:rsidR="007A21CE">
        <w:rPr>
          <w:lang w:eastAsia="en-GB"/>
        </w:rPr>
        <w:t>for</w:t>
      </w:r>
      <w:r w:rsidR="00DF0866">
        <w:rPr>
          <w:lang w:eastAsia="en-GB"/>
        </w:rPr>
        <w:t xml:space="preserve"> impartiality </w:t>
      </w:r>
      <w:r w:rsidR="007E364A">
        <w:rPr>
          <w:lang w:eastAsia="en-GB"/>
        </w:rPr>
        <w:t>are</w:t>
      </w:r>
      <w:r w:rsidR="00001876">
        <w:rPr>
          <w:lang w:eastAsia="en-GB"/>
        </w:rPr>
        <w:t xml:space="preserve"> tinged with unworldliness</w:t>
      </w:r>
      <w:r w:rsidR="00DF0866">
        <w:rPr>
          <w:lang w:eastAsia="en-GB"/>
        </w:rPr>
        <w:t xml:space="preserve">. It seems to me to be </w:t>
      </w:r>
      <w:r w:rsidR="0070291B">
        <w:rPr>
          <w:lang w:eastAsia="en-GB"/>
        </w:rPr>
        <w:t>not un</w:t>
      </w:r>
      <w:r w:rsidR="00DF0866">
        <w:rPr>
          <w:lang w:eastAsia="en-GB"/>
        </w:rPr>
        <w:t xml:space="preserve">likely that subconscious forces </w:t>
      </w:r>
      <w:r w:rsidR="00CA3E10">
        <w:rPr>
          <w:lang w:eastAsia="en-GB"/>
        </w:rPr>
        <w:t xml:space="preserve">may well </w:t>
      </w:r>
      <w:r w:rsidR="00DF0866">
        <w:rPr>
          <w:lang w:eastAsia="en-GB"/>
        </w:rPr>
        <w:t>incline an expert, who is being handsomely paid by one of the parties, to give evidence favourable to that party. Solemn statements have been made for</w:t>
      </w:r>
      <w:r w:rsidR="00782C62">
        <w:rPr>
          <w:lang w:eastAsia="en-GB"/>
        </w:rPr>
        <w:t xml:space="preserve"> decades a</w:t>
      </w:r>
      <w:r w:rsidR="007A21CE">
        <w:rPr>
          <w:lang w:eastAsia="en-GB"/>
        </w:rPr>
        <w:t xml:space="preserve">bout </w:t>
      </w:r>
      <w:r w:rsidR="00782C62">
        <w:rPr>
          <w:lang w:eastAsia="en-GB"/>
        </w:rPr>
        <w:t>the duty of experts to be impartial</w:t>
      </w:r>
      <w:r w:rsidR="00310734">
        <w:rPr>
          <w:lang w:eastAsia="en-GB"/>
        </w:rPr>
        <w:t>,</w:t>
      </w:r>
      <w:r w:rsidR="00782C62">
        <w:rPr>
          <w:lang w:eastAsia="en-GB"/>
        </w:rPr>
        <w:t xml:space="preserve"> but I have yet to see in a financial remedy case an expert</w:t>
      </w:r>
      <w:r w:rsidR="004E73B0">
        <w:rPr>
          <w:lang w:eastAsia="en-GB"/>
        </w:rPr>
        <w:t>,</w:t>
      </w:r>
      <w:r w:rsidR="00782C62">
        <w:rPr>
          <w:lang w:eastAsia="en-GB"/>
        </w:rPr>
        <w:t xml:space="preserve"> instructed and paid for by </w:t>
      </w:r>
      <w:r w:rsidR="007D6F51">
        <w:rPr>
          <w:lang w:eastAsia="en-GB"/>
        </w:rPr>
        <w:t>one</w:t>
      </w:r>
      <w:r w:rsidR="00782C62">
        <w:rPr>
          <w:lang w:eastAsia="en-GB"/>
        </w:rPr>
        <w:t xml:space="preserve"> party</w:t>
      </w:r>
      <w:r w:rsidR="004E73B0">
        <w:rPr>
          <w:lang w:eastAsia="en-GB"/>
        </w:rPr>
        <w:t>,</w:t>
      </w:r>
      <w:r w:rsidR="00782C62">
        <w:rPr>
          <w:lang w:eastAsia="en-GB"/>
        </w:rPr>
        <w:t xml:space="preserve"> give evidence adverse to that party’s interests and strongly in favour of the other </w:t>
      </w:r>
      <w:proofErr w:type="gramStart"/>
      <w:r w:rsidR="007A21CE">
        <w:rPr>
          <w:lang w:eastAsia="en-GB"/>
        </w:rPr>
        <w:t>party’s</w:t>
      </w:r>
      <w:proofErr w:type="gramEnd"/>
      <w:r w:rsidR="00782C62">
        <w:rPr>
          <w:lang w:eastAsia="en-GB"/>
        </w:rPr>
        <w:t xml:space="preserve">. </w:t>
      </w:r>
    </w:p>
    <w:p w14:paraId="62EEFBE8" w14:textId="41FC3CF1" w:rsidR="007A21CE" w:rsidRDefault="0006646E" w:rsidP="00655FCB">
      <w:pPr>
        <w:pStyle w:val="ParaLevel1"/>
        <w:rPr>
          <w:lang w:eastAsia="en-GB"/>
        </w:rPr>
      </w:pPr>
      <w:r>
        <w:rPr>
          <w:lang w:eastAsia="en-GB"/>
        </w:rPr>
        <w:t>E</w:t>
      </w:r>
      <w:r w:rsidR="00782C62">
        <w:rPr>
          <w:lang w:eastAsia="en-GB"/>
        </w:rPr>
        <w:t xml:space="preserve">ven so, </w:t>
      </w:r>
      <w:r w:rsidR="00E91FC3">
        <w:rPr>
          <w:lang w:eastAsia="en-GB"/>
        </w:rPr>
        <w:t>I agree with Mr Southgate QC that</w:t>
      </w:r>
      <w:r w:rsidR="00782C62">
        <w:rPr>
          <w:lang w:eastAsia="en-GB"/>
        </w:rPr>
        <w:t xml:space="preserve"> Mr Singleton </w:t>
      </w:r>
      <w:r w:rsidR="00E91FC3">
        <w:rPr>
          <w:lang w:eastAsia="en-GB"/>
        </w:rPr>
        <w:t>did not deal with Ms Longworth in a</w:t>
      </w:r>
      <w:r w:rsidR="004E73B0">
        <w:rPr>
          <w:lang w:eastAsia="en-GB"/>
        </w:rPr>
        <w:t>n</w:t>
      </w:r>
      <w:r w:rsidR="00E91FC3">
        <w:rPr>
          <w:lang w:eastAsia="en-GB"/>
        </w:rPr>
        <w:t xml:space="preserve"> </w:t>
      </w:r>
      <w:r w:rsidR="00284F93">
        <w:rPr>
          <w:lang w:eastAsia="en-GB"/>
        </w:rPr>
        <w:t xml:space="preserve">open, impartial way but rather in </w:t>
      </w:r>
      <w:r w:rsidR="00CA3E10">
        <w:rPr>
          <w:lang w:eastAsia="en-GB"/>
        </w:rPr>
        <w:t>a</w:t>
      </w:r>
      <w:r w:rsidR="00284F93">
        <w:rPr>
          <w:lang w:eastAsia="en-GB"/>
        </w:rPr>
        <w:t xml:space="preserve"> strategic defensive manner that has </w:t>
      </w:r>
      <w:r w:rsidR="007A21CE">
        <w:rPr>
          <w:lang w:eastAsia="en-GB"/>
        </w:rPr>
        <w:t xml:space="preserve">all </w:t>
      </w:r>
      <w:r w:rsidR="00284F93">
        <w:rPr>
          <w:lang w:eastAsia="en-GB"/>
        </w:rPr>
        <w:t xml:space="preserve">the hallmarks of </w:t>
      </w:r>
      <w:r w:rsidR="004E73B0">
        <w:rPr>
          <w:lang w:eastAsia="en-GB"/>
        </w:rPr>
        <w:t xml:space="preserve">the mentality of </w:t>
      </w:r>
      <w:r w:rsidR="00284F93">
        <w:rPr>
          <w:lang w:eastAsia="en-GB"/>
        </w:rPr>
        <w:t>an advocate. I agree that his attendance throughout the two</w:t>
      </w:r>
      <w:r w:rsidR="00624425">
        <w:rPr>
          <w:lang w:eastAsia="en-GB"/>
        </w:rPr>
        <w:t>-</w:t>
      </w:r>
      <w:r w:rsidR="00284F93">
        <w:rPr>
          <w:lang w:eastAsia="en-GB"/>
        </w:rPr>
        <w:t xml:space="preserve">day private FDR is highly suggestive of </w:t>
      </w:r>
      <w:r w:rsidR="00782C62" w:rsidRPr="002D3369">
        <w:rPr>
          <w:i/>
          <w:iCs/>
          <w:lang w:eastAsia="en-GB"/>
        </w:rPr>
        <w:t>de facto</w:t>
      </w:r>
      <w:r w:rsidR="00782C62">
        <w:rPr>
          <w:lang w:eastAsia="en-GB"/>
        </w:rPr>
        <w:t xml:space="preserve"> </w:t>
      </w:r>
      <w:r w:rsidR="00284F93">
        <w:rPr>
          <w:lang w:eastAsia="en-GB"/>
        </w:rPr>
        <w:t xml:space="preserve">membership of the husband’s team. </w:t>
      </w:r>
      <w:r w:rsidR="00C20D14">
        <w:rPr>
          <w:lang w:eastAsia="en-GB"/>
        </w:rPr>
        <w:t xml:space="preserve">He </w:t>
      </w:r>
      <w:r w:rsidR="00624425">
        <w:rPr>
          <w:lang w:eastAsia="en-GB"/>
        </w:rPr>
        <w:t xml:space="preserve">also </w:t>
      </w:r>
      <w:r w:rsidR="00C20D14">
        <w:rPr>
          <w:lang w:eastAsia="en-GB"/>
        </w:rPr>
        <w:t xml:space="preserve">wrote an </w:t>
      </w:r>
      <w:r w:rsidR="007D2C70">
        <w:rPr>
          <w:lang w:eastAsia="en-GB"/>
        </w:rPr>
        <w:t>email o</w:t>
      </w:r>
      <w:r w:rsidR="00C20D14">
        <w:rPr>
          <w:lang w:eastAsia="en-GB"/>
        </w:rPr>
        <w:t>n</w:t>
      </w:r>
      <w:r w:rsidR="007D2C70">
        <w:rPr>
          <w:lang w:eastAsia="en-GB"/>
        </w:rPr>
        <w:t xml:space="preserve"> 26 September 2021 to Mr Kerins about a possible comparable transaction stat</w:t>
      </w:r>
      <w:r w:rsidR="00C20D14">
        <w:rPr>
          <w:lang w:eastAsia="en-GB"/>
        </w:rPr>
        <w:t>ing</w:t>
      </w:r>
      <w:r w:rsidR="007D2C70">
        <w:rPr>
          <w:lang w:eastAsia="en-GB"/>
        </w:rPr>
        <w:t xml:space="preserve"> “</w:t>
      </w:r>
      <w:r w:rsidR="00C20D14">
        <w:rPr>
          <w:lang w:eastAsia="en-GB"/>
        </w:rPr>
        <w:t xml:space="preserve">it is a great comparable </w:t>
      </w:r>
      <w:r w:rsidR="00C20D14" w:rsidRPr="003D3EB2">
        <w:rPr>
          <w:u w:val="single"/>
          <w:lang w:eastAsia="en-GB"/>
        </w:rPr>
        <w:t>and we can argue that</w:t>
      </w:r>
      <w:r w:rsidR="00C20D14">
        <w:rPr>
          <w:lang w:eastAsia="en-GB"/>
        </w:rPr>
        <w:t xml:space="preserve"> the contracts it has are longer term and more secure than those within Galldris”</w:t>
      </w:r>
      <w:r w:rsidR="003D3EB2">
        <w:rPr>
          <w:lang w:eastAsia="en-GB"/>
        </w:rPr>
        <w:t xml:space="preserve"> (</w:t>
      </w:r>
      <w:r w:rsidR="003D3EB2" w:rsidRPr="002D3369">
        <w:rPr>
          <w:u w:val="single"/>
          <w:lang w:eastAsia="en-GB"/>
        </w:rPr>
        <w:t>my emphasis</w:t>
      </w:r>
      <w:r w:rsidR="003D3EB2">
        <w:rPr>
          <w:lang w:eastAsia="en-GB"/>
        </w:rPr>
        <w:t>)</w:t>
      </w:r>
      <w:r w:rsidR="00C20D14">
        <w:rPr>
          <w:lang w:eastAsia="en-GB"/>
        </w:rPr>
        <w:t>. This laid bare his perceived membership of the husband’s team. H</w:t>
      </w:r>
      <w:r w:rsidR="007A21CE">
        <w:rPr>
          <w:lang w:eastAsia="en-GB"/>
        </w:rPr>
        <w:t>is written evidence put forward figures for A and B which were as low as he could tenably go without falling off the spectrum altogether. They were not impartial figures.</w:t>
      </w:r>
    </w:p>
    <w:p w14:paraId="0F3E6C42" w14:textId="5C9CA7FE" w:rsidR="00F2468F" w:rsidRDefault="00284F93" w:rsidP="00760439">
      <w:pPr>
        <w:pStyle w:val="ParaLevel1"/>
        <w:rPr>
          <w:lang w:eastAsia="en-GB"/>
        </w:rPr>
      </w:pPr>
      <w:r>
        <w:rPr>
          <w:lang w:eastAsia="en-GB"/>
        </w:rPr>
        <w:t>The evidence of the experts was hot-</w:t>
      </w:r>
      <w:proofErr w:type="gramStart"/>
      <w:r>
        <w:rPr>
          <w:lang w:eastAsia="en-GB"/>
        </w:rPr>
        <w:t>tubbed</w:t>
      </w:r>
      <w:proofErr w:type="gramEnd"/>
      <w:r>
        <w:rPr>
          <w:lang w:eastAsia="en-GB"/>
        </w:rPr>
        <w:t xml:space="preserve"> and I allowed the</w:t>
      </w:r>
      <w:r w:rsidR="00782C62">
        <w:rPr>
          <w:lang w:eastAsia="en-GB"/>
        </w:rPr>
        <w:t>m</w:t>
      </w:r>
      <w:r>
        <w:rPr>
          <w:lang w:eastAsia="en-GB"/>
        </w:rPr>
        <w:t xml:space="preserve"> politely to interrupt each other. Mr Singleton’s interruptions were forthright, </w:t>
      </w:r>
      <w:proofErr w:type="gramStart"/>
      <w:r>
        <w:rPr>
          <w:lang w:eastAsia="en-GB"/>
        </w:rPr>
        <w:t>abrasive</w:t>
      </w:r>
      <w:proofErr w:type="gramEnd"/>
      <w:r>
        <w:rPr>
          <w:lang w:eastAsia="en-GB"/>
        </w:rPr>
        <w:t xml:space="preserve"> and adversarial, even </w:t>
      </w:r>
      <w:r w:rsidR="00C20D14">
        <w:rPr>
          <w:lang w:eastAsia="en-GB"/>
        </w:rPr>
        <w:t xml:space="preserve">degenerating </w:t>
      </w:r>
      <w:r>
        <w:rPr>
          <w:lang w:eastAsia="en-GB"/>
        </w:rPr>
        <w:t xml:space="preserve">on one occasion to him </w:t>
      </w:r>
      <w:r w:rsidR="007D6F51">
        <w:rPr>
          <w:lang w:eastAsia="en-GB"/>
        </w:rPr>
        <w:t>rebuking</w:t>
      </w:r>
      <w:r>
        <w:rPr>
          <w:lang w:eastAsia="en-GB"/>
        </w:rPr>
        <w:t xml:space="preserve"> the court for </w:t>
      </w:r>
      <w:r w:rsidR="00DF0866">
        <w:rPr>
          <w:lang w:eastAsia="en-GB"/>
        </w:rPr>
        <w:t>allowing Ms Longworth to descend</w:t>
      </w:r>
      <w:r w:rsidR="00B23105">
        <w:rPr>
          <w:lang w:eastAsia="en-GB"/>
        </w:rPr>
        <w:t>,</w:t>
      </w:r>
      <w:r w:rsidR="00DF0866">
        <w:rPr>
          <w:lang w:eastAsia="en-GB"/>
        </w:rPr>
        <w:t xml:space="preserve"> in his opinion</w:t>
      </w:r>
      <w:r w:rsidR="00B23105">
        <w:rPr>
          <w:lang w:eastAsia="en-GB"/>
        </w:rPr>
        <w:t>,</w:t>
      </w:r>
      <w:r w:rsidR="00DF0866">
        <w:rPr>
          <w:lang w:eastAsia="en-GB"/>
        </w:rPr>
        <w:t xml:space="preserve"> to excessive deta</w:t>
      </w:r>
      <w:r w:rsidR="009637C2">
        <w:rPr>
          <w:lang w:eastAsia="en-GB"/>
        </w:rPr>
        <w:t>il</w:t>
      </w:r>
      <w:r w:rsidR="007A21CE">
        <w:rPr>
          <w:lang w:eastAsia="en-GB"/>
        </w:rPr>
        <w:t>.</w:t>
      </w:r>
    </w:p>
    <w:p w14:paraId="3B14EBEF" w14:textId="16EF9E40" w:rsidR="00782C62" w:rsidRDefault="00782C62" w:rsidP="00760439">
      <w:pPr>
        <w:pStyle w:val="ParaLevel1"/>
        <w:rPr>
          <w:lang w:eastAsia="en-GB"/>
        </w:rPr>
      </w:pPr>
      <w:r>
        <w:rPr>
          <w:lang w:eastAsia="en-GB"/>
        </w:rPr>
        <w:t xml:space="preserve">I therefore do regard Mr Singleton as </w:t>
      </w:r>
      <w:r w:rsidRPr="002D3369">
        <w:rPr>
          <w:i/>
          <w:iCs/>
          <w:lang w:eastAsia="en-GB"/>
        </w:rPr>
        <w:t>parti pris</w:t>
      </w:r>
      <w:r>
        <w:rPr>
          <w:lang w:eastAsia="en-GB"/>
        </w:rPr>
        <w:t>. However, as indicated above</w:t>
      </w:r>
      <w:r w:rsidR="00A77C5E">
        <w:rPr>
          <w:lang w:eastAsia="en-GB"/>
        </w:rPr>
        <w:t>,</w:t>
      </w:r>
      <w:r>
        <w:rPr>
          <w:lang w:eastAsia="en-GB"/>
        </w:rPr>
        <w:t xml:space="preserve"> I am satisfied that he has accurately recorded the nature and respective functions of Tier</w:t>
      </w:r>
      <w:r w:rsidR="0071589C">
        <w:rPr>
          <w:lang w:eastAsia="en-GB"/>
        </w:rPr>
        <w:t>-</w:t>
      </w:r>
      <w:r>
        <w:rPr>
          <w:lang w:eastAsia="en-GB"/>
        </w:rPr>
        <w:t>1 and Tier</w:t>
      </w:r>
      <w:r w:rsidR="0071589C">
        <w:rPr>
          <w:lang w:eastAsia="en-GB"/>
        </w:rPr>
        <w:t>-</w:t>
      </w:r>
      <w:r>
        <w:rPr>
          <w:lang w:eastAsia="en-GB"/>
        </w:rPr>
        <w:t>2 contractors and</w:t>
      </w:r>
      <w:r w:rsidR="00A55C87">
        <w:rPr>
          <w:lang w:eastAsia="en-GB"/>
        </w:rPr>
        <w:t xml:space="preserve"> </w:t>
      </w:r>
      <w:r>
        <w:rPr>
          <w:lang w:eastAsia="en-GB"/>
        </w:rPr>
        <w:t>has accurately recorded the reasons why Galldris has made the decision to transition to Tier</w:t>
      </w:r>
      <w:r w:rsidR="0071589C">
        <w:rPr>
          <w:lang w:eastAsia="en-GB"/>
        </w:rPr>
        <w:t>-</w:t>
      </w:r>
      <w:r>
        <w:rPr>
          <w:lang w:eastAsia="en-GB"/>
        </w:rPr>
        <w:t>1. Had he been more impartial I believe that he would have insisted on forecasts for 2023 and subsequent years being produced</w:t>
      </w:r>
      <w:r w:rsidR="007A21CE">
        <w:rPr>
          <w:lang w:eastAsia="en-GB"/>
        </w:rPr>
        <w:t>. However</w:t>
      </w:r>
      <w:r w:rsidR="00624425">
        <w:rPr>
          <w:lang w:eastAsia="en-GB"/>
        </w:rPr>
        <w:t>,</w:t>
      </w:r>
      <w:r w:rsidR="007A21CE">
        <w:rPr>
          <w:lang w:eastAsia="en-GB"/>
        </w:rPr>
        <w:t xml:space="preserve"> the absence of those forecasts is not </w:t>
      </w:r>
      <w:r w:rsidR="00BA3606">
        <w:rPr>
          <w:lang w:eastAsia="en-GB"/>
        </w:rPr>
        <w:t xml:space="preserve">to </w:t>
      </w:r>
      <w:r w:rsidR="007A21CE">
        <w:rPr>
          <w:lang w:eastAsia="en-GB"/>
        </w:rPr>
        <w:t>be laid at his door.</w:t>
      </w:r>
      <w:r>
        <w:rPr>
          <w:lang w:eastAsia="en-GB"/>
        </w:rPr>
        <w:t xml:space="preserve"> </w:t>
      </w:r>
    </w:p>
    <w:p w14:paraId="342C4094" w14:textId="2AC7C47A" w:rsidR="00A55C87" w:rsidRDefault="00A55C87" w:rsidP="00760439">
      <w:pPr>
        <w:pStyle w:val="ParaLevel1"/>
        <w:rPr>
          <w:lang w:eastAsia="en-GB"/>
        </w:rPr>
      </w:pPr>
      <w:r>
        <w:rPr>
          <w:lang w:eastAsia="en-GB"/>
        </w:rPr>
        <w:t>Even absent my conclusions about his partiality</w:t>
      </w:r>
      <w:r w:rsidR="007D6F51">
        <w:rPr>
          <w:lang w:eastAsia="en-GB"/>
        </w:rPr>
        <w:t>,</w:t>
      </w:r>
      <w:r>
        <w:rPr>
          <w:lang w:eastAsia="en-GB"/>
        </w:rPr>
        <w:t xml:space="preserve"> I would not have accepted his figures for A and B. But I agree with Lord Hamblen that his partiality deals a fatal blow to his </w:t>
      </w:r>
      <w:r w:rsidR="003D3EB2">
        <w:rPr>
          <w:lang w:eastAsia="en-GB"/>
        </w:rPr>
        <w:t>use</w:t>
      </w:r>
      <w:r>
        <w:rPr>
          <w:lang w:eastAsia="en-GB"/>
        </w:rPr>
        <w:t xml:space="preserve"> of those figures.</w:t>
      </w:r>
    </w:p>
    <w:p w14:paraId="20CAADD0" w14:textId="0C6E8D79" w:rsidR="00B91D42" w:rsidRPr="00F76E6A" w:rsidRDefault="005F7A2C" w:rsidP="005F7A2C">
      <w:pPr>
        <w:pStyle w:val="ParaLevel1"/>
        <w:numPr>
          <w:ilvl w:val="0"/>
          <w:numId w:val="0"/>
        </w:numPr>
        <w:rPr>
          <w:b/>
          <w:bCs/>
          <w:lang w:eastAsia="en-GB"/>
        </w:rPr>
      </w:pPr>
      <w:r w:rsidRPr="00F76E6A">
        <w:rPr>
          <w:b/>
          <w:bCs/>
          <w:lang w:eastAsia="en-GB"/>
        </w:rPr>
        <w:t xml:space="preserve">Future maintainable earnings </w:t>
      </w:r>
    </w:p>
    <w:p w14:paraId="52898378" w14:textId="6085B0E3" w:rsidR="00A55C87" w:rsidRDefault="00A55C87" w:rsidP="00760439">
      <w:pPr>
        <w:pStyle w:val="ParaLevel1"/>
        <w:rPr>
          <w:lang w:eastAsia="en-GB"/>
        </w:rPr>
      </w:pPr>
      <w:r>
        <w:rPr>
          <w:lang w:eastAsia="en-GB"/>
        </w:rPr>
        <w:t>I have explained above why I cannot accept Ms Longworth’s future maintainable earnings figure of £</w:t>
      </w:r>
      <w:r w:rsidRPr="00A55C87">
        <w:rPr>
          <w:lang w:eastAsia="en-GB"/>
        </w:rPr>
        <w:t>8,117,000</w:t>
      </w:r>
      <w:r>
        <w:rPr>
          <w:lang w:eastAsia="en-GB"/>
        </w:rPr>
        <w:t>. I do not dispute</w:t>
      </w:r>
      <w:r w:rsidR="00EE40DA">
        <w:rPr>
          <w:lang w:eastAsia="en-GB"/>
        </w:rPr>
        <w:t xml:space="preserve"> the logic of her arguments in favour of that </w:t>
      </w:r>
      <w:proofErr w:type="gramStart"/>
      <w:r w:rsidR="00EE40DA">
        <w:rPr>
          <w:lang w:eastAsia="en-GB"/>
        </w:rPr>
        <w:t>prediction</w:t>
      </w:r>
      <w:proofErr w:type="gramEnd"/>
      <w:r w:rsidR="00EE40DA">
        <w:rPr>
          <w:lang w:eastAsia="en-GB"/>
        </w:rPr>
        <w:t xml:space="preserve"> but I am convinced</w:t>
      </w:r>
      <w:r w:rsidR="007D6F51">
        <w:rPr>
          <w:lang w:eastAsia="en-GB"/>
        </w:rPr>
        <w:t>,</w:t>
      </w:r>
      <w:r w:rsidR="00EE40DA">
        <w:rPr>
          <w:lang w:eastAsia="en-GB"/>
        </w:rPr>
        <w:t xml:space="preserve"> for the reasons set out above</w:t>
      </w:r>
      <w:r w:rsidR="007D6F51">
        <w:rPr>
          <w:lang w:eastAsia="en-GB"/>
        </w:rPr>
        <w:t>,</w:t>
      </w:r>
      <w:r w:rsidR="00EE40DA">
        <w:rPr>
          <w:lang w:eastAsia="en-GB"/>
        </w:rPr>
        <w:t xml:space="preserve"> that profits of this quantum have been sacrificed by the company in favour of lower figures which are stable and certain, in good times and bad.</w:t>
      </w:r>
      <w:r>
        <w:rPr>
          <w:lang w:eastAsia="en-GB"/>
        </w:rPr>
        <w:t xml:space="preserve"> </w:t>
      </w:r>
    </w:p>
    <w:p w14:paraId="5F6B70F3" w14:textId="3601661F" w:rsidR="005F7A2C" w:rsidRDefault="00A55C87" w:rsidP="00760439">
      <w:pPr>
        <w:pStyle w:val="ParaLevel1"/>
        <w:rPr>
          <w:lang w:eastAsia="en-GB"/>
        </w:rPr>
      </w:pPr>
      <w:r>
        <w:rPr>
          <w:lang w:eastAsia="en-GB"/>
        </w:rPr>
        <w:t xml:space="preserve">I </w:t>
      </w:r>
      <w:r w:rsidR="00624425">
        <w:rPr>
          <w:lang w:eastAsia="en-GB"/>
        </w:rPr>
        <w:t xml:space="preserve">also </w:t>
      </w:r>
      <w:r>
        <w:rPr>
          <w:lang w:eastAsia="en-GB"/>
        </w:rPr>
        <w:t>cannot accept, for the reasons set out above</w:t>
      </w:r>
      <w:r w:rsidR="00CE6F44">
        <w:rPr>
          <w:lang w:eastAsia="en-GB"/>
        </w:rPr>
        <w:t xml:space="preserve">, </w:t>
      </w:r>
      <w:r>
        <w:rPr>
          <w:lang w:eastAsia="en-GB"/>
        </w:rPr>
        <w:t>Mr Singleton’s figure of</w:t>
      </w:r>
      <w:r w:rsidR="00EE40DA">
        <w:rPr>
          <w:lang w:eastAsia="en-GB"/>
        </w:rPr>
        <w:t xml:space="preserve"> £</w:t>
      </w:r>
      <w:r w:rsidR="00EE40DA" w:rsidRPr="00EE40DA">
        <w:rPr>
          <w:lang w:eastAsia="en-GB"/>
        </w:rPr>
        <w:t>2,655,161</w:t>
      </w:r>
      <w:r w:rsidR="00EE40DA">
        <w:rPr>
          <w:lang w:eastAsia="en-GB"/>
        </w:rPr>
        <w:t>, being the simple average of 2021 and 2022</w:t>
      </w:r>
      <w:r w:rsidR="00CE6F44">
        <w:rPr>
          <w:lang w:eastAsia="en-GB"/>
        </w:rPr>
        <w:t>. Th</w:t>
      </w:r>
      <w:r w:rsidR="007D6F51">
        <w:rPr>
          <w:lang w:eastAsia="en-GB"/>
        </w:rPr>
        <w:t>o</w:t>
      </w:r>
      <w:r w:rsidR="00CE6F44">
        <w:rPr>
          <w:lang w:eastAsia="en-GB"/>
        </w:rPr>
        <w:t xml:space="preserve">se </w:t>
      </w:r>
      <w:r w:rsidR="007D6F51">
        <w:rPr>
          <w:lang w:eastAsia="en-GB"/>
        </w:rPr>
        <w:t>we</w:t>
      </w:r>
      <w:r w:rsidR="00EE40DA">
        <w:rPr>
          <w:lang w:eastAsia="en-GB"/>
        </w:rPr>
        <w:t xml:space="preserve">re of course transitional years when, notwithstanding the husband’s rather surprising bullishness, the business must have been affected by the pandemic and where the problems of supply of materials and labour caused by Brexit were beginning to take effect. Put simply, I regard </w:t>
      </w:r>
      <w:r w:rsidR="007D6F51">
        <w:rPr>
          <w:lang w:eastAsia="en-GB"/>
        </w:rPr>
        <w:t xml:space="preserve">it </w:t>
      </w:r>
      <w:r w:rsidR="00EE40DA">
        <w:rPr>
          <w:lang w:eastAsia="en-GB"/>
        </w:rPr>
        <w:t xml:space="preserve">as extremely unlikely that </w:t>
      </w:r>
      <w:r w:rsidR="00001876">
        <w:rPr>
          <w:lang w:eastAsia="en-GB"/>
        </w:rPr>
        <w:t xml:space="preserve">future </w:t>
      </w:r>
      <w:r w:rsidR="00EE40DA">
        <w:rPr>
          <w:lang w:eastAsia="en-GB"/>
        </w:rPr>
        <w:t>profits will be as low as £2.6 million even following full transition of the business into Tier</w:t>
      </w:r>
      <w:r w:rsidR="007D6F51">
        <w:rPr>
          <w:lang w:eastAsia="en-GB"/>
        </w:rPr>
        <w:t>-</w:t>
      </w:r>
      <w:r w:rsidR="00EE40DA">
        <w:rPr>
          <w:lang w:eastAsia="en-GB"/>
        </w:rPr>
        <w:t>1.</w:t>
      </w:r>
    </w:p>
    <w:p w14:paraId="2F1833E9" w14:textId="7E8ACFA5" w:rsidR="00A77C5E" w:rsidRDefault="00A77C5E" w:rsidP="00760439">
      <w:pPr>
        <w:pStyle w:val="ParaLevel1"/>
        <w:rPr>
          <w:lang w:eastAsia="en-GB"/>
        </w:rPr>
      </w:pPr>
      <w:r>
        <w:rPr>
          <w:lang w:eastAsia="en-GB"/>
        </w:rPr>
        <w:t xml:space="preserve">This is a business with a turnover of more than £100 million. It is surprising, to put it mildly, that there are no forecasts of turnover and profit for 2023 and beyond. I am not </w:t>
      </w:r>
      <w:proofErr w:type="gramStart"/>
      <w:r>
        <w:rPr>
          <w:lang w:eastAsia="en-GB"/>
        </w:rPr>
        <w:t>in a position</w:t>
      </w:r>
      <w:proofErr w:type="gramEnd"/>
      <w:r>
        <w:rPr>
          <w:lang w:eastAsia="en-GB"/>
        </w:rPr>
        <w:t xml:space="preserve"> to make a finding that the absence of forecasts is a deliberate forensic strategy in these proceedings, although my suspicions have been aroused.</w:t>
      </w:r>
    </w:p>
    <w:p w14:paraId="39E7449A" w14:textId="56CDDD28" w:rsidR="001B34CF" w:rsidRDefault="00EE40DA" w:rsidP="00F46410">
      <w:pPr>
        <w:pStyle w:val="ParaLevel1"/>
        <w:rPr>
          <w:lang w:eastAsia="en-GB"/>
        </w:rPr>
      </w:pPr>
      <w:r>
        <w:rPr>
          <w:lang w:eastAsia="en-GB"/>
        </w:rPr>
        <w:t>In my judgment</w:t>
      </w:r>
      <w:r w:rsidR="00A77C5E">
        <w:rPr>
          <w:lang w:eastAsia="en-GB"/>
        </w:rPr>
        <w:t>, in the absence of forecasts,</w:t>
      </w:r>
      <w:r>
        <w:rPr>
          <w:lang w:eastAsia="en-GB"/>
        </w:rPr>
        <w:t xml:space="preserve"> the best model for predicting future maintainable earnings is Mr Webster’s Column O (</w:t>
      </w:r>
      <w:r w:rsidRPr="00AD475E">
        <w:rPr>
          <w:i/>
          <w:iCs/>
          <w:lang w:eastAsia="en-GB"/>
        </w:rPr>
        <w:t>2020-2022 weighted (1:2:2)</w:t>
      </w:r>
      <w:r w:rsidRPr="00AD475E">
        <w:rPr>
          <w:lang w:eastAsia="en-GB"/>
        </w:rPr>
        <w:t>)</w:t>
      </w:r>
      <w:r w:rsidR="0099289F">
        <w:rPr>
          <w:lang w:eastAsia="en-GB"/>
        </w:rPr>
        <w:t xml:space="preserve"> </w:t>
      </w:r>
      <w:r w:rsidR="001C43D7">
        <w:rPr>
          <w:lang w:eastAsia="en-GB"/>
        </w:rPr>
        <w:t>with</w:t>
      </w:r>
      <w:r w:rsidR="0099289F">
        <w:rPr>
          <w:lang w:eastAsia="en-GB"/>
        </w:rPr>
        <w:t>in the schedule produced for his final submissions</w:t>
      </w:r>
      <w:r>
        <w:rPr>
          <w:lang w:eastAsia="en-GB"/>
        </w:rPr>
        <w:t>. I think that in an arms</w:t>
      </w:r>
      <w:r w:rsidR="00A77C5E">
        <w:rPr>
          <w:lang w:eastAsia="en-GB"/>
        </w:rPr>
        <w:t>-</w:t>
      </w:r>
      <w:r>
        <w:rPr>
          <w:lang w:eastAsia="en-GB"/>
        </w:rPr>
        <w:t>length negotiation to sell the business</w:t>
      </w:r>
      <w:r w:rsidR="001B34CF">
        <w:rPr>
          <w:lang w:eastAsia="en-GB"/>
        </w:rPr>
        <w:t xml:space="preserve"> the husband would certainly insist that the results of 2020 should be </w:t>
      </w:r>
      <w:r w:rsidR="00CE6F44">
        <w:rPr>
          <w:lang w:eastAsia="en-GB"/>
        </w:rPr>
        <w:t>brought into account</w:t>
      </w:r>
      <w:r w:rsidR="001B34CF">
        <w:rPr>
          <w:lang w:eastAsia="en-GB"/>
        </w:rPr>
        <w:t xml:space="preserve">. I agree with Mr Webster that a weighting to bring into </w:t>
      </w:r>
      <w:r w:rsidR="003C4F95">
        <w:rPr>
          <w:lang w:eastAsia="en-GB"/>
        </w:rPr>
        <w:t>play</w:t>
      </w:r>
      <w:r w:rsidR="001B34CF">
        <w:rPr>
          <w:lang w:eastAsia="en-GB"/>
        </w:rPr>
        <w:t xml:space="preserve"> only 50% of the 2020 result fairly reflects its distance </w:t>
      </w:r>
      <w:r w:rsidR="004E73B0">
        <w:rPr>
          <w:lang w:eastAsia="en-GB"/>
        </w:rPr>
        <w:t>in</w:t>
      </w:r>
      <w:r w:rsidR="001B34CF">
        <w:rPr>
          <w:lang w:eastAsia="en-GB"/>
        </w:rPr>
        <w:t xml:space="preserve"> time and that </w:t>
      </w:r>
      <w:r w:rsidR="004E73B0">
        <w:rPr>
          <w:lang w:eastAsia="en-GB"/>
        </w:rPr>
        <w:t xml:space="preserve">those </w:t>
      </w:r>
      <w:r w:rsidR="001B34CF">
        <w:rPr>
          <w:lang w:eastAsia="en-GB"/>
        </w:rPr>
        <w:t>profits were earned in a period where transition had scarcely begun.</w:t>
      </w:r>
    </w:p>
    <w:p w14:paraId="2E930249" w14:textId="476100C5" w:rsidR="00EE40DA" w:rsidRDefault="001B34CF" w:rsidP="00F46410">
      <w:pPr>
        <w:pStyle w:val="ParaLevel1"/>
        <w:rPr>
          <w:lang w:eastAsia="en-GB"/>
        </w:rPr>
      </w:pPr>
      <w:r>
        <w:rPr>
          <w:lang w:eastAsia="en-GB"/>
        </w:rPr>
        <w:t>Mr Webster’s calculation on this basis gives a figure for future maintainable earnings of £</w:t>
      </w:r>
      <w:r w:rsidRPr="001B34CF">
        <w:rPr>
          <w:lang w:eastAsia="en-GB"/>
        </w:rPr>
        <w:t>3,747,425</w:t>
      </w:r>
      <w:r>
        <w:rPr>
          <w:lang w:eastAsia="en-GB"/>
        </w:rPr>
        <w:t>, which, doing the best I can, I regard as a fair prediction of the likely future profits of this business following transition to Tier</w:t>
      </w:r>
      <w:r w:rsidR="007D6F51">
        <w:rPr>
          <w:lang w:eastAsia="en-GB"/>
        </w:rPr>
        <w:t>-</w:t>
      </w:r>
      <w:r>
        <w:rPr>
          <w:lang w:eastAsia="en-GB"/>
        </w:rPr>
        <w:t xml:space="preserve">1. </w:t>
      </w:r>
    </w:p>
    <w:p w14:paraId="7199E1CD" w14:textId="1C47B056" w:rsidR="00B91D42" w:rsidRPr="00F76E6A" w:rsidRDefault="00B603E5" w:rsidP="005F7A2C">
      <w:pPr>
        <w:pStyle w:val="ParaLevel1"/>
        <w:numPr>
          <w:ilvl w:val="0"/>
          <w:numId w:val="0"/>
        </w:numPr>
        <w:rPr>
          <w:b/>
          <w:bCs/>
          <w:lang w:eastAsia="en-GB"/>
        </w:rPr>
      </w:pPr>
      <w:r>
        <w:rPr>
          <w:b/>
          <w:bCs/>
          <w:lang w:eastAsia="en-GB"/>
        </w:rPr>
        <w:t>M</w:t>
      </w:r>
      <w:r w:rsidR="005F7A2C" w:rsidRPr="00F76E6A">
        <w:rPr>
          <w:b/>
          <w:bCs/>
          <w:lang w:eastAsia="en-GB"/>
        </w:rPr>
        <w:t xml:space="preserve">ultiplier </w:t>
      </w:r>
      <w:r w:rsidR="001B34CF">
        <w:rPr>
          <w:b/>
          <w:bCs/>
          <w:lang w:eastAsia="en-GB"/>
        </w:rPr>
        <w:t xml:space="preserve">and value of the business and the husband’s </w:t>
      </w:r>
      <w:r w:rsidR="00E0394F">
        <w:rPr>
          <w:b/>
          <w:bCs/>
          <w:lang w:eastAsia="en-GB"/>
        </w:rPr>
        <w:t>interest</w:t>
      </w:r>
    </w:p>
    <w:p w14:paraId="3E424DF8" w14:textId="4CEE0181" w:rsidR="00E0394F" w:rsidRDefault="001B34CF" w:rsidP="00760439">
      <w:pPr>
        <w:pStyle w:val="ParaLevel1"/>
        <w:rPr>
          <w:lang w:eastAsia="en-GB"/>
        </w:rPr>
      </w:pPr>
      <w:r>
        <w:rPr>
          <w:lang w:eastAsia="en-GB"/>
        </w:rPr>
        <w:t xml:space="preserve">For the reasons set out above I reject Mr Singleton’s multiplier of 4. I accept Ms Longworth’s evidence </w:t>
      </w:r>
      <w:r w:rsidR="001C43D7">
        <w:rPr>
          <w:lang w:eastAsia="en-GB"/>
        </w:rPr>
        <w:t xml:space="preserve">on the appropriate multiplier </w:t>
      </w:r>
      <w:r>
        <w:rPr>
          <w:lang w:eastAsia="en-GB"/>
        </w:rPr>
        <w:t xml:space="preserve">which was conscientiously researched and logically presented. My only disagreement with </w:t>
      </w:r>
      <w:r w:rsidR="00E0394F">
        <w:rPr>
          <w:lang w:eastAsia="en-GB"/>
        </w:rPr>
        <w:t xml:space="preserve">her </w:t>
      </w:r>
      <w:r>
        <w:rPr>
          <w:lang w:eastAsia="en-GB"/>
        </w:rPr>
        <w:t xml:space="preserve">is that I am </w:t>
      </w:r>
      <w:r w:rsidR="001C43D7">
        <w:rPr>
          <w:lang w:eastAsia="en-GB"/>
        </w:rPr>
        <w:t>convinced</w:t>
      </w:r>
      <w:r>
        <w:rPr>
          <w:lang w:eastAsia="en-GB"/>
        </w:rPr>
        <w:t xml:space="preserve"> that in a negotiation</w:t>
      </w:r>
      <w:r w:rsidR="00E0394F">
        <w:rPr>
          <w:lang w:eastAsia="en-GB"/>
        </w:rPr>
        <w:t xml:space="preserve"> to sell the business the parties would adopt the heuristic of a single multiplier for the entire business rather than separate multipliers for separate parts.</w:t>
      </w:r>
    </w:p>
    <w:p w14:paraId="7D77B49B" w14:textId="01E9D2F8" w:rsidR="00E0394F" w:rsidRDefault="009637C2" w:rsidP="00905616">
      <w:pPr>
        <w:pStyle w:val="ParaLevel1"/>
        <w:rPr>
          <w:lang w:eastAsia="en-GB"/>
        </w:rPr>
      </w:pPr>
      <w:r>
        <w:rPr>
          <w:lang w:eastAsia="en-GB"/>
        </w:rPr>
        <w:t>T</w:t>
      </w:r>
      <w:r w:rsidR="00E0394F">
        <w:rPr>
          <w:lang w:eastAsia="en-GB"/>
        </w:rPr>
        <w:t xml:space="preserve">he blended single multiplier used by Ms Longworth </w:t>
      </w:r>
      <w:r>
        <w:rPr>
          <w:lang w:eastAsia="en-GB"/>
        </w:rPr>
        <w:t>is</w:t>
      </w:r>
      <w:r w:rsidR="00905616">
        <w:rPr>
          <w:lang w:eastAsia="en-GB"/>
        </w:rPr>
        <w:t xml:space="preserve"> </w:t>
      </w:r>
      <w:r w:rsidR="00E0394F">
        <w:rPr>
          <w:lang w:eastAsia="en-GB"/>
        </w:rPr>
        <w:t>5.</w:t>
      </w:r>
      <w:r w:rsidR="004407BF">
        <w:rPr>
          <w:lang w:eastAsia="en-GB"/>
        </w:rPr>
        <w:t>8</w:t>
      </w:r>
      <w:r w:rsidR="00E0394F">
        <w:rPr>
          <w:lang w:eastAsia="en-GB"/>
        </w:rPr>
        <w:t>7</w:t>
      </w:r>
      <w:r w:rsidR="00905616">
        <w:rPr>
          <w:lang w:eastAsia="en-GB"/>
        </w:rPr>
        <w:t>.</w:t>
      </w:r>
      <w:r w:rsidR="0019219A">
        <w:rPr>
          <w:lang w:eastAsia="en-GB"/>
        </w:rPr>
        <w:t xml:space="preserve"> This figure was agreed by Ms Longworth and Mr Webster QC.</w:t>
      </w:r>
      <w:r w:rsidR="00905616">
        <w:rPr>
          <w:lang w:eastAsia="en-GB"/>
        </w:rPr>
        <w:t xml:space="preserve"> The calculation is as follows:</w:t>
      </w:r>
    </w:p>
    <w:tbl>
      <w:tblPr>
        <w:tblW w:w="7371" w:type="dxa"/>
        <w:tblInd w:w="709" w:type="dxa"/>
        <w:tblLook w:val="04A0" w:firstRow="1" w:lastRow="0" w:firstColumn="1" w:lastColumn="0" w:noHBand="0" w:noVBand="1"/>
      </w:tblPr>
      <w:tblGrid>
        <w:gridCol w:w="4536"/>
        <w:gridCol w:w="1296"/>
        <w:gridCol w:w="1539"/>
      </w:tblGrid>
      <w:tr w:rsidR="00905616" w:rsidRPr="00905616" w14:paraId="1C37AEFB" w14:textId="77777777" w:rsidTr="0006646E">
        <w:trPr>
          <w:trHeight w:val="283"/>
        </w:trPr>
        <w:tc>
          <w:tcPr>
            <w:tcW w:w="4536" w:type="dxa"/>
            <w:tcBorders>
              <w:top w:val="nil"/>
              <w:left w:val="nil"/>
              <w:bottom w:val="nil"/>
              <w:right w:val="nil"/>
            </w:tcBorders>
            <w:shd w:val="clear" w:color="auto" w:fill="auto"/>
            <w:noWrap/>
            <w:vAlign w:val="bottom"/>
            <w:hideMark/>
          </w:tcPr>
          <w:p w14:paraId="616BD189" w14:textId="0C145B9C" w:rsidR="00905616" w:rsidRPr="00905616" w:rsidRDefault="0006646E">
            <w:pPr>
              <w:rPr>
                <w:lang w:eastAsia="en-GB"/>
              </w:rPr>
            </w:pPr>
            <w:r>
              <w:t>Element No 1</w:t>
            </w:r>
            <w:r w:rsidR="00905616" w:rsidRPr="00905616">
              <w:t xml:space="preserve"> </w:t>
            </w:r>
            <w:r w:rsidR="005D7CF3">
              <w:rPr>
                <w:lang w:eastAsia="en-GB"/>
              </w:rPr>
              <w:t>future maintainable earnings</w:t>
            </w:r>
          </w:p>
        </w:tc>
        <w:tc>
          <w:tcPr>
            <w:tcW w:w="1296" w:type="dxa"/>
            <w:tcBorders>
              <w:top w:val="nil"/>
              <w:left w:val="nil"/>
              <w:bottom w:val="nil"/>
              <w:right w:val="nil"/>
            </w:tcBorders>
            <w:shd w:val="clear" w:color="auto" w:fill="auto"/>
            <w:noWrap/>
            <w:vAlign w:val="bottom"/>
            <w:hideMark/>
          </w:tcPr>
          <w:p w14:paraId="00525F52" w14:textId="77777777" w:rsidR="00905616" w:rsidRPr="00905616" w:rsidRDefault="00905616">
            <w:pPr>
              <w:jc w:val="right"/>
            </w:pPr>
            <w:r w:rsidRPr="00905616">
              <w:t xml:space="preserve">6,600,000 </w:t>
            </w:r>
          </w:p>
        </w:tc>
        <w:tc>
          <w:tcPr>
            <w:tcW w:w="1539" w:type="dxa"/>
            <w:tcBorders>
              <w:top w:val="nil"/>
              <w:left w:val="nil"/>
              <w:bottom w:val="nil"/>
              <w:right w:val="nil"/>
            </w:tcBorders>
            <w:shd w:val="clear" w:color="auto" w:fill="auto"/>
            <w:noWrap/>
            <w:vAlign w:val="bottom"/>
            <w:hideMark/>
          </w:tcPr>
          <w:p w14:paraId="731F8B80" w14:textId="77777777" w:rsidR="00905616" w:rsidRPr="00905616" w:rsidRDefault="00905616">
            <w:r w:rsidRPr="00905616">
              <w:t>A</w:t>
            </w:r>
          </w:p>
        </w:tc>
      </w:tr>
      <w:tr w:rsidR="00905616" w:rsidRPr="00905616" w14:paraId="6B16FEDA" w14:textId="77777777" w:rsidTr="0006646E">
        <w:trPr>
          <w:trHeight w:val="283"/>
        </w:trPr>
        <w:tc>
          <w:tcPr>
            <w:tcW w:w="4536" w:type="dxa"/>
            <w:tcBorders>
              <w:top w:val="nil"/>
              <w:left w:val="nil"/>
              <w:bottom w:val="nil"/>
              <w:right w:val="nil"/>
            </w:tcBorders>
            <w:shd w:val="clear" w:color="auto" w:fill="auto"/>
            <w:noWrap/>
            <w:vAlign w:val="bottom"/>
            <w:hideMark/>
          </w:tcPr>
          <w:p w14:paraId="1F409041" w14:textId="2C7C6093" w:rsidR="00905616" w:rsidRPr="00905616" w:rsidRDefault="0006646E">
            <w:r>
              <w:t xml:space="preserve">Element No 2 </w:t>
            </w:r>
            <w:r w:rsidR="005D7CF3">
              <w:rPr>
                <w:lang w:eastAsia="en-GB"/>
              </w:rPr>
              <w:t>future maintainable earnings</w:t>
            </w:r>
          </w:p>
        </w:tc>
        <w:tc>
          <w:tcPr>
            <w:tcW w:w="1296" w:type="dxa"/>
            <w:tcBorders>
              <w:top w:val="nil"/>
              <w:left w:val="nil"/>
              <w:bottom w:val="single" w:sz="4" w:space="0" w:color="auto"/>
              <w:right w:val="nil"/>
            </w:tcBorders>
            <w:shd w:val="clear" w:color="auto" w:fill="auto"/>
            <w:noWrap/>
            <w:vAlign w:val="bottom"/>
            <w:hideMark/>
          </w:tcPr>
          <w:p w14:paraId="0AEAC284" w14:textId="77777777" w:rsidR="00905616" w:rsidRPr="00905616" w:rsidRDefault="00905616">
            <w:pPr>
              <w:jc w:val="right"/>
            </w:pPr>
            <w:r w:rsidRPr="00905616">
              <w:t xml:space="preserve">1,517,000 </w:t>
            </w:r>
          </w:p>
        </w:tc>
        <w:tc>
          <w:tcPr>
            <w:tcW w:w="1539" w:type="dxa"/>
            <w:tcBorders>
              <w:top w:val="nil"/>
              <w:left w:val="nil"/>
              <w:bottom w:val="nil"/>
              <w:right w:val="nil"/>
            </w:tcBorders>
            <w:shd w:val="clear" w:color="auto" w:fill="auto"/>
            <w:noWrap/>
            <w:vAlign w:val="bottom"/>
            <w:hideMark/>
          </w:tcPr>
          <w:p w14:paraId="6B34FE91" w14:textId="77777777" w:rsidR="00905616" w:rsidRPr="00905616" w:rsidRDefault="00905616">
            <w:r w:rsidRPr="00905616">
              <w:t>B</w:t>
            </w:r>
          </w:p>
        </w:tc>
      </w:tr>
      <w:tr w:rsidR="00905616" w:rsidRPr="00905616" w14:paraId="2F692030" w14:textId="77777777" w:rsidTr="0006646E">
        <w:trPr>
          <w:trHeight w:val="283"/>
        </w:trPr>
        <w:tc>
          <w:tcPr>
            <w:tcW w:w="4536" w:type="dxa"/>
            <w:tcBorders>
              <w:top w:val="nil"/>
              <w:left w:val="nil"/>
              <w:bottom w:val="nil"/>
              <w:right w:val="nil"/>
            </w:tcBorders>
            <w:shd w:val="clear" w:color="auto" w:fill="auto"/>
            <w:noWrap/>
            <w:vAlign w:val="bottom"/>
            <w:hideMark/>
          </w:tcPr>
          <w:p w14:paraId="6C3BECE6" w14:textId="06AED914" w:rsidR="00905616" w:rsidRPr="00905616" w:rsidRDefault="00001876">
            <w:r>
              <w:t>T</w:t>
            </w:r>
            <w:r w:rsidR="00905616" w:rsidRPr="00905616">
              <w:t xml:space="preserve">otal </w:t>
            </w:r>
            <w:r w:rsidR="005D7CF3">
              <w:rPr>
                <w:lang w:eastAsia="en-GB"/>
              </w:rPr>
              <w:t>future maintainable earnings</w:t>
            </w:r>
          </w:p>
        </w:tc>
        <w:tc>
          <w:tcPr>
            <w:tcW w:w="1296" w:type="dxa"/>
            <w:tcBorders>
              <w:top w:val="nil"/>
              <w:left w:val="nil"/>
              <w:bottom w:val="nil"/>
              <w:right w:val="nil"/>
            </w:tcBorders>
            <w:shd w:val="clear" w:color="auto" w:fill="auto"/>
            <w:noWrap/>
            <w:vAlign w:val="bottom"/>
            <w:hideMark/>
          </w:tcPr>
          <w:p w14:paraId="51FC2F8F" w14:textId="77777777" w:rsidR="00905616" w:rsidRPr="00905616" w:rsidRDefault="00905616">
            <w:pPr>
              <w:jc w:val="right"/>
            </w:pPr>
            <w:r w:rsidRPr="00905616">
              <w:t xml:space="preserve">8,117,000 </w:t>
            </w:r>
          </w:p>
        </w:tc>
        <w:tc>
          <w:tcPr>
            <w:tcW w:w="1539" w:type="dxa"/>
            <w:tcBorders>
              <w:top w:val="nil"/>
              <w:left w:val="nil"/>
              <w:bottom w:val="nil"/>
              <w:right w:val="nil"/>
            </w:tcBorders>
            <w:shd w:val="clear" w:color="auto" w:fill="auto"/>
            <w:noWrap/>
            <w:vAlign w:val="bottom"/>
            <w:hideMark/>
          </w:tcPr>
          <w:p w14:paraId="52B97277" w14:textId="77777777" w:rsidR="00905616" w:rsidRPr="00905616" w:rsidRDefault="00905616">
            <w:r w:rsidRPr="00905616">
              <w:t>A + B = C</w:t>
            </w:r>
          </w:p>
        </w:tc>
      </w:tr>
      <w:tr w:rsidR="00905616" w:rsidRPr="00905616" w14:paraId="6F27F072" w14:textId="77777777" w:rsidTr="0006646E">
        <w:trPr>
          <w:trHeight w:val="283"/>
        </w:trPr>
        <w:tc>
          <w:tcPr>
            <w:tcW w:w="4536" w:type="dxa"/>
            <w:tcBorders>
              <w:top w:val="nil"/>
              <w:left w:val="nil"/>
              <w:bottom w:val="nil"/>
              <w:right w:val="nil"/>
            </w:tcBorders>
            <w:shd w:val="clear" w:color="auto" w:fill="auto"/>
            <w:noWrap/>
            <w:vAlign w:val="bottom"/>
            <w:hideMark/>
          </w:tcPr>
          <w:p w14:paraId="6F04ACEC" w14:textId="60BB97F9" w:rsidR="00905616" w:rsidRPr="00905616" w:rsidRDefault="00905616">
            <w:r w:rsidRPr="00905616">
              <w:t>Total enterprise value</w:t>
            </w:r>
            <w:r w:rsidR="0006646E">
              <w:t xml:space="preserve"> previously calculated</w:t>
            </w:r>
          </w:p>
        </w:tc>
        <w:tc>
          <w:tcPr>
            <w:tcW w:w="1296" w:type="dxa"/>
            <w:tcBorders>
              <w:top w:val="nil"/>
              <w:left w:val="nil"/>
              <w:bottom w:val="nil"/>
              <w:right w:val="nil"/>
            </w:tcBorders>
            <w:shd w:val="clear" w:color="auto" w:fill="auto"/>
            <w:noWrap/>
            <w:vAlign w:val="bottom"/>
            <w:hideMark/>
          </w:tcPr>
          <w:p w14:paraId="216AD19F" w14:textId="77777777" w:rsidR="00905616" w:rsidRPr="00905616" w:rsidRDefault="00905616">
            <w:pPr>
              <w:jc w:val="right"/>
            </w:pPr>
            <w:r w:rsidRPr="00905616">
              <w:t xml:space="preserve">47,677,500 </w:t>
            </w:r>
          </w:p>
        </w:tc>
        <w:tc>
          <w:tcPr>
            <w:tcW w:w="1539" w:type="dxa"/>
            <w:tcBorders>
              <w:top w:val="nil"/>
              <w:left w:val="nil"/>
              <w:bottom w:val="nil"/>
              <w:right w:val="nil"/>
            </w:tcBorders>
            <w:shd w:val="clear" w:color="auto" w:fill="auto"/>
            <w:noWrap/>
            <w:vAlign w:val="bottom"/>
            <w:hideMark/>
          </w:tcPr>
          <w:p w14:paraId="19F88C38" w14:textId="77777777" w:rsidR="00905616" w:rsidRPr="00905616" w:rsidRDefault="00905616">
            <w:r w:rsidRPr="00905616">
              <w:t>D</w:t>
            </w:r>
          </w:p>
        </w:tc>
      </w:tr>
      <w:tr w:rsidR="00905616" w:rsidRPr="00905616" w14:paraId="4A4C696E" w14:textId="77777777" w:rsidTr="0006646E">
        <w:trPr>
          <w:trHeight w:val="283"/>
        </w:trPr>
        <w:tc>
          <w:tcPr>
            <w:tcW w:w="4536" w:type="dxa"/>
            <w:tcBorders>
              <w:top w:val="nil"/>
              <w:left w:val="nil"/>
              <w:bottom w:val="nil"/>
              <w:right w:val="nil"/>
            </w:tcBorders>
            <w:shd w:val="clear" w:color="auto" w:fill="auto"/>
            <w:noWrap/>
            <w:vAlign w:val="bottom"/>
            <w:hideMark/>
          </w:tcPr>
          <w:p w14:paraId="6A4036C7" w14:textId="56A00D16" w:rsidR="00905616" w:rsidRPr="00905616" w:rsidRDefault="00905616">
            <w:proofErr w:type="gramStart"/>
            <w:r w:rsidRPr="00905616">
              <w:t>Thus</w:t>
            </w:r>
            <w:proofErr w:type="gramEnd"/>
            <w:r w:rsidRPr="00905616">
              <w:t xml:space="preserve"> blended </w:t>
            </w:r>
            <w:r w:rsidR="001C43D7">
              <w:t xml:space="preserve">single </w:t>
            </w:r>
            <w:r w:rsidRPr="00905616">
              <w:t>multiplier</w:t>
            </w:r>
          </w:p>
        </w:tc>
        <w:tc>
          <w:tcPr>
            <w:tcW w:w="1296" w:type="dxa"/>
            <w:tcBorders>
              <w:top w:val="nil"/>
              <w:left w:val="nil"/>
              <w:bottom w:val="nil"/>
              <w:right w:val="nil"/>
            </w:tcBorders>
            <w:shd w:val="clear" w:color="auto" w:fill="auto"/>
            <w:noWrap/>
            <w:vAlign w:val="bottom"/>
            <w:hideMark/>
          </w:tcPr>
          <w:p w14:paraId="3C8269C1" w14:textId="77777777" w:rsidR="00905616" w:rsidRPr="00905616" w:rsidRDefault="00905616">
            <w:pPr>
              <w:jc w:val="right"/>
            </w:pPr>
            <w:r w:rsidRPr="00905616">
              <w:t xml:space="preserve">5.87 </w:t>
            </w:r>
          </w:p>
        </w:tc>
        <w:tc>
          <w:tcPr>
            <w:tcW w:w="1539" w:type="dxa"/>
            <w:tcBorders>
              <w:top w:val="nil"/>
              <w:left w:val="nil"/>
              <w:bottom w:val="nil"/>
              <w:right w:val="nil"/>
            </w:tcBorders>
            <w:shd w:val="clear" w:color="auto" w:fill="auto"/>
            <w:noWrap/>
            <w:vAlign w:val="bottom"/>
            <w:hideMark/>
          </w:tcPr>
          <w:p w14:paraId="721FD572" w14:textId="77777777" w:rsidR="00905616" w:rsidRPr="00905616" w:rsidRDefault="00905616">
            <w:r w:rsidRPr="00905616">
              <w:t xml:space="preserve">D ÷ C </w:t>
            </w:r>
          </w:p>
        </w:tc>
      </w:tr>
    </w:tbl>
    <w:p w14:paraId="0692041E" w14:textId="1929E6EB" w:rsidR="00973C75" w:rsidRDefault="00905616" w:rsidP="00905616">
      <w:pPr>
        <w:pStyle w:val="ParaLevel1"/>
        <w:tabs>
          <w:tab w:val="left" w:pos="5670"/>
        </w:tabs>
        <w:rPr>
          <w:lang w:eastAsia="en-GB"/>
        </w:rPr>
      </w:pPr>
      <w:r>
        <w:rPr>
          <w:lang w:eastAsia="en-GB"/>
        </w:rPr>
        <w:t xml:space="preserve">I am satisfied that a multiplier of 5.87 is a fair and reasonable figure to use. </w:t>
      </w:r>
      <w:r w:rsidR="0006646E">
        <w:rPr>
          <w:lang w:eastAsia="en-GB"/>
        </w:rPr>
        <w:t>T</w:t>
      </w:r>
      <w:r w:rsidR="00973C75">
        <w:rPr>
          <w:lang w:eastAsia="en-GB"/>
        </w:rPr>
        <w:t>he evidence clearly suggests</w:t>
      </w:r>
      <w:r>
        <w:rPr>
          <w:lang w:eastAsia="en-GB"/>
        </w:rPr>
        <w:t xml:space="preserve"> that in a negotiation the</w:t>
      </w:r>
      <w:r w:rsidR="00973C75">
        <w:rPr>
          <w:lang w:eastAsia="en-GB"/>
        </w:rPr>
        <w:t xml:space="preserve"> purchaser would ultimately be prepared to pay somewhere between five and six years of profits upfront. </w:t>
      </w:r>
      <w:r w:rsidR="005D7CF3">
        <w:rPr>
          <w:lang w:eastAsia="en-GB"/>
        </w:rPr>
        <w:t xml:space="preserve">My use of </w:t>
      </w:r>
      <w:r w:rsidR="00973C75">
        <w:rPr>
          <w:lang w:eastAsia="en-GB"/>
        </w:rPr>
        <w:t>5.87 signals that I am accepting unequivocally Ms Longworth’s evidence on this issue.</w:t>
      </w:r>
    </w:p>
    <w:p w14:paraId="5FEC29AE" w14:textId="4258F9FC" w:rsidR="00671856" w:rsidRDefault="00671856" w:rsidP="00EE364F">
      <w:pPr>
        <w:pStyle w:val="ParaLevel1"/>
        <w:tabs>
          <w:tab w:val="left" w:pos="5670"/>
        </w:tabs>
        <w:rPr>
          <w:lang w:eastAsia="en-GB"/>
        </w:rPr>
      </w:pPr>
      <w:r>
        <w:rPr>
          <w:lang w:eastAsia="en-GB"/>
        </w:rPr>
        <w:t>In my judgment 5.87 captures all relevant risks attaching to</w:t>
      </w:r>
      <w:r w:rsidR="004238D1">
        <w:rPr>
          <w:lang w:eastAsia="en-GB"/>
        </w:rPr>
        <w:t xml:space="preserve"> the business including its liquidity (which, unusually, is scarcely relevant in this case given the large amount of cash </w:t>
      </w:r>
      <w:r w:rsidR="00F871BF">
        <w:rPr>
          <w:lang w:eastAsia="en-GB"/>
        </w:rPr>
        <w:t>- £</w:t>
      </w:r>
      <w:r w:rsidR="00F871BF" w:rsidRPr="005A0BDA">
        <w:rPr>
          <w:lang w:eastAsia="en-GB"/>
        </w:rPr>
        <w:t>34,495,864</w:t>
      </w:r>
      <w:r w:rsidR="00F871BF">
        <w:rPr>
          <w:lang w:eastAsia="en-GB"/>
        </w:rPr>
        <w:t xml:space="preserve"> - </w:t>
      </w:r>
      <w:r w:rsidR="004238D1">
        <w:rPr>
          <w:lang w:eastAsia="en-GB"/>
        </w:rPr>
        <w:t>at the bank). In my jud</w:t>
      </w:r>
      <w:r w:rsidR="008F5736">
        <w:rPr>
          <w:lang w:eastAsia="en-GB"/>
        </w:rPr>
        <w:t>gment</w:t>
      </w:r>
      <w:r w:rsidR="00CA4D20">
        <w:rPr>
          <w:lang w:eastAsia="en-GB"/>
        </w:rPr>
        <w:t>,</w:t>
      </w:r>
      <w:r w:rsidR="004238D1">
        <w:rPr>
          <w:lang w:eastAsia="en-GB"/>
        </w:rPr>
        <w:t xml:space="preserve"> </w:t>
      </w:r>
      <w:r w:rsidR="001C43D7">
        <w:rPr>
          <w:lang w:eastAsia="en-GB"/>
        </w:rPr>
        <w:t xml:space="preserve">it would </w:t>
      </w:r>
      <w:r w:rsidR="00CA4D20">
        <w:rPr>
          <w:lang w:eastAsia="en-GB"/>
        </w:rPr>
        <w:t xml:space="preserve">not be appropriate </w:t>
      </w:r>
      <w:r w:rsidR="004238D1">
        <w:rPr>
          <w:lang w:eastAsia="en-GB"/>
        </w:rPr>
        <w:t xml:space="preserve">in the </w:t>
      </w:r>
      <w:r w:rsidR="00CA4D20">
        <w:rPr>
          <w:lang w:eastAsia="en-GB"/>
        </w:rPr>
        <w:t xml:space="preserve">for me </w:t>
      </w:r>
      <w:r w:rsidR="00DE7C7E">
        <w:rPr>
          <w:lang w:eastAsia="en-GB"/>
        </w:rPr>
        <w:t xml:space="preserve">to accept Mr Webster’s submission that I should </w:t>
      </w:r>
      <w:r w:rsidR="00CA4D20">
        <w:rPr>
          <w:lang w:eastAsia="en-GB"/>
        </w:rPr>
        <w:t xml:space="preserve">arbitrarily reduce my calculation </w:t>
      </w:r>
      <w:r w:rsidR="004238D1">
        <w:rPr>
          <w:lang w:eastAsia="en-GB"/>
        </w:rPr>
        <w:t>of the wife’s award to reflect the “friability” of the valuation or her receipt of cash</w:t>
      </w:r>
      <w:r w:rsidR="00DE7C7E">
        <w:rPr>
          <w:lang w:eastAsia="en-GB"/>
        </w:rPr>
        <w:t xml:space="preserve">. </w:t>
      </w:r>
      <w:r w:rsidR="004238D1">
        <w:rPr>
          <w:lang w:eastAsia="en-GB"/>
        </w:rPr>
        <w:t xml:space="preserve"> On the facts of this case that would, in my judgment, be to </w:t>
      </w:r>
      <w:proofErr w:type="gramStart"/>
      <w:r w:rsidR="004238D1">
        <w:rPr>
          <w:lang w:eastAsia="en-GB"/>
        </w:rPr>
        <w:t>take into account</w:t>
      </w:r>
      <w:proofErr w:type="gramEnd"/>
      <w:r w:rsidR="00F871BF">
        <w:rPr>
          <w:lang w:eastAsia="en-GB"/>
        </w:rPr>
        <w:t xml:space="preserve"> those factors twice.</w:t>
      </w:r>
    </w:p>
    <w:p w14:paraId="5A90694D" w14:textId="54490A20" w:rsidR="005F7A2C" w:rsidRPr="00973C75" w:rsidRDefault="00973C75" w:rsidP="00905616">
      <w:pPr>
        <w:pStyle w:val="ParaLevel1"/>
        <w:tabs>
          <w:tab w:val="left" w:pos="5670"/>
        </w:tabs>
        <w:rPr>
          <w:lang w:eastAsia="en-GB"/>
        </w:rPr>
      </w:pPr>
      <w:r>
        <w:rPr>
          <w:lang w:eastAsia="en-GB"/>
        </w:rPr>
        <w:t>The enterprise value of Galldris is therefore £</w:t>
      </w:r>
      <w:r w:rsidRPr="001B34CF">
        <w:rPr>
          <w:lang w:eastAsia="en-GB"/>
        </w:rPr>
        <w:t>3,747,425</w:t>
      </w:r>
      <w:r>
        <w:rPr>
          <w:lang w:eastAsia="en-GB"/>
        </w:rPr>
        <w:t xml:space="preserve"> x 5.87 = </w:t>
      </w:r>
      <w:r w:rsidRPr="00973C75">
        <w:rPr>
          <w:b/>
          <w:bCs/>
          <w:lang w:eastAsia="en-GB"/>
        </w:rPr>
        <w:t>£21,997,385</w:t>
      </w:r>
      <w:r>
        <w:rPr>
          <w:b/>
          <w:bCs/>
          <w:lang w:eastAsia="en-GB"/>
        </w:rPr>
        <w:t>.</w:t>
      </w:r>
    </w:p>
    <w:p w14:paraId="463191FB" w14:textId="725649F5" w:rsidR="00973C75" w:rsidRPr="005A0BDA" w:rsidRDefault="00973C75" w:rsidP="005A0BDA">
      <w:pPr>
        <w:pStyle w:val="ParaLevel1"/>
        <w:tabs>
          <w:tab w:val="left" w:pos="5670"/>
        </w:tabs>
        <w:rPr>
          <w:lang w:eastAsia="en-GB"/>
        </w:rPr>
      </w:pPr>
      <w:r w:rsidRPr="005A0BDA">
        <w:rPr>
          <w:lang w:eastAsia="en-GB"/>
        </w:rPr>
        <w:t xml:space="preserve">To this must be added the </w:t>
      </w:r>
      <w:r w:rsidR="005A0BDA">
        <w:rPr>
          <w:lang w:eastAsia="en-GB"/>
        </w:rPr>
        <w:t xml:space="preserve">value of the </w:t>
      </w:r>
      <w:r w:rsidRPr="005A0BDA">
        <w:rPr>
          <w:lang w:eastAsia="en-GB"/>
        </w:rPr>
        <w:t xml:space="preserve">surplus assets which the parties have agreed </w:t>
      </w:r>
      <w:r w:rsidR="0006646E">
        <w:rPr>
          <w:lang w:eastAsia="en-GB"/>
        </w:rPr>
        <w:t>at</w:t>
      </w:r>
      <w:r w:rsidRPr="005A0BDA">
        <w:rPr>
          <w:lang w:eastAsia="en-GB"/>
        </w:rPr>
        <w:t xml:space="preserve"> </w:t>
      </w:r>
      <w:r w:rsidRPr="005A0BDA">
        <w:rPr>
          <w:b/>
          <w:bCs/>
          <w:lang w:eastAsia="en-GB"/>
        </w:rPr>
        <w:t>£34,779,286</w:t>
      </w:r>
      <w:r w:rsidRPr="005A0BDA">
        <w:rPr>
          <w:lang w:eastAsia="en-GB"/>
        </w:rPr>
        <w:t xml:space="preserve">. </w:t>
      </w:r>
    </w:p>
    <w:p w14:paraId="11E79887" w14:textId="1116461E" w:rsidR="00973C75" w:rsidRPr="005A0BDA" w:rsidRDefault="005A0BDA" w:rsidP="005840E5">
      <w:pPr>
        <w:pStyle w:val="ParaLevel1"/>
        <w:tabs>
          <w:tab w:val="left" w:pos="5670"/>
        </w:tabs>
        <w:rPr>
          <w:szCs w:val="24"/>
          <w:lang w:eastAsia="en-GB"/>
        </w:rPr>
      </w:pPr>
      <w:r w:rsidRPr="005A0BDA">
        <w:rPr>
          <w:szCs w:val="24"/>
        </w:rPr>
        <w:t>The equity value of the business is</w:t>
      </w:r>
      <w:r>
        <w:rPr>
          <w:szCs w:val="24"/>
        </w:rPr>
        <w:t xml:space="preserve"> thus</w:t>
      </w:r>
      <w:r w:rsidRPr="005A0BDA">
        <w:rPr>
          <w:szCs w:val="24"/>
        </w:rPr>
        <w:t xml:space="preserve"> </w:t>
      </w:r>
      <w:r w:rsidRPr="005A0BDA">
        <w:rPr>
          <w:lang w:eastAsia="en-GB"/>
        </w:rPr>
        <w:t xml:space="preserve">£21,997,385 + £34,779,286 = </w:t>
      </w:r>
      <w:r w:rsidRPr="005A0BDA">
        <w:rPr>
          <w:b/>
          <w:bCs/>
          <w:lang w:eastAsia="en-GB"/>
        </w:rPr>
        <w:t>£56,776,671</w:t>
      </w:r>
      <w:r>
        <w:rPr>
          <w:lang w:eastAsia="en-GB"/>
        </w:rPr>
        <w:t>.</w:t>
      </w:r>
      <w:r w:rsidRPr="005A0BDA">
        <w:rPr>
          <w:lang w:eastAsia="en-GB"/>
        </w:rPr>
        <w:t xml:space="preserve"> </w:t>
      </w:r>
      <w:r w:rsidRPr="005A0BDA">
        <w:rPr>
          <w:szCs w:val="24"/>
        </w:rPr>
        <w:t xml:space="preserve"> </w:t>
      </w:r>
    </w:p>
    <w:p w14:paraId="0A9BC899" w14:textId="43327D5B" w:rsidR="00973C75" w:rsidRDefault="005A0BDA" w:rsidP="008F1F42">
      <w:pPr>
        <w:pStyle w:val="ParaLevel1"/>
        <w:rPr>
          <w:lang w:eastAsia="en-GB"/>
        </w:rPr>
      </w:pPr>
      <w:bookmarkStart w:id="2" w:name="_Ref104964821"/>
      <w:r>
        <w:rPr>
          <w:lang w:eastAsia="en-GB"/>
        </w:rPr>
        <w:t xml:space="preserve">The husband’s half share is therefore worth </w:t>
      </w:r>
      <w:r w:rsidRPr="00F871BF">
        <w:rPr>
          <w:b/>
          <w:bCs/>
          <w:lang w:eastAsia="en-GB"/>
        </w:rPr>
        <w:t>£28,388,335</w:t>
      </w:r>
      <w:r w:rsidR="007D3870">
        <w:rPr>
          <w:lang w:eastAsia="en-GB"/>
        </w:rPr>
        <w:t>. The business is indisputably a quasi-partnership so there is no question of discounting his 50% interest. N</w:t>
      </w:r>
      <w:r>
        <w:rPr>
          <w:lang w:eastAsia="en-GB"/>
        </w:rPr>
        <w:t xml:space="preserve">otional capital gains tax of </w:t>
      </w:r>
      <w:r w:rsidR="007D3870">
        <w:rPr>
          <w:lang w:eastAsia="en-GB"/>
        </w:rPr>
        <w:t>£</w:t>
      </w:r>
      <w:r>
        <w:rPr>
          <w:lang w:eastAsia="en-GB"/>
        </w:rPr>
        <w:t>5,677,667</w:t>
      </w:r>
      <w:r w:rsidR="007D3870">
        <w:rPr>
          <w:lang w:eastAsia="en-GB"/>
        </w:rPr>
        <w:t xml:space="preserve"> must be deducted</w:t>
      </w:r>
      <w:r w:rsidR="00DD2B35">
        <w:rPr>
          <w:lang w:eastAsia="en-GB"/>
        </w:rPr>
        <w:t>,</w:t>
      </w:r>
      <w:r w:rsidR="007D3870">
        <w:rPr>
          <w:lang w:eastAsia="en-GB"/>
        </w:rPr>
        <w:t xml:space="preserve"> giving a net value of his interest of</w:t>
      </w:r>
      <w:r w:rsidR="007D3870" w:rsidRPr="007D3870">
        <w:rPr>
          <w:b/>
          <w:bCs/>
          <w:lang w:eastAsia="en-GB"/>
        </w:rPr>
        <w:t xml:space="preserve"> £</w:t>
      </w:r>
      <w:r w:rsidRPr="007D3870">
        <w:rPr>
          <w:b/>
          <w:bCs/>
          <w:lang w:eastAsia="en-GB"/>
        </w:rPr>
        <w:t>22,710,668</w:t>
      </w:r>
      <w:r w:rsidR="007D3870">
        <w:rPr>
          <w:lang w:eastAsia="en-GB"/>
        </w:rPr>
        <w:t>.</w:t>
      </w:r>
      <w:bookmarkEnd w:id="2"/>
    </w:p>
    <w:p w14:paraId="61190CE4" w14:textId="09196DAA" w:rsidR="007D3870" w:rsidRDefault="007D3870" w:rsidP="007D3870">
      <w:pPr>
        <w:pStyle w:val="ParaLevel1"/>
        <w:numPr>
          <w:ilvl w:val="0"/>
          <w:numId w:val="0"/>
        </w:numPr>
        <w:rPr>
          <w:lang w:eastAsia="en-GB"/>
        </w:rPr>
      </w:pPr>
      <w:r>
        <w:rPr>
          <w:b/>
          <w:bCs/>
          <w:lang w:eastAsia="en-GB"/>
        </w:rPr>
        <w:t>Other business assets</w:t>
      </w:r>
      <w:r>
        <w:rPr>
          <w:lang w:eastAsia="en-GB"/>
        </w:rPr>
        <w:t xml:space="preserve"> </w:t>
      </w:r>
    </w:p>
    <w:p w14:paraId="25442C50" w14:textId="33100BFC" w:rsidR="007D3870" w:rsidRDefault="00285812" w:rsidP="002E1D91">
      <w:pPr>
        <w:pStyle w:val="ParaLevel1"/>
        <w:rPr>
          <w:lang w:eastAsia="en-GB"/>
        </w:rPr>
      </w:pPr>
      <w:bookmarkStart w:id="3" w:name="_Ref104964942"/>
      <w:r>
        <w:rPr>
          <w:lang w:eastAsia="en-GB"/>
        </w:rPr>
        <w:t xml:space="preserve">The husband has an overdrawn director’s loan account with Galldris of £337,000. He has two property owning companies with agreed </w:t>
      </w:r>
      <w:r w:rsidR="005D7CF3">
        <w:rPr>
          <w:lang w:eastAsia="en-GB"/>
        </w:rPr>
        <w:t xml:space="preserve">net </w:t>
      </w:r>
      <w:r>
        <w:rPr>
          <w:lang w:eastAsia="en-GB"/>
        </w:rPr>
        <w:t>values of £5,080,713 and £6,855,811 respectively. He has purchased a tax mitigation instrument, which may or may not ac</w:t>
      </w:r>
      <w:r w:rsidR="00CF1F1F">
        <w:rPr>
          <w:lang w:eastAsia="en-GB"/>
        </w:rPr>
        <w:t>hieve</w:t>
      </w:r>
      <w:r>
        <w:rPr>
          <w:lang w:eastAsia="en-GB"/>
        </w:rPr>
        <w:t xml:space="preserve"> its intended effect, for £247,000 </w:t>
      </w:r>
      <w:r w:rsidR="00CF1F1F">
        <w:rPr>
          <w:lang w:eastAsia="en-GB"/>
        </w:rPr>
        <w:t>including</w:t>
      </w:r>
      <w:r>
        <w:rPr>
          <w:lang w:eastAsia="en-GB"/>
        </w:rPr>
        <w:t xml:space="preserve"> pur</w:t>
      </w:r>
      <w:r w:rsidR="00CF1F1F">
        <w:rPr>
          <w:lang w:eastAsia="en-GB"/>
        </w:rPr>
        <w:t>chase</w:t>
      </w:r>
      <w:r>
        <w:rPr>
          <w:lang w:eastAsia="en-GB"/>
        </w:rPr>
        <w:t xml:space="preserve"> costs. These items total </w:t>
      </w:r>
      <w:r w:rsidRPr="00CF1F1F">
        <w:rPr>
          <w:b/>
          <w:bCs/>
          <w:lang w:eastAsia="en-GB"/>
        </w:rPr>
        <w:t>£</w:t>
      </w:r>
      <w:r w:rsidR="00CF1F1F" w:rsidRPr="00CF1F1F">
        <w:rPr>
          <w:b/>
          <w:bCs/>
          <w:lang w:eastAsia="en-GB"/>
        </w:rPr>
        <w:t>11,846,524</w:t>
      </w:r>
      <w:r w:rsidR="00CF1F1F">
        <w:rPr>
          <w:lang w:eastAsia="en-GB"/>
        </w:rPr>
        <w:t>.</w:t>
      </w:r>
      <w:bookmarkEnd w:id="3"/>
      <w:r w:rsidR="00CF1F1F">
        <w:rPr>
          <w:lang w:eastAsia="en-GB"/>
        </w:rPr>
        <w:t xml:space="preserve"> </w:t>
      </w:r>
    </w:p>
    <w:p w14:paraId="775D9D2F" w14:textId="3263E1D5" w:rsidR="005F7A2C" w:rsidRPr="00F76E6A" w:rsidRDefault="00B603E5" w:rsidP="005F7A2C">
      <w:pPr>
        <w:pStyle w:val="ParaLevel1"/>
        <w:numPr>
          <w:ilvl w:val="0"/>
          <w:numId w:val="0"/>
        </w:numPr>
        <w:rPr>
          <w:b/>
          <w:bCs/>
          <w:lang w:eastAsia="en-GB"/>
        </w:rPr>
      </w:pPr>
      <w:r>
        <w:rPr>
          <w:b/>
          <w:bCs/>
          <w:lang w:eastAsia="en-GB"/>
        </w:rPr>
        <w:t>C</w:t>
      </w:r>
      <w:r w:rsidR="005F7A2C" w:rsidRPr="00F76E6A">
        <w:rPr>
          <w:b/>
          <w:bCs/>
          <w:lang w:eastAsia="en-GB"/>
        </w:rPr>
        <w:t xml:space="preserve">ontingent debts </w:t>
      </w:r>
    </w:p>
    <w:p w14:paraId="62EAAE86" w14:textId="74EADF0C" w:rsidR="005F7A2C" w:rsidRDefault="007D3870" w:rsidP="00760439">
      <w:pPr>
        <w:pStyle w:val="ParaLevel1"/>
        <w:rPr>
          <w:lang w:eastAsia="en-GB"/>
        </w:rPr>
      </w:pPr>
      <w:bookmarkStart w:id="4" w:name="_Ref104964863"/>
      <w:r>
        <w:rPr>
          <w:lang w:eastAsia="en-GB"/>
        </w:rPr>
        <w:t>The figure which will be used in the final assets schedule for the value of contingent deb</w:t>
      </w:r>
      <w:r w:rsidRPr="009B6681">
        <w:rPr>
          <w:lang w:eastAsia="en-GB"/>
        </w:rPr>
        <w:t>ts is</w:t>
      </w:r>
      <w:r w:rsidRPr="009B6681">
        <w:rPr>
          <w:b/>
          <w:bCs/>
          <w:lang w:eastAsia="en-GB"/>
        </w:rPr>
        <w:t xml:space="preserve"> £</w:t>
      </w:r>
      <w:proofErr w:type="gramStart"/>
      <w:r w:rsidR="0021682A" w:rsidRPr="0021682A">
        <w:rPr>
          <w:rFonts w:eastAsiaTheme="minorEastAsia"/>
          <w:b/>
          <w:bCs/>
          <w:color w:val="000000"/>
          <w:szCs w:val="24"/>
          <w:lang w:eastAsia="en-GB"/>
        </w:rPr>
        <w:t>3,117,139</w:t>
      </w:r>
      <w:r w:rsidR="0021682A" w:rsidRPr="0021682A">
        <w:rPr>
          <w:rFonts w:eastAsiaTheme="minorEastAsia"/>
          <w:color w:val="000000"/>
          <w:szCs w:val="24"/>
          <w:lang w:eastAsia="en-GB"/>
        </w:rPr>
        <w:t xml:space="preserve"> </w:t>
      </w:r>
      <w:r w:rsidRPr="009B6681">
        <w:rPr>
          <w:b/>
          <w:bCs/>
          <w:lang w:eastAsia="en-GB"/>
        </w:rPr>
        <w:t>.</w:t>
      </w:r>
      <w:proofErr w:type="gramEnd"/>
      <w:r w:rsidRPr="009B6681">
        <w:rPr>
          <w:b/>
          <w:bCs/>
          <w:lang w:eastAsia="en-GB"/>
        </w:rPr>
        <w:t xml:space="preserve"> </w:t>
      </w:r>
      <w:r>
        <w:rPr>
          <w:lang w:eastAsia="en-GB"/>
        </w:rPr>
        <w:t xml:space="preserve">That figure is explained and calculated in the </w:t>
      </w:r>
      <w:r w:rsidR="006618CD">
        <w:rPr>
          <w:lang w:eastAsia="en-GB"/>
        </w:rPr>
        <w:t>C</w:t>
      </w:r>
      <w:r>
        <w:rPr>
          <w:lang w:eastAsia="en-GB"/>
        </w:rPr>
        <w:t xml:space="preserve">onfidential </w:t>
      </w:r>
      <w:r w:rsidR="006618CD">
        <w:rPr>
          <w:lang w:eastAsia="en-GB"/>
        </w:rPr>
        <w:t>A</w:t>
      </w:r>
      <w:r>
        <w:rPr>
          <w:lang w:eastAsia="en-GB"/>
        </w:rPr>
        <w:t>nnex to this judgment.</w:t>
      </w:r>
      <w:r w:rsidR="003F782A">
        <w:rPr>
          <w:lang w:eastAsia="en-GB"/>
        </w:rPr>
        <w:t xml:space="preserve"> </w:t>
      </w:r>
      <w:bookmarkEnd w:id="4"/>
    </w:p>
    <w:p w14:paraId="091FDF32" w14:textId="34C7C06A" w:rsidR="005F7A2C" w:rsidRPr="00F76E6A" w:rsidRDefault="00B603E5" w:rsidP="005F7A2C">
      <w:pPr>
        <w:pStyle w:val="ParaLevel1"/>
        <w:numPr>
          <w:ilvl w:val="0"/>
          <w:numId w:val="0"/>
        </w:numPr>
        <w:rPr>
          <w:b/>
          <w:bCs/>
          <w:lang w:eastAsia="en-GB"/>
        </w:rPr>
      </w:pPr>
      <w:r>
        <w:rPr>
          <w:b/>
          <w:bCs/>
          <w:lang w:eastAsia="en-GB"/>
        </w:rPr>
        <w:t>R</w:t>
      </w:r>
      <w:r w:rsidR="00F76E6A" w:rsidRPr="00F76E6A">
        <w:rPr>
          <w:b/>
          <w:bCs/>
          <w:lang w:eastAsia="en-GB"/>
        </w:rPr>
        <w:t>emaining disputes</w:t>
      </w:r>
    </w:p>
    <w:p w14:paraId="64FBB510" w14:textId="23C2B230" w:rsidR="00CF1F1F" w:rsidRDefault="00CF1F1F" w:rsidP="00CF1F1F">
      <w:pPr>
        <w:pStyle w:val="ParaLevel1"/>
        <w:rPr>
          <w:lang w:eastAsia="en-GB"/>
        </w:rPr>
      </w:pPr>
      <w:r w:rsidRPr="00CF1F1F">
        <w:rPr>
          <w:lang w:eastAsia="en-GB"/>
        </w:rPr>
        <w:t>I am satisfied that the figure that</w:t>
      </w:r>
      <w:r>
        <w:rPr>
          <w:lang w:eastAsia="en-GB"/>
        </w:rPr>
        <w:t xml:space="preserve"> I should take for the value of the matrimonial home is that advanced by the single joint expert</w:t>
      </w:r>
      <w:r w:rsidR="008C5AFB">
        <w:rPr>
          <w:lang w:eastAsia="en-GB"/>
        </w:rPr>
        <w:t>, Mr Woodgate,</w:t>
      </w:r>
      <w:r>
        <w:rPr>
          <w:lang w:eastAsia="en-GB"/>
        </w:rPr>
        <w:t xml:space="preserve"> but on the basis that the planning problems will be resolved. </w:t>
      </w:r>
      <w:r w:rsidR="00466894">
        <w:rPr>
          <w:lang w:eastAsia="en-GB"/>
        </w:rPr>
        <w:t xml:space="preserve">The evidence of </w:t>
      </w:r>
      <w:r w:rsidR="008C5AFB">
        <w:rPr>
          <w:lang w:eastAsia="en-GB"/>
        </w:rPr>
        <w:t xml:space="preserve">Mr </w:t>
      </w:r>
      <w:r w:rsidR="0047199A">
        <w:rPr>
          <w:lang w:eastAsia="en-GB"/>
        </w:rPr>
        <w:t>Woodgate</w:t>
      </w:r>
      <w:r w:rsidR="00466894">
        <w:rPr>
          <w:lang w:eastAsia="en-GB"/>
        </w:rPr>
        <w:t xml:space="preserve"> was well-</w:t>
      </w:r>
      <w:r w:rsidR="00CA3E10">
        <w:rPr>
          <w:lang w:eastAsia="en-GB"/>
        </w:rPr>
        <w:t>researched</w:t>
      </w:r>
      <w:r w:rsidR="00466894">
        <w:rPr>
          <w:lang w:eastAsia="en-GB"/>
        </w:rPr>
        <w:t xml:space="preserve">, </w:t>
      </w:r>
      <w:proofErr w:type="gramStart"/>
      <w:r w:rsidR="00466894">
        <w:rPr>
          <w:lang w:eastAsia="en-GB"/>
        </w:rPr>
        <w:t>rational</w:t>
      </w:r>
      <w:proofErr w:type="gramEnd"/>
      <w:r w:rsidR="00466894">
        <w:rPr>
          <w:lang w:eastAsia="en-GB"/>
        </w:rPr>
        <w:t xml:space="preserve"> and professionally expressed. There is no good reason not to follow it.  </w:t>
      </w:r>
      <w:r w:rsidR="00CB07DE">
        <w:rPr>
          <w:lang w:eastAsia="en-GB"/>
        </w:rPr>
        <w:t xml:space="preserve">An </w:t>
      </w:r>
      <w:r w:rsidR="00CB07DE" w:rsidRPr="00CB07DE">
        <w:rPr>
          <w:lang w:eastAsia="en-GB"/>
        </w:rPr>
        <w:t xml:space="preserve">email from Tom Graham of Route One Planning dated 6 May 2022 addresses each of the planning </w:t>
      </w:r>
      <w:proofErr w:type="gramStart"/>
      <w:r w:rsidR="00CB07DE" w:rsidRPr="00CB07DE">
        <w:rPr>
          <w:lang w:eastAsia="en-GB"/>
        </w:rPr>
        <w:t>problems</w:t>
      </w:r>
      <w:r w:rsidR="00CB07DE">
        <w:rPr>
          <w:lang w:eastAsia="en-GB"/>
        </w:rPr>
        <w:t>, and</w:t>
      </w:r>
      <w:proofErr w:type="gramEnd"/>
      <w:r w:rsidR="00CB07DE">
        <w:rPr>
          <w:lang w:eastAsia="en-GB"/>
        </w:rPr>
        <w:t xml:space="preserve"> expresses confidence that they will be resolved</w:t>
      </w:r>
      <w:r w:rsidR="00CB07DE" w:rsidRPr="00CB07DE">
        <w:rPr>
          <w:lang w:eastAsia="en-GB"/>
        </w:rPr>
        <w:t>.</w:t>
      </w:r>
      <w:r w:rsidR="00432786">
        <w:rPr>
          <w:lang w:eastAsia="en-GB"/>
        </w:rPr>
        <w:t xml:space="preserve"> An updating email from Mr Graham was sent on 18 May 2022</w:t>
      </w:r>
      <w:r w:rsidR="00F878E8">
        <w:rPr>
          <w:lang w:eastAsia="en-GB"/>
        </w:rPr>
        <w:t xml:space="preserve"> which </w:t>
      </w:r>
      <w:r w:rsidR="00613285">
        <w:rPr>
          <w:lang w:eastAsia="en-GB"/>
        </w:rPr>
        <w:t xml:space="preserve">implies </w:t>
      </w:r>
      <w:r w:rsidR="00F878E8">
        <w:rPr>
          <w:lang w:eastAsia="en-GB"/>
        </w:rPr>
        <w:t>further support for his previous analysis.</w:t>
      </w:r>
      <w:r w:rsidR="00A1553B">
        <w:rPr>
          <w:lang w:eastAsia="en-GB"/>
        </w:rPr>
        <w:t xml:space="preserve"> </w:t>
      </w:r>
      <w:r>
        <w:rPr>
          <w:lang w:eastAsia="en-GB"/>
        </w:rPr>
        <w:t>The husband gave evidence about this, and I am satisfied on the balance of probability that his confidence that the planning problems will be resolved</w:t>
      </w:r>
      <w:r w:rsidR="005A4CDF">
        <w:rPr>
          <w:lang w:eastAsia="en-GB"/>
        </w:rPr>
        <w:t>,</w:t>
      </w:r>
      <w:r>
        <w:rPr>
          <w:lang w:eastAsia="en-GB"/>
        </w:rPr>
        <w:t xml:space="preserve"> is justified. Net of notional costs of sale, </w:t>
      </w:r>
      <w:proofErr w:type="gramStart"/>
      <w:r>
        <w:rPr>
          <w:lang w:eastAsia="en-GB"/>
        </w:rPr>
        <w:t>mortgage</w:t>
      </w:r>
      <w:proofErr w:type="gramEnd"/>
      <w:r>
        <w:rPr>
          <w:lang w:eastAsia="en-GB"/>
        </w:rPr>
        <w:t xml:space="preserve"> and notional capital gains tax the figure I</w:t>
      </w:r>
      <w:r w:rsidR="00F871BF">
        <w:rPr>
          <w:lang w:eastAsia="en-GB"/>
        </w:rPr>
        <w:t xml:space="preserve"> take</w:t>
      </w:r>
      <w:r>
        <w:rPr>
          <w:lang w:eastAsia="en-GB"/>
        </w:rPr>
        <w:t xml:space="preserve"> is </w:t>
      </w:r>
      <w:r w:rsidRPr="002D3369">
        <w:rPr>
          <w:b/>
          <w:bCs/>
          <w:lang w:eastAsia="en-GB"/>
        </w:rPr>
        <w:t>£2,620,586</w:t>
      </w:r>
      <w:r>
        <w:rPr>
          <w:lang w:eastAsia="en-GB"/>
        </w:rPr>
        <w:t>.</w:t>
      </w:r>
    </w:p>
    <w:p w14:paraId="7DE4FAF6" w14:textId="679FEBFB" w:rsidR="00A06037" w:rsidRDefault="00A06037" w:rsidP="00CF1F1F">
      <w:pPr>
        <w:pStyle w:val="ParaLevel1"/>
        <w:rPr>
          <w:lang w:eastAsia="en-GB"/>
        </w:rPr>
      </w:pPr>
      <w:r>
        <w:rPr>
          <w:lang w:eastAsia="en-GB"/>
        </w:rPr>
        <w:t xml:space="preserve">I am satisfied that the figure </w:t>
      </w:r>
      <w:r w:rsidR="00466894">
        <w:rPr>
          <w:lang w:eastAsia="en-GB"/>
        </w:rPr>
        <w:t xml:space="preserve">I </w:t>
      </w:r>
      <w:r>
        <w:rPr>
          <w:lang w:eastAsia="en-GB"/>
        </w:rPr>
        <w:t>should take for the husband’s home in Barnet</w:t>
      </w:r>
      <w:r w:rsidR="0019596B">
        <w:rPr>
          <w:lang w:eastAsia="en-GB"/>
        </w:rPr>
        <w:t xml:space="preserve">, </w:t>
      </w:r>
      <w:r w:rsidR="00466894">
        <w:rPr>
          <w:lang w:eastAsia="en-GB"/>
        </w:rPr>
        <w:t>and the adjacent land purchased for £250,000</w:t>
      </w:r>
      <w:r w:rsidR="0019596B">
        <w:rPr>
          <w:lang w:eastAsia="en-GB"/>
        </w:rPr>
        <w:t>,</w:t>
      </w:r>
      <w:r w:rsidR="00466894">
        <w:rPr>
          <w:lang w:eastAsia="en-GB"/>
        </w:rPr>
        <w:t xml:space="preserve"> </w:t>
      </w:r>
      <w:r>
        <w:rPr>
          <w:lang w:eastAsia="en-GB"/>
        </w:rPr>
        <w:t xml:space="preserve">is the </w:t>
      </w:r>
      <w:r w:rsidR="00466894">
        <w:rPr>
          <w:lang w:eastAsia="en-GB"/>
        </w:rPr>
        <w:t xml:space="preserve">aggregate of the </w:t>
      </w:r>
      <w:r>
        <w:rPr>
          <w:lang w:eastAsia="en-GB"/>
        </w:rPr>
        <w:t>purchase price</w:t>
      </w:r>
      <w:r w:rsidR="00466894">
        <w:rPr>
          <w:lang w:eastAsia="en-GB"/>
        </w:rPr>
        <w:t>s</w:t>
      </w:r>
      <w:r>
        <w:rPr>
          <w:lang w:eastAsia="en-GB"/>
        </w:rPr>
        <w:t xml:space="preserve"> less the conventional deductions for mortgage and the like, giving </w:t>
      </w:r>
      <w:r w:rsidRPr="002D3369">
        <w:rPr>
          <w:b/>
          <w:bCs/>
          <w:lang w:eastAsia="en-GB"/>
        </w:rPr>
        <w:t>£813,643</w:t>
      </w:r>
      <w:r>
        <w:rPr>
          <w:lang w:eastAsia="en-GB"/>
        </w:rPr>
        <w:t>. I do not apply a house price index to the purchase figure because the date of purchase is not appreciably different to the date of the valuation of the matrimonial home.</w:t>
      </w:r>
    </w:p>
    <w:p w14:paraId="5E73546D" w14:textId="77777777" w:rsidR="00CB07DE" w:rsidRDefault="00A06037" w:rsidP="00CF1F1F">
      <w:pPr>
        <w:pStyle w:val="ParaLevel1"/>
        <w:rPr>
          <w:lang w:eastAsia="en-GB"/>
        </w:rPr>
      </w:pPr>
      <w:r>
        <w:rPr>
          <w:lang w:eastAsia="en-GB"/>
        </w:rPr>
        <w:t xml:space="preserve">The final asset schedule will include the value of the husband’s classic car and tractor collections, as well as the value of his Bentley. It is reasonable to treat that car as cash in circumstances where the husband has a valuable Mercedes-Benz for everyday use. </w:t>
      </w:r>
      <w:proofErr w:type="gramStart"/>
      <w:r>
        <w:rPr>
          <w:lang w:eastAsia="en-GB"/>
        </w:rPr>
        <w:t>Otherwise</w:t>
      </w:r>
      <w:proofErr w:type="gramEnd"/>
      <w:r>
        <w:rPr>
          <w:lang w:eastAsia="en-GB"/>
        </w:rPr>
        <w:t xml:space="preserve"> I do not take into account the value of any chattels and I certainly do not introduce the value of a missing bracelet in respect of which I do not have sufficient evidence to find the husband guilty of appropriating and secreting it.</w:t>
      </w:r>
    </w:p>
    <w:p w14:paraId="3B9049C7" w14:textId="6E394379" w:rsidR="00CF1F1F" w:rsidRPr="00CF1F1F" w:rsidRDefault="00CB07DE" w:rsidP="00CF1F1F">
      <w:pPr>
        <w:pStyle w:val="ParaLevel1"/>
        <w:rPr>
          <w:lang w:eastAsia="en-GB"/>
        </w:rPr>
      </w:pPr>
      <w:r>
        <w:rPr>
          <w:lang w:eastAsia="en-GB"/>
        </w:rPr>
        <w:t xml:space="preserve">I do not include the value of the Unfunded Unapproved Retirement Benefit Scheme established by Galldriss as it is agreed that the case should be </w:t>
      </w:r>
      <w:r w:rsidR="002D3369">
        <w:rPr>
          <w:lang w:eastAsia="en-GB"/>
        </w:rPr>
        <w:t xml:space="preserve">approached on the footing that this scheme will be set aside </w:t>
      </w:r>
      <w:r w:rsidR="002D3369" w:rsidRPr="00CA3E10">
        <w:rPr>
          <w:i/>
          <w:iCs/>
          <w:lang w:eastAsia="en-GB"/>
        </w:rPr>
        <w:t>ab initio</w:t>
      </w:r>
      <w:r w:rsidR="002D3369">
        <w:rPr>
          <w:lang w:eastAsia="en-GB"/>
        </w:rPr>
        <w:t>. I ignore the wife’s de minimis teacher’s pension.</w:t>
      </w:r>
      <w:r w:rsidR="00A06037" w:rsidRPr="00A06037">
        <w:rPr>
          <w:lang w:eastAsia="en-GB"/>
        </w:rPr>
        <w:t xml:space="preserve"> </w:t>
      </w:r>
      <w:r w:rsidR="00CF1F1F" w:rsidRPr="00CF1F1F">
        <w:rPr>
          <w:lang w:eastAsia="en-GB"/>
        </w:rPr>
        <w:t xml:space="preserve">  </w:t>
      </w:r>
    </w:p>
    <w:p w14:paraId="39524BAC" w14:textId="2165057D" w:rsidR="00F76E6A" w:rsidRPr="00F76E6A" w:rsidRDefault="00F76E6A" w:rsidP="00F76E6A">
      <w:pPr>
        <w:pStyle w:val="ParaLevel1"/>
        <w:numPr>
          <w:ilvl w:val="0"/>
          <w:numId w:val="0"/>
        </w:numPr>
        <w:rPr>
          <w:b/>
          <w:bCs/>
          <w:lang w:eastAsia="en-GB"/>
        </w:rPr>
      </w:pPr>
      <w:r w:rsidRPr="00F76E6A">
        <w:rPr>
          <w:b/>
          <w:bCs/>
          <w:lang w:eastAsia="en-GB"/>
        </w:rPr>
        <w:t>Final asset schedule</w:t>
      </w:r>
    </w:p>
    <w:p w14:paraId="5B1A6A35" w14:textId="6F1BE0B7" w:rsidR="00CE6F44" w:rsidRDefault="00A06037" w:rsidP="005D7CF3">
      <w:pPr>
        <w:pStyle w:val="ParaLevel1"/>
        <w:rPr>
          <w:lang w:eastAsia="en-GB"/>
        </w:rPr>
      </w:pPr>
      <w:r>
        <w:rPr>
          <w:lang w:eastAsia="en-GB"/>
        </w:rPr>
        <w:t>The final asset schedule is therefore as follows</w:t>
      </w:r>
      <w:r w:rsidR="00CE6F44">
        <w:rPr>
          <w:lang w:eastAsia="en-GB"/>
        </w:rPr>
        <w:t xml:space="preserve">: </w:t>
      </w:r>
    </w:p>
    <w:tbl>
      <w:tblPr>
        <w:tblW w:w="7353" w:type="dxa"/>
        <w:tblInd w:w="709" w:type="dxa"/>
        <w:tblLook w:val="04A0" w:firstRow="1" w:lastRow="0" w:firstColumn="1" w:lastColumn="0" w:noHBand="0" w:noVBand="1"/>
      </w:tblPr>
      <w:tblGrid>
        <w:gridCol w:w="4820"/>
        <w:gridCol w:w="1336"/>
        <w:gridCol w:w="1197"/>
      </w:tblGrid>
      <w:tr w:rsidR="00CE6F44" w14:paraId="27AD001D" w14:textId="77777777" w:rsidTr="00663040">
        <w:trPr>
          <w:trHeight w:val="309"/>
        </w:trPr>
        <w:tc>
          <w:tcPr>
            <w:tcW w:w="4820" w:type="dxa"/>
            <w:tcBorders>
              <w:top w:val="nil"/>
              <w:left w:val="nil"/>
              <w:bottom w:val="nil"/>
              <w:right w:val="nil"/>
            </w:tcBorders>
            <w:shd w:val="clear" w:color="auto" w:fill="auto"/>
            <w:noWrap/>
            <w:vAlign w:val="bottom"/>
            <w:hideMark/>
          </w:tcPr>
          <w:p w14:paraId="0C4DB774" w14:textId="65A3AFBF" w:rsidR="00CE6F44" w:rsidRDefault="00CE6F44">
            <w:pPr>
              <w:rPr>
                <w:b/>
                <w:bCs/>
                <w:lang w:eastAsia="en-GB"/>
              </w:rPr>
            </w:pPr>
            <w:r>
              <w:rPr>
                <w:b/>
                <w:bCs/>
              </w:rPr>
              <w:t>Non-business assets</w:t>
            </w:r>
          </w:p>
        </w:tc>
        <w:tc>
          <w:tcPr>
            <w:tcW w:w="1336" w:type="dxa"/>
            <w:tcBorders>
              <w:top w:val="nil"/>
              <w:left w:val="nil"/>
              <w:bottom w:val="nil"/>
              <w:right w:val="nil"/>
            </w:tcBorders>
            <w:shd w:val="clear" w:color="auto" w:fill="auto"/>
            <w:noWrap/>
            <w:vAlign w:val="bottom"/>
            <w:hideMark/>
          </w:tcPr>
          <w:p w14:paraId="1C838A53" w14:textId="77777777" w:rsidR="00CE6F44" w:rsidRDefault="00CE6F44">
            <w:pPr>
              <w:rPr>
                <w:b/>
                <w:bCs/>
              </w:rPr>
            </w:pPr>
          </w:p>
        </w:tc>
        <w:tc>
          <w:tcPr>
            <w:tcW w:w="1197" w:type="dxa"/>
            <w:tcBorders>
              <w:top w:val="nil"/>
              <w:left w:val="nil"/>
              <w:bottom w:val="nil"/>
              <w:right w:val="nil"/>
            </w:tcBorders>
            <w:shd w:val="clear" w:color="auto" w:fill="auto"/>
            <w:noWrap/>
            <w:vAlign w:val="bottom"/>
            <w:hideMark/>
          </w:tcPr>
          <w:p w14:paraId="7D5E59EE" w14:textId="77777777" w:rsidR="00CE6F44" w:rsidRDefault="00CE6F44">
            <w:pPr>
              <w:rPr>
                <w:sz w:val="20"/>
                <w:szCs w:val="20"/>
              </w:rPr>
            </w:pPr>
          </w:p>
        </w:tc>
      </w:tr>
      <w:tr w:rsidR="00CE6F44" w14:paraId="04BFCAE8" w14:textId="77777777" w:rsidTr="00663040">
        <w:trPr>
          <w:trHeight w:val="309"/>
        </w:trPr>
        <w:tc>
          <w:tcPr>
            <w:tcW w:w="4820" w:type="dxa"/>
            <w:tcBorders>
              <w:top w:val="nil"/>
              <w:left w:val="nil"/>
              <w:bottom w:val="nil"/>
              <w:right w:val="nil"/>
            </w:tcBorders>
            <w:shd w:val="clear" w:color="auto" w:fill="auto"/>
            <w:noWrap/>
            <w:vAlign w:val="bottom"/>
            <w:hideMark/>
          </w:tcPr>
          <w:p w14:paraId="32EA2DBB" w14:textId="77777777" w:rsidR="00CE6F44" w:rsidRDefault="00CE6F44">
            <w:r>
              <w:t>Former matrimonial home, Barnet</w:t>
            </w:r>
          </w:p>
        </w:tc>
        <w:tc>
          <w:tcPr>
            <w:tcW w:w="1336" w:type="dxa"/>
            <w:tcBorders>
              <w:top w:val="nil"/>
              <w:left w:val="nil"/>
              <w:bottom w:val="nil"/>
              <w:right w:val="nil"/>
            </w:tcBorders>
            <w:shd w:val="clear" w:color="auto" w:fill="auto"/>
            <w:noWrap/>
            <w:vAlign w:val="bottom"/>
            <w:hideMark/>
          </w:tcPr>
          <w:p w14:paraId="5CE92690" w14:textId="77777777" w:rsidR="00CE6F44" w:rsidRDefault="00CE6F44">
            <w:pPr>
              <w:jc w:val="right"/>
            </w:pPr>
            <w:r>
              <w:t xml:space="preserve">2,620,586 </w:t>
            </w:r>
          </w:p>
        </w:tc>
        <w:tc>
          <w:tcPr>
            <w:tcW w:w="1197" w:type="dxa"/>
            <w:tcBorders>
              <w:top w:val="nil"/>
              <w:left w:val="nil"/>
              <w:bottom w:val="nil"/>
              <w:right w:val="nil"/>
            </w:tcBorders>
            <w:shd w:val="clear" w:color="auto" w:fill="auto"/>
            <w:noWrap/>
            <w:vAlign w:val="bottom"/>
            <w:hideMark/>
          </w:tcPr>
          <w:p w14:paraId="77795506" w14:textId="77777777" w:rsidR="00CE6F44" w:rsidRDefault="00CE6F44">
            <w:pPr>
              <w:jc w:val="right"/>
            </w:pPr>
          </w:p>
        </w:tc>
      </w:tr>
      <w:tr w:rsidR="00CE6F44" w14:paraId="357EAE74" w14:textId="77777777" w:rsidTr="00663040">
        <w:trPr>
          <w:trHeight w:val="309"/>
        </w:trPr>
        <w:tc>
          <w:tcPr>
            <w:tcW w:w="4820" w:type="dxa"/>
            <w:tcBorders>
              <w:top w:val="nil"/>
              <w:left w:val="nil"/>
              <w:bottom w:val="nil"/>
              <w:right w:val="nil"/>
            </w:tcBorders>
            <w:shd w:val="clear" w:color="auto" w:fill="auto"/>
            <w:noWrap/>
            <w:vAlign w:val="bottom"/>
            <w:hideMark/>
          </w:tcPr>
          <w:p w14:paraId="4CD7E658" w14:textId="55F8D58A" w:rsidR="00CE6F44" w:rsidRDefault="00CE6F44">
            <w:r>
              <w:t>H's home in Barnet</w:t>
            </w:r>
            <w:r w:rsidR="00753C73">
              <w:t xml:space="preserve"> and adjacent land</w:t>
            </w:r>
          </w:p>
        </w:tc>
        <w:tc>
          <w:tcPr>
            <w:tcW w:w="1336" w:type="dxa"/>
            <w:tcBorders>
              <w:top w:val="nil"/>
              <w:left w:val="nil"/>
              <w:bottom w:val="nil"/>
              <w:right w:val="nil"/>
            </w:tcBorders>
            <w:shd w:val="clear" w:color="auto" w:fill="auto"/>
            <w:noWrap/>
            <w:vAlign w:val="bottom"/>
            <w:hideMark/>
          </w:tcPr>
          <w:p w14:paraId="11ACA36D" w14:textId="77777777" w:rsidR="00CE6F44" w:rsidRDefault="00CE6F44">
            <w:pPr>
              <w:jc w:val="right"/>
            </w:pPr>
            <w:r>
              <w:t xml:space="preserve">813,643 </w:t>
            </w:r>
          </w:p>
        </w:tc>
        <w:tc>
          <w:tcPr>
            <w:tcW w:w="1197" w:type="dxa"/>
            <w:tcBorders>
              <w:top w:val="nil"/>
              <w:left w:val="nil"/>
              <w:bottom w:val="nil"/>
              <w:right w:val="nil"/>
            </w:tcBorders>
            <w:shd w:val="clear" w:color="auto" w:fill="auto"/>
            <w:noWrap/>
            <w:vAlign w:val="bottom"/>
            <w:hideMark/>
          </w:tcPr>
          <w:p w14:paraId="27063DD4" w14:textId="77777777" w:rsidR="00CE6F44" w:rsidRDefault="00CE6F44">
            <w:pPr>
              <w:jc w:val="right"/>
            </w:pPr>
          </w:p>
        </w:tc>
      </w:tr>
      <w:tr w:rsidR="00CE6F44" w14:paraId="79216366" w14:textId="77777777" w:rsidTr="00663040">
        <w:trPr>
          <w:trHeight w:val="309"/>
        </w:trPr>
        <w:tc>
          <w:tcPr>
            <w:tcW w:w="4820" w:type="dxa"/>
            <w:tcBorders>
              <w:top w:val="nil"/>
              <w:left w:val="nil"/>
              <w:bottom w:val="nil"/>
              <w:right w:val="nil"/>
            </w:tcBorders>
            <w:shd w:val="clear" w:color="auto" w:fill="auto"/>
            <w:noWrap/>
            <w:vAlign w:val="bottom"/>
            <w:hideMark/>
          </w:tcPr>
          <w:p w14:paraId="57F77A12" w14:textId="77777777" w:rsidR="00CE6F44" w:rsidRDefault="00CE6F44">
            <w:r>
              <w:t>Irish property No 1</w:t>
            </w:r>
          </w:p>
        </w:tc>
        <w:tc>
          <w:tcPr>
            <w:tcW w:w="1336" w:type="dxa"/>
            <w:tcBorders>
              <w:top w:val="nil"/>
              <w:left w:val="nil"/>
              <w:bottom w:val="nil"/>
              <w:right w:val="nil"/>
            </w:tcBorders>
            <w:shd w:val="clear" w:color="auto" w:fill="auto"/>
            <w:noWrap/>
            <w:vAlign w:val="bottom"/>
            <w:hideMark/>
          </w:tcPr>
          <w:p w14:paraId="4C12EDE3" w14:textId="77777777" w:rsidR="00CE6F44" w:rsidRDefault="00CE6F44">
            <w:pPr>
              <w:jc w:val="right"/>
            </w:pPr>
            <w:r>
              <w:t xml:space="preserve">157,059 </w:t>
            </w:r>
          </w:p>
        </w:tc>
        <w:tc>
          <w:tcPr>
            <w:tcW w:w="1197" w:type="dxa"/>
            <w:tcBorders>
              <w:top w:val="nil"/>
              <w:left w:val="nil"/>
              <w:bottom w:val="nil"/>
              <w:right w:val="nil"/>
            </w:tcBorders>
            <w:shd w:val="clear" w:color="auto" w:fill="auto"/>
            <w:noWrap/>
            <w:vAlign w:val="bottom"/>
            <w:hideMark/>
          </w:tcPr>
          <w:p w14:paraId="0D3D0625" w14:textId="77777777" w:rsidR="00CE6F44" w:rsidRDefault="00CE6F44">
            <w:pPr>
              <w:jc w:val="right"/>
            </w:pPr>
          </w:p>
        </w:tc>
      </w:tr>
      <w:tr w:rsidR="00CE6F44" w14:paraId="36CC5995" w14:textId="77777777" w:rsidTr="00663040">
        <w:trPr>
          <w:trHeight w:val="309"/>
        </w:trPr>
        <w:tc>
          <w:tcPr>
            <w:tcW w:w="4820" w:type="dxa"/>
            <w:tcBorders>
              <w:top w:val="nil"/>
              <w:left w:val="nil"/>
              <w:bottom w:val="nil"/>
              <w:right w:val="nil"/>
            </w:tcBorders>
            <w:shd w:val="clear" w:color="auto" w:fill="auto"/>
            <w:noWrap/>
            <w:vAlign w:val="bottom"/>
            <w:hideMark/>
          </w:tcPr>
          <w:p w14:paraId="10EF3578" w14:textId="77777777" w:rsidR="00CE6F44" w:rsidRDefault="00CE6F44">
            <w:r>
              <w:t>Irish property No 2</w:t>
            </w:r>
          </w:p>
        </w:tc>
        <w:tc>
          <w:tcPr>
            <w:tcW w:w="1336" w:type="dxa"/>
            <w:tcBorders>
              <w:top w:val="nil"/>
              <w:left w:val="nil"/>
              <w:bottom w:val="nil"/>
              <w:right w:val="nil"/>
            </w:tcBorders>
            <w:shd w:val="clear" w:color="auto" w:fill="auto"/>
            <w:noWrap/>
            <w:vAlign w:val="bottom"/>
            <w:hideMark/>
          </w:tcPr>
          <w:p w14:paraId="43E30859" w14:textId="77777777" w:rsidR="00CE6F44" w:rsidRDefault="00CE6F44">
            <w:pPr>
              <w:jc w:val="right"/>
            </w:pPr>
            <w:r>
              <w:t xml:space="preserve">131,045 </w:t>
            </w:r>
          </w:p>
        </w:tc>
        <w:tc>
          <w:tcPr>
            <w:tcW w:w="1197" w:type="dxa"/>
            <w:tcBorders>
              <w:top w:val="nil"/>
              <w:left w:val="nil"/>
              <w:bottom w:val="nil"/>
              <w:right w:val="nil"/>
            </w:tcBorders>
            <w:shd w:val="clear" w:color="auto" w:fill="auto"/>
            <w:noWrap/>
            <w:vAlign w:val="bottom"/>
            <w:hideMark/>
          </w:tcPr>
          <w:p w14:paraId="77C40A4E" w14:textId="77777777" w:rsidR="00CE6F44" w:rsidRDefault="00CE6F44">
            <w:pPr>
              <w:jc w:val="right"/>
            </w:pPr>
          </w:p>
        </w:tc>
      </w:tr>
      <w:tr w:rsidR="00CE6F44" w14:paraId="0AF49C54" w14:textId="77777777" w:rsidTr="00663040">
        <w:trPr>
          <w:trHeight w:val="309"/>
        </w:trPr>
        <w:tc>
          <w:tcPr>
            <w:tcW w:w="4820" w:type="dxa"/>
            <w:tcBorders>
              <w:top w:val="nil"/>
              <w:left w:val="nil"/>
              <w:bottom w:val="nil"/>
              <w:right w:val="nil"/>
            </w:tcBorders>
            <w:shd w:val="clear" w:color="auto" w:fill="auto"/>
            <w:noWrap/>
            <w:vAlign w:val="bottom"/>
            <w:hideMark/>
          </w:tcPr>
          <w:p w14:paraId="58957DB9" w14:textId="77777777" w:rsidR="00CE6F44" w:rsidRDefault="00CE6F44">
            <w:r>
              <w:t>Irish property No 3</w:t>
            </w:r>
          </w:p>
        </w:tc>
        <w:tc>
          <w:tcPr>
            <w:tcW w:w="1336" w:type="dxa"/>
            <w:tcBorders>
              <w:top w:val="nil"/>
              <w:left w:val="nil"/>
              <w:bottom w:val="nil"/>
              <w:right w:val="nil"/>
            </w:tcBorders>
            <w:shd w:val="clear" w:color="auto" w:fill="auto"/>
            <w:noWrap/>
            <w:vAlign w:val="bottom"/>
            <w:hideMark/>
          </w:tcPr>
          <w:p w14:paraId="7A04FED1" w14:textId="77777777" w:rsidR="00CE6F44" w:rsidRDefault="00CE6F44">
            <w:pPr>
              <w:jc w:val="right"/>
            </w:pPr>
            <w:r>
              <w:t xml:space="preserve">746,236 </w:t>
            </w:r>
          </w:p>
        </w:tc>
        <w:tc>
          <w:tcPr>
            <w:tcW w:w="1197" w:type="dxa"/>
            <w:tcBorders>
              <w:top w:val="nil"/>
              <w:left w:val="nil"/>
              <w:bottom w:val="nil"/>
              <w:right w:val="nil"/>
            </w:tcBorders>
            <w:shd w:val="clear" w:color="auto" w:fill="auto"/>
            <w:noWrap/>
            <w:vAlign w:val="bottom"/>
            <w:hideMark/>
          </w:tcPr>
          <w:p w14:paraId="2CB0853F" w14:textId="77777777" w:rsidR="00CE6F44" w:rsidRDefault="00CE6F44">
            <w:pPr>
              <w:jc w:val="right"/>
            </w:pPr>
          </w:p>
        </w:tc>
      </w:tr>
      <w:tr w:rsidR="00CE6F44" w14:paraId="75F60280" w14:textId="77777777" w:rsidTr="00663040">
        <w:trPr>
          <w:trHeight w:val="309"/>
        </w:trPr>
        <w:tc>
          <w:tcPr>
            <w:tcW w:w="4820" w:type="dxa"/>
            <w:tcBorders>
              <w:top w:val="nil"/>
              <w:left w:val="nil"/>
              <w:bottom w:val="nil"/>
              <w:right w:val="nil"/>
            </w:tcBorders>
            <w:shd w:val="clear" w:color="auto" w:fill="auto"/>
            <w:noWrap/>
            <w:vAlign w:val="bottom"/>
            <w:hideMark/>
          </w:tcPr>
          <w:p w14:paraId="651DFF35" w14:textId="77777777" w:rsidR="00CE6F44" w:rsidRDefault="00CE6F44">
            <w:r>
              <w:t>Irish property No 4</w:t>
            </w:r>
          </w:p>
        </w:tc>
        <w:tc>
          <w:tcPr>
            <w:tcW w:w="1336" w:type="dxa"/>
            <w:tcBorders>
              <w:top w:val="nil"/>
              <w:left w:val="nil"/>
              <w:bottom w:val="nil"/>
              <w:right w:val="nil"/>
            </w:tcBorders>
            <w:shd w:val="clear" w:color="auto" w:fill="auto"/>
            <w:noWrap/>
            <w:vAlign w:val="bottom"/>
            <w:hideMark/>
          </w:tcPr>
          <w:p w14:paraId="4AD4730A" w14:textId="77777777" w:rsidR="00CE6F44" w:rsidRDefault="00CE6F44">
            <w:pPr>
              <w:jc w:val="right"/>
            </w:pPr>
            <w:r>
              <w:t xml:space="preserve">65,523 </w:t>
            </w:r>
          </w:p>
        </w:tc>
        <w:tc>
          <w:tcPr>
            <w:tcW w:w="1197" w:type="dxa"/>
            <w:tcBorders>
              <w:top w:val="nil"/>
              <w:left w:val="nil"/>
              <w:bottom w:val="nil"/>
              <w:right w:val="nil"/>
            </w:tcBorders>
            <w:shd w:val="clear" w:color="auto" w:fill="auto"/>
            <w:noWrap/>
            <w:vAlign w:val="bottom"/>
            <w:hideMark/>
          </w:tcPr>
          <w:p w14:paraId="534E17DB" w14:textId="77777777" w:rsidR="00CE6F44" w:rsidRDefault="00CE6F44">
            <w:pPr>
              <w:jc w:val="right"/>
            </w:pPr>
          </w:p>
        </w:tc>
      </w:tr>
      <w:tr w:rsidR="00CE6F44" w14:paraId="7E668682" w14:textId="77777777" w:rsidTr="00663040">
        <w:trPr>
          <w:trHeight w:val="309"/>
        </w:trPr>
        <w:tc>
          <w:tcPr>
            <w:tcW w:w="4820" w:type="dxa"/>
            <w:tcBorders>
              <w:top w:val="nil"/>
              <w:left w:val="nil"/>
              <w:bottom w:val="nil"/>
              <w:right w:val="nil"/>
            </w:tcBorders>
            <w:shd w:val="clear" w:color="auto" w:fill="auto"/>
            <w:noWrap/>
            <w:vAlign w:val="bottom"/>
            <w:hideMark/>
          </w:tcPr>
          <w:p w14:paraId="79CACF73" w14:textId="77777777" w:rsidR="00CE6F44" w:rsidRDefault="00CE6F44">
            <w:r>
              <w:t>H's vehicle collections and Bentley</w:t>
            </w:r>
          </w:p>
        </w:tc>
        <w:tc>
          <w:tcPr>
            <w:tcW w:w="1336" w:type="dxa"/>
            <w:tcBorders>
              <w:top w:val="nil"/>
              <w:left w:val="nil"/>
              <w:bottom w:val="nil"/>
              <w:right w:val="nil"/>
            </w:tcBorders>
            <w:shd w:val="clear" w:color="auto" w:fill="auto"/>
            <w:noWrap/>
            <w:vAlign w:val="bottom"/>
            <w:hideMark/>
          </w:tcPr>
          <w:p w14:paraId="74855ECB" w14:textId="77777777" w:rsidR="00CE6F44" w:rsidRDefault="00CE6F44">
            <w:pPr>
              <w:jc w:val="right"/>
            </w:pPr>
            <w:r>
              <w:t xml:space="preserve">203,500 </w:t>
            </w:r>
          </w:p>
        </w:tc>
        <w:tc>
          <w:tcPr>
            <w:tcW w:w="1197" w:type="dxa"/>
            <w:tcBorders>
              <w:top w:val="nil"/>
              <w:left w:val="nil"/>
              <w:bottom w:val="nil"/>
              <w:right w:val="nil"/>
            </w:tcBorders>
            <w:shd w:val="clear" w:color="auto" w:fill="auto"/>
            <w:noWrap/>
            <w:vAlign w:val="bottom"/>
            <w:hideMark/>
          </w:tcPr>
          <w:p w14:paraId="3B9280DE" w14:textId="77777777" w:rsidR="00CE6F44" w:rsidRDefault="00CE6F44">
            <w:pPr>
              <w:jc w:val="right"/>
            </w:pPr>
          </w:p>
        </w:tc>
      </w:tr>
      <w:tr w:rsidR="00CE6F44" w14:paraId="757F9B73" w14:textId="77777777" w:rsidTr="00663040">
        <w:trPr>
          <w:trHeight w:val="309"/>
        </w:trPr>
        <w:tc>
          <w:tcPr>
            <w:tcW w:w="4820" w:type="dxa"/>
            <w:tcBorders>
              <w:top w:val="nil"/>
              <w:left w:val="nil"/>
              <w:bottom w:val="nil"/>
              <w:right w:val="nil"/>
            </w:tcBorders>
            <w:shd w:val="clear" w:color="auto" w:fill="auto"/>
            <w:noWrap/>
            <w:vAlign w:val="bottom"/>
            <w:hideMark/>
          </w:tcPr>
          <w:p w14:paraId="3E431C77" w14:textId="77777777" w:rsidR="00CE6F44" w:rsidRDefault="00CE6F44">
            <w:r>
              <w:t>Joint funds</w:t>
            </w:r>
          </w:p>
        </w:tc>
        <w:tc>
          <w:tcPr>
            <w:tcW w:w="1336" w:type="dxa"/>
            <w:tcBorders>
              <w:top w:val="nil"/>
              <w:left w:val="nil"/>
              <w:bottom w:val="nil"/>
              <w:right w:val="nil"/>
            </w:tcBorders>
            <w:shd w:val="clear" w:color="auto" w:fill="auto"/>
            <w:noWrap/>
            <w:vAlign w:val="bottom"/>
            <w:hideMark/>
          </w:tcPr>
          <w:p w14:paraId="2FA7E928" w14:textId="77777777" w:rsidR="00CE6F44" w:rsidRDefault="00CE6F44">
            <w:pPr>
              <w:jc w:val="right"/>
            </w:pPr>
            <w:r>
              <w:t xml:space="preserve">2,631 </w:t>
            </w:r>
          </w:p>
        </w:tc>
        <w:tc>
          <w:tcPr>
            <w:tcW w:w="1197" w:type="dxa"/>
            <w:tcBorders>
              <w:top w:val="nil"/>
              <w:left w:val="nil"/>
              <w:bottom w:val="nil"/>
              <w:right w:val="nil"/>
            </w:tcBorders>
            <w:shd w:val="clear" w:color="auto" w:fill="auto"/>
            <w:noWrap/>
            <w:vAlign w:val="bottom"/>
            <w:hideMark/>
          </w:tcPr>
          <w:p w14:paraId="57A87AE6" w14:textId="77777777" w:rsidR="00CE6F44" w:rsidRDefault="00CE6F44">
            <w:pPr>
              <w:jc w:val="right"/>
            </w:pPr>
          </w:p>
        </w:tc>
      </w:tr>
      <w:tr w:rsidR="00CE6F44" w14:paraId="40CD2A0B" w14:textId="77777777" w:rsidTr="00663040">
        <w:trPr>
          <w:trHeight w:val="309"/>
        </w:trPr>
        <w:tc>
          <w:tcPr>
            <w:tcW w:w="4820" w:type="dxa"/>
            <w:tcBorders>
              <w:top w:val="nil"/>
              <w:left w:val="nil"/>
              <w:bottom w:val="nil"/>
              <w:right w:val="nil"/>
            </w:tcBorders>
            <w:shd w:val="clear" w:color="auto" w:fill="auto"/>
            <w:noWrap/>
            <w:vAlign w:val="bottom"/>
            <w:hideMark/>
          </w:tcPr>
          <w:p w14:paraId="3B7B7913" w14:textId="77777777" w:rsidR="00CE6F44" w:rsidRDefault="00CE6F44">
            <w:r>
              <w:t>H's funds</w:t>
            </w:r>
          </w:p>
        </w:tc>
        <w:tc>
          <w:tcPr>
            <w:tcW w:w="1336" w:type="dxa"/>
            <w:tcBorders>
              <w:top w:val="nil"/>
              <w:left w:val="nil"/>
              <w:bottom w:val="nil"/>
              <w:right w:val="nil"/>
            </w:tcBorders>
            <w:shd w:val="clear" w:color="auto" w:fill="auto"/>
            <w:noWrap/>
            <w:vAlign w:val="bottom"/>
            <w:hideMark/>
          </w:tcPr>
          <w:p w14:paraId="0AE08FC5" w14:textId="77777777" w:rsidR="00CE6F44" w:rsidRPr="009B6681" w:rsidRDefault="00CE6F44">
            <w:pPr>
              <w:jc w:val="right"/>
              <w:rPr>
                <w:color w:val="FF0000"/>
              </w:rPr>
            </w:pPr>
            <w:r w:rsidRPr="009B6681">
              <w:rPr>
                <w:color w:val="FF0000"/>
              </w:rPr>
              <w:t>(9,286)</w:t>
            </w:r>
          </w:p>
        </w:tc>
        <w:tc>
          <w:tcPr>
            <w:tcW w:w="1197" w:type="dxa"/>
            <w:tcBorders>
              <w:top w:val="nil"/>
              <w:left w:val="nil"/>
              <w:bottom w:val="nil"/>
              <w:right w:val="nil"/>
            </w:tcBorders>
            <w:shd w:val="clear" w:color="auto" w:fill="auto"/>
            <w:noWrap/>
            <w:vAlign w:val="bottom"/>
            <w:hideMark/>
          </w:tcPr>
          <w:p w14:paraId="63F81F14" w14:textId="77777777" w:rsidR="00CE6F44" w:rsidRDefault="00CE6F44">
            <w:pPr>
              <w:jc w:val="right"/>
            </w:pPr>
          </w:p>
        </w:tc>
      </w:tr>
      <w:tr w:rsidR="00CE6F44" w14:paraId="77D3985F" w14:textId="77777777" w:rsidTr="00663040">
        <w:trPr>
          <w:trHeight w:val="309"/>
        </w:trPr>
        <w:tc>
          <w:tcPr>
            <w:tcW w:w="4820" w:type="dxa"/>
            <w:tcBorders>
              <w:top w:val="nil"/>
              <w:left w:val="nil"/>
              <w:bottom w:val="nil"/>
              <w:right w:val="nil"/>
            </w:tcBorders>
            <w:shd w:val="clear" w:color="auto" w:fill="auto"/>
            <w:noWrap/>
            <w:vAlign w:val="bottom"/>
            <w:hideMark/>
          </w:tcPr>
          <w:p w14:paraId="19D2B16E" w14:textId="77777777" w:rsidR="00CE6F44" w:rsidRDefault="00CE6F44">
            <w:r>
              <w:t>H's contingent debts</w:t>
            </w:r>
          </w:p>
        </w:tc>
        <w:tc>
          <w:tcPr>
            <w:tcW w:w="1336" w:type="dxa"/>
            <w:tcBorders>
              <w:top w:val="nil"/>
              <w:left w:val="nil"/>
              <w:bottom w:val="nil"/>
              <w:right w:val="nil"/>
            </w:tcBorders>
            <w:shd w:val="clear" w:color="auto" w:fill="auto"/>
            <w:noWrap/>
            <w:vAlign w:val="bottom"/>
            <w:hideMark/>
          </w:tcPr>
          <w:p w14:paraId="42ED7CBD" w14:textId="4DA6FE15" w:rsidR="00CE6F44" w:rsidRPr="009B6681" w:rsidRDefault="0021682A">
            <w:pPr>
              <w:jc w:val="right"/>
              <w:rPr>
                <w:color w:val="FF0000"/>
              </w:rPr>
            </w:pPr>
            <w:r w:rsidRPr="00E638BC">
              <w:rPr>
                <w:rFonts w:eastAsiaTheme="minorEastAsia"/>
                <w:color w:val="FF0000"/>
                <w:lang w:eastAsia="en-GB"/>
              </w:rPr>
              <w:t>(3,117,139)</w:t>
            </w:r>
          </w:p>
        </w:tc>
        <w:tc>
          <w:tcPr>
            <w:tcW w:w="1197" w:type="dxa"/>
            <w:tcBorders>
              <w:top w:val="nil"/>
              <w:left w:val="nil"/>
              <w:bottom w:val="nil"/>
              <w:right w:val="nil"/>
            </w:tcBorders>
            <w:shd w:val="clear" w:color="auto" w:fill="auto"/>
            <w:noWrap/>
            <w:vAlign w:val="bottom"/>
            <w:hideMark/>
          </w:tcPr>
          <w:p w14:paraId="2BD725D8" w14:textId="77777777" w:rsidR="00CE6F44" w:rsidRDefault="00CE6F44">
            <w:pPr>
              <w:jc w:val="right"/>
            </w:pPr>
          </w:p>
        </w:tc>
      </w:tr>
      <w:tr w:rsidR="00CE6F44" w14:paraId="7CA22FCC" w14:textId="77777777" w:rsidTr="00663040">
        <w:trPr>
          <w:trHeight w:val="309"/>
        </w:trPr>
        <w:tc>
          <w:tcPr>
            <w:tcW w:w="4820" w:type="dxa"/>
            <w:tcBorders>
              <w:top w:val="nil"/>
              <w:left w:val="nil"/>
              <w:bottom w:val="nil"/>
              <w:right w:val="nil"/>
            </w:tcBorders>
            <w:shd w:val="clear" w:color="auto" w:fill="auto"/>
            <w:noWrap/>
            <w:vAlign w:val="bottom"/>
            <w:hideMark/>
          </w:tcPr>
          <w:p w14:paraId="0B896A9A" w14:textId="77777777" w:rsidR="00CE6F44" w:rsidRDefault="00CE6F44">
            <w:r>
              <w:t>W's funds</w:t>
            </w:r>
          </w:p>
        </w:tc>
        <w:tc>
          <w:tcPr>
            <w:tcW w:w="1336" w:type="dxa"/>
            <w:tcBorders>
              <w:top w:val="nil"/>
              <w:left w:val="nil"/>
              <w:bottom w:val="single" w:sz="4" w:space="0" w:color="auto"/>
              <w:right w:val="nil"/>
            </w:tcBorders>
            <w:shd w:val="clear" w:color="auto" w:fill="auto"/>
            <w:noWrap/>
            <w:vAlign w:val="bottom"/>
            <w:hideMark/>
          </w:tcPr>
          <w:p w14:paraId="31CB539D" w14:textId="77777777" w:rsidR="00CE6F44" w:rsidRPr="009B6681" w:rsidRDefault="00CE6F44">
            <w:pPr>
              <w:jc w:val="right"/>
              <w:rPr>
                <w:color w:val="FF0000"/>
              </w:rPr>
            </w:pPr>
            <w:r w:rsidRPr="009B6681">
              <w:rPr>
                <w:color w:val="FF0000"/>
              </w:rPr>
              <w:t>(714,106)</w:t>
            </w:r>
          </w:p>
        </w:tc>
        <w:tc>
          <w:tcPr>
            <w:tcW w:w="1197" w:type="dxa"/>
            <w:tcBorders>
              <w:top w:val="nil"/>
              <w:left w:val="nil"/>
              <w:bottom w:val="nil"/>
              <w:right w:val="nil"/>
            </w:tcBorders>
            <w:shd w:val="clear" w:color="auto" w:fill="auto"/>
            <w:noWrap/>
            <w:vAlign w:val="bottom"/>
            <w:hideMark/>
          </w:tcPr>
          <w:p w14:paraId="60537451" w14:textId="77777777" w:rsidR="00CE6F44" w:rsidRDefault="00CE6F44">
            <w:pPr>
              <w:jc w:val="right"/>
            </w:pPr>
          </w:p>
        </w:tc>
      </w:tr>
      <w:tr w:rsidR="00CE6F44" w14:paraId="4C79E8AB" w14:textId="77777777" w:rsidTr="00663040">
        <w:trPr>
          <w:trHeight w:val="309"/>
        </w:trPr>
        <w:tc>
          <w:tcPr>
            <w:tcW w:w="4820" w:type="dxa"/>
            <w:tcBorders>
              <w:top w:val="nil"/>
              <w:left w:val="nil"/>
              <w:bottom w:val="nil"/>
              <w:right w:val="nil"/>
            </w:tcBorders>
            <w:shd w:val="clear" w:color="auto" w:fill="auto"/>
            <w:noWrap/>
            <w:vAlign w:val="bottom"/>
            <w:hideMark/>
          </w:tcPr>
          <w:p w14:paraId="7510A648" w14:textId="77777777" w:rsidR="00CE6F44" w:rsidRDefault="00CE6F44">
            <w:pPr>
              <w:rPr>
                <w:sz w:val="20"/>
                <w:szCs w:val="20"/>
              </w:rPr>
            </w:pPr>
          </w:p>
        </w:tc>
        <w:tc>
          <w:tcPr>
            <w:tcW w:w="1336" w:type="dxa"/>
            <w:tcBorders>
              <w:top w:val="nil"/>
              <w:left w:val="nil"/>
              <w:bottom w:val="nil"/>
              <w:right w:val="nil"/>
            </w:tcBorders>
            <w:shd w:val="clear" w:color="auto" w:fill="auto"/>
            <w:noWrap/>
            <w:vAlign w:val="bottom"/>
            <w:hideMark/>
          </w:tcPr>
          <w:p w14:paraId="1AC81E0E" w14:textId="00C441C8" w:rsidR="00CE6F44" w:rsidRDefault="00CE6F44" w:rsidP="006E3C41">
            <w:r>
              <w:t xml:space="preserve"> </w:t>
            </w:r>
            <w:r w:rsidR="006E3C41">
              <w:t xml:space="preserve">    </w:t>
            </w:r>
            <w:r w:rsidR="0021682A" w:rsidRPr="0021682A">
              <w:rPr>
                <w:rFonts w:eastAsiaTheme="minorEastAsia"/>
                <w:color w:val="000000"/>
                <w:lang w:eastAsia="en-GB"/>
              </w:rPr>
              <w:t xml:space="preserve">899,692 </w:t>
            </w:r>
          </w:p>
        </w:tc>
        <w:tc>
          <w:tcPr>
            <w:tcW w:w="1197" w:type="dxa"/>
            <w:tcBorders>
              <w:top w:val="nil"/>
              <w:left w:val="nil"/>
              <w:bottom w:val="nil"/>
              <w:right w:val="nil"/>
            </w:tcBorders>
            <w:shd w:val="clear" w:color="auto" w:fill="auto"/>
            <w:noWrap/>
            <w:vAlign w:val="bottom"/>
            <w:hideMark/>
          </w:tcPr>
          <w:p w14:paraId="0A35C958" w14:textId="77777777" w:rsidR="00CE6F44" w:rsidRDefault="00CE6F44">
            <w:r>
              <w:t>A</w:t>
            </w:r>
          </w:p>
        </w:tc>
      </w:tr>
      <w:tr w:rsidR="00CE6F44" w14:paraId="278377E0" w14:textId="77777777" w:rsidTr="00663040">
        <w:trPr>
          <w:trHeight w:val="309"/>
        </w:trPr>
        <w:tc>
          <w:tcPr>
            <w:tcW w:w="4820" w:type="dxa"/>
            <w:tcBorders>
              <w:top w:val="nil"/>
              <w:left w:val="nil"/>
              <w:bottom w:val="nil"/>
              <w:right w:val="nil"/>
            </w:tcBorders>
            <w:shd w:val="clear" w:color="auto" w:fill="auto"/>
            <w:noWrap/>
            <w:vAlign w:val="bottom"/>
            <w:hideMark/>
          </w:tcPr>
          <w:p w14:paraId="7BDFCEB2" w14:textId="77777777" w:rsidR="00CE6F44" w:rsidRDefault="00CE6F44"/>
        </w:tc>
        <w:tc>
          <w:tcPr>
            <w:tcW w:w="1336" w:type="dxa"/>
            <w:tcBorders>
              <w:top w:val="nil"/>
              <w:left w:val="nil"/>
              <w:bottom w:val="nil"/>
              <w:right w:val="nil"/>
            </w:tcBorders>
            <w:shd w:val="clear" w:color="auto" w:fill="auto"/>
            <w:noWrap/>
            <w:vAlign w:val="bottom"/>
            <w:hideMark/>
          </w:tcPr>
          <w:p w14:paraId="5409760D" w14:textId="77777777" w:rsidR="00CE6F44" w:rsidRDefault="00CE6F44">
            <w:pPr>
              <w:rPr>
                <w:sz w:val="20"/>
                <w:szCs w:val="20"/>
              </w:rPr>
            </w:pPr>
          </w:p>
        </w:tc>
        <w:tc>
          <w:tcPr>
            <w:tcW w:w="1197" w:type="dxa"/>
            <w:tcBorders>
              <w:top w:val="nil"/>
              <w:left w:val="nil"/>
              <w:bottom w:val="nil"/>
              <w:right w:val="nil"/>
            </w:tcBorders>
            <w:shd w:val="clear" w:color="auto" w:fill="auto"/>
            <w:noWrap/>
            <w:vAlign w:val="bottom"/>
            <w:hideMark/>
          </w:tcPr>
          <w:p w14:paraId="0A02C670" w14:textId="77777777" w:rsidR="00CE6F44" w:rsidRDefault="00CE6F44">
            <w:pPr>
              <w:rPr>
                <w:sz w:val="20"/>
                <w:szCs w:val="20"/>
              </w:rPr>
            </w:pPr>
          </w:p>
        </w:tc>
      </w:tr>
      <w:tr w:rsidR="00CE6F44" w14:paraId="498ED583" w14:textId="77777777" w:rsidTr="00663040">
        <w:trPr>
          <w:trHeight w:val="309"/>
        </w:trPr>
        <w:tc>
          <w:tcPr>
            <w:tcW w:w="4820" w:type="dxa"/>
            <w:tcBorders>
              <w:top w:val="nil"/>
              <w:left w:val="nil"/>
              <w:bottom w:val="nil"/>
              <w:right w:val="nil"/>
            </w:tcBorders>
            <w:shd w:val="clear" w:color="auto" w:fill="auto"/>
            <w:noWrap/>
            <w:vAlign w:val="bottom"/>
            <w:hideMark/>
          </w:tcPr>
          <w:p w14:paraId="79915F1F" w14:textId="77777777" w:rsidR="00A83058" w:rsidRDefault="00A83058">
            <w:pPr>
              <w:rPr>
                <w:b/>
                <w:bCs/>
              </w:rPr>
            </w:pPr>
          </w:p>
          <w:p w14:paraId="799AA743" w14:textId="6161A204" w:rsidR="00CE6F44" w:rsidRDefault="00CE6F44">
            <w:pPr>
              <w:rPr>
                <w:b/>
                <w:bCs/>
              </w:rPr>
            </w:pPr>
            <w:r>
              <w:rPr>
                <w:b/>
                <w:bCs/>
              </w:rPr>
              <w:t>Business assets</w:t>
            </w:r>
          </w:p>
        </w:tc>
        <w:tc>
          <w:tcPr>
            <w:tcW w:w="1336" w:type="dxa"/>
            <w:tcBorders>
              <w:top w:val="nil"/>
              <w:left w:val="nil"/>
              <w:bottom w:val="nil"/>
              <w:right w:val="nil"/>
            </w:tcBorders>
            <w:shd w:val="clear" w:color="auto" w:fill="auto"/>
            <w:noWrap/>
            <w:vAlign w:val="bottom"/>
            <w:hideMark/>
          </w:tcPr>
          <w:p w14:paraId="3D0F9BD8" w14:textId="77777777" w:rsidR="00CE6F44" w:rsidRDefault="00CE6F44">
            <w:pPr>
              <w:rPr>
                <w:b/>
                <w:bCs/>
              </w:rPr>
            </w:pPr>
          </w:p>
        </w:tc>
        <w:tc>
          <w:tcPr>
            <w:tcW w:w="1197" w:type="dxa"/>
            <w:tcBorders>
              <w:top w:val="nil"/>
              <w:left w:val="nil"/>
              <w:bottom w:val="nil"/>
              <w:right w:val="nil"/>
            </w:tcBorders>
            <w:shd w:val="clear" w:color="auto" w:fill="auto"/>
            <w:noWrap/>
            <w:vAlign w:val="bottom"/>
            <w:hideMark/>
          </w:tcPr>
          <w:p w14:paraId="1ADA7388" w14:textId="77777777" w:rsidR="00CE6F44" w:rsidRDefault="00CE6F44">
            <w:pPr>
              <w:rPr>
                <w:sz w:val="20"/>
                <w:szCs w:val="20"/>
              </w:rPr>
            </w:pPr>
          </w:p>
        </w:tc>
      </w:tr>
      <w:tr w:rsidR="00CE6F44" w14:paraId="12463DD8" w14:textId="77777777" w:rsidTr="00663040">
        <w:trPr>
          <w:trHeight w:val="309"/>
        </w:trPr>
        <w:tc>
          <w:tcPr>
            <w:tcW w:w="4820" w:type="dxa"/>
            <w:tcBorders>
              <w:top w:val="nil"/>
              <w:left w:val="nil"/>
              <w:bottom w:val="nil"/>
              <w:right w:val="nil"/>
            </w:tcBorders>
            <w:shd w:val="clear" w:color="auto" w:fill="auto"/>
            <w:noWrap/>
            <w:vAlign w:val="bottom"/>
            <w:hideMark/>
          </w:tcPr>
          <w:p w14:paraId="07A1E9C5" w14:textId="77777777" w:rsidR="00CE6F44" w:rsidRDefault="00CE6F44">
            <w:r>
              <w:t xml:space="preserve">H 50% interest in Galldris </w:t>
            </w:r>
          </w:p>
        </w:tc>
        <w:tc>
          <w:tcPr>
            <w:tcW w:w="1336" w:type="dxa"/>
            <w:tcBorders>
              <w:top w:val="nil"/>
              <w:left w:val="nil"/>
              <w:bottom w:val="nil"/>
              <w:right w:val="nil"/>
            </w:tcBorders>
            <w:shd w:val="clear" w:color="auto" w:fill="auto"/>
            <w:noWrap/>
            <w:vAlign w:val="bottom"/>
            <w:hideMark/>
          </w:tcPr>
          <w:p w14:paraId="6991E29C" w14:textId="77777777" w:rsidR="00CE6F44" w:rsidRDefault="00CE6F44">
            <w:pPr>
              <w:jc w:val="right"/>
            </w:pPr>
            <w:r>
              <w:t xml:space="preserve">22,710,668 </w:t>
            </w:r>
          </w:p>
        </w:tc>
        <w:tc>
          <w:tcPr>
            <w:tcW w:w="1197" w:type="dxa"/>
            <w:tcBorders>
              <w:top w:val="nil"/>
              <w:left w:val="nil"/>
              <w:bottom w:val="nil"/>
              <w:right w:val="nil"/>
            </w:tcBorders>
            <w:shd w:val="clear" w:color="auto" w:fill="auto"/>
            <w:noWrap/>
            <w:vAlign w:val="bottom"/>
            <w:hideMark/>
          </w:tcPr>
          <w:p w14:paraId="1CAF75C8" w14:textId="77777777" w:rsidR="00CE6F44" w:rsidRDefault="00CE6F44">
            <w:pPr>
              <w:jc w:val="right"/>
            </w:pPr>
          </w:p>
        </w:tc>
      </w:tr>
      <w:tr w:rsidR="00CE6F44" w14:paraId="732370BD" w14:textId="77777777" w:rsidTr="00663040">
        <w:trPr>
          <w:trHeight w:val="309"/>
        </w:trPr>
        <w:tc>
          <w:tcPr>
            <w:tcW w:w="4820" w:type="dxa"/>
            <w:tcBorders>
              <w:top w:val="nil"/>
              <w:left w:val="nil"/>
              <w:bottom w:val="nil"/>
              <w:right w:val="nil"/>
            </w:tcBorders>
            <w:shd w:val="clear" w:color="auto" w:fill="auto"/>
            <w:noWrap/>
            <w:vAlign w:val="bottom"/>
            <w:hideMark/>
          </w:tcPr>
          <w:p w14:paraId="2BBF462F" w14:textId="77777777" w:rsidR="00CE6F44" w:rsidRDefault="00CE6F44">
            <w:r>
              <w:t>Property company No 1</w:t>
            </w:r>
          </w:p>
        </w:tc>
        <w:tc>
          <w:tcPr>
            <w:tcW w:w="1336" w:type="dxa"/>
            <w:tcBorders>
              <w:top w:val="nil"/>
              <w:left w:val="nil"/>
              <w:bottom w:val="nil"/>
              <w:right w:val="nil"/>
            </w:tcBorders>
            <w:shd w:val="clear" w:color="auto" w:fill="auto"/>
            <w:noWrap/>
            <w:vAlign w:val="bottom"/>
            <w:hideMark/>
          </w:tcPr>
          <w:p w14:paraId="63F4542F" w14:textId="77777777" w:rsidR="00CE6F44" w:rsidRDefault="00CE6F44">
            <w:pPr>
              <w:jc w:val="right"/>
            </w:pPr>
            <w:r>
              <w:t xml:space="preserve">5,080,713 </w:t>
            </w:r>
          </w:p>
        </w:tc>
        <w:tc>
          <w:tcPr>
            <w:tcW w:w="1197" w:type="dxa"/>
            <w:tcBorders>
              <w:top w:val="nil"/>
              <w:left w:val="nil"/>
              <w:bottom w:val="nil"/>
              <w:right w:val="nil"/>
            </w:tcBorders>
            <w:shd w:val="clear" w:color="auto" w:fill="auto"/>
            <w:noWrap/>
            <w:vAlign w:val="bottom"/>
            <w:hideMark/>
          </w:tcPr>
          <w:p w14:paraId="2F4E8A7C" w14:textId="77777777" w:rsidR="00CE6F44" w:rsidRDefault="00CE6F44">
            <w:pPr>
              <w:jc w:val="right"/>
            </w:pPr>
          </w:p>
        </w:tc>
      </w:tr>
      <w:tr w:rsidR="00CE6F44" w14:paraId="18466D9E" w14:textId="77777777" w:rsidTr="00663040">
        <w:trPr>
          <w:trHeight w:val="309"/>
        </w:trPr>
        <w:tc>
          <w:tcPr>
            <w:tcW w:w="4820" w:type="dxa"/>
            <w:tcBorders>
              <w:top w:val="nil"/>
              <w:left w:val="nil"/>
              <w:bottom w:val="nil"/>
              <w:right w:val="nil"/>
            </w:tcBorders>
            <w:shd w:val="clear" w:color="auto" w:fill="auto"/>
            <w:noWrap/>
            <w:vAlign w:val="bottom"/>
            <w:hideMark/>
          </w:tcPr>
          <w:p w14:paraId="31A8FD9E" w14:textId="77777777" w:rsidR="00CE6F44" w:rsidRDefault="00CE6F44">
            <w:r>
              <w:t>Property company No 2</w:t>
            </w:r>
          </w:p>
        </w:tc>
        <w:tc>
          <w:tcPr>
            <w:tcW w:w="1336" w:type="dxa"/>
            <w:tcBorders>
              <w:top w:val="nil"/>
              <w:left w:val="nil"/>
              <w:bottom w:val="nil"/>
              <w:right w:val="nil"/>
            </w:tcBorders>
            <w:shd w:val="clear" w:color="auto" w:fill="auto"/>
            <w:noWrap/>
            <w:vAlign w:val="bottom"/>
            <w:hideMark/>
          </w:tcPr>
          <w:p w14:paraId="3B167316" w14:textId="77777777" w:rsidR="00CE6F44" w:rsidRDefault="00CE6F44">
            <w:pPr>
              <w:jc w:val="right"/>
            </w:pPr>
            <w:r>
              <w:t xml:space="preserve">6,855,811 </w:t>
            </w:r>
          </w:p>
        </w:tc>
        <w:tc>
          <w:tcPr>
            <w:tcW w:w="1197" w:type="dxa"/>
            <w:tcBorders>
              <w:top w:val="nil"/>
              <w:left w:val="nil"/>
              <w:bottom w:val="nil"/>
              <w:right w:val="nil"/>
            </w:tcBorders>
            <w:shd w:val="clear" w:color="auto" w:fill="auto"/>
            <w:noWrap/>
            <w:vAlign w:val="bottom"/>
            <w:hideMark/>
          </w:tcPr>
          <w:p w14:paraId="6749E0EA" w14:textId="77777777" w:rsidR="00CE6F44" w:rsidRDefault="00CE6F44">
            <w:pPr>
              <w:jc w:val="right"/>
            </w:pPr>
          </w:p>
        </w:tc>
      </w:tr>
      <w:tr w:rsidR="00CE6F44" w14:paraId="5CFB1412" w14:textId="77777777" w:rsidTr="00663040">
        <w:trPr>
          <w:trHeight w:val="309"/>
        </w:trPr>
        <w:tc>
          <w:tcPr>
            <w:tcW w:w="4820" w:type="dxa"/>
            <w:tcBorders>
              <w:top w:val="nil"/>
              <w:left w:val="nil"/>
              <w:bottom w:val="nil"/>
              <w:right w:val="nil"/>
            </w:tcBorders>
            <w:shd w:val="clear" w:color="auto" w:fill="auto"/>
            <w:noWrap/>
            <w:vAlign w:val="bottom"/>
            <w:hideMark/>
          </w:tcPr>
          <w:p w14:paraId="60E7FC7F" w14:textId="168A0698" w:rsidR="00CE6F44" w:rsidRDefault="00CE6F44">
            <w:r>
              <w:t xml:space="preserve">H's </w:t>
            </w:r>
            <w:r w:rsidR="009B6681">
              <w:t>director’s loan account</w:t>
            </w:r>
          </w:p>
        </w:tc>
        <w:tc>
          <w:tcPr>
            <w:tcW w:w="1336" w:type="dxa"/>
            <w:tcBorders>
              <w:top w:val="nil"/>
              <w:left w:val="nil"/>
              <w:bottom w:val="nil"/>
              <w:right w:val="nil"/>
            </w:tcBorders>
            <w:shd w:val="clear" w:color="auto" w:fill="auto"/>
            <w:noWrap/>
            <w:vAlign w:val="bottom"/>
            <w:hideMark/>
          </w:tcPr>
          <w:p w14:paraId="3ECE7385" w14:textId="77777777" w:rsidR="00CE6F44" w:rsidRDefault="00CE6F44">
            <w:pPr>
              <w:jc w:val="right"/>
            </w:pPr>
            <w:r>
              <w:rPr>
                <w:color w:val="FF0000"/>
              </w:rPr>
              <w:t>(337,000)</w:t>
            </w:r>
          </w:p>
        </w:tc>
        <w:tc>
          <w:tcPr>
            <w:tcW w:w="1197" w:type="dxa"/>
            <w:tcBorders>
              <w:top w:val="nil"/>
              <w:left w:val="nil"/>
              <w:bottom w:val="nil"/>
              <w:right w:val="nil"/>
            </w:tcBorders>
            <w:shd w:val="clear" w:color="auto" w:fill="auto"/>
            <w:noWrap/>
            <w:vAlign w:val="bottom"/>
            <w:hideMark/>
          </w:tcPr>
          <w:p w14:paraId="113297ED" w14:textId="77777777" w:rsidR="00CE6F44" w:rsidRDefault="00CE6F44">
            <w:pPr>
              <w:jc w:val="right"/>
            </w:pPr>
          </w:p>
        </w:tc>
      </w:tr>
      <w:tr w:rsidR="00CE6F44" w14:paraId="76387116" w14:textId="77777777" w:rsidTr="00663040">
        <w:trPr>
          <w:trHeight w:val="309"/>
        </w:trPr>
        <w:tc>
          <w:tcPr>
            <w:tcW w:w="4820" w:type="dxa"/>
            <w:tcBorders>
              <w:top w:val="nil"/>
              <w:left w:val="nil"/>
              <w:bottom w:val="nil"/>
              <w:right w:val="nil"/>
            </w:tcBorders>
            <w:shd w:val="clear" w:color="auto" w:fill="auto"/>
            <w:noWrap/>
            <w:vAlign w:val="bottom"/>
            <w:hideMark/>
          </w:tcPr>
          <w:p w14:paraId="273DE07D" w14:textId="77777777" w:rsidR="00CE6F44" w:rsidRDefault="00CE6F44">
            <w:r>
              <w:t>Tax mitigation instrument</w:t>
            </w:r>
          </w:p>
        </w:tc>
        <w:tc>
          <w:tcPr>
            <w:tcW w:w="1336" w:type="dxa"/>
            <w:tcBorders>
              <w:top w:val="nil"/>
              <w:left w:val="nil"/>
              <w:bottom w:val="single" w:sz="4" w:space="0" w:color="auto"/>
              <w:right w:val="nil"/>
            </w:tcBorders>
            <w:shd w:val="clear" w:color="auto" w:fill="auto"/>
            <w:noWrap/>
            <w:vAlign w:val="bottom"/>
            <w:hideMark/>
          </w:tcPr>
          <w:p w14:paraId="0BD9EF1C" w14:textId="77777777" w:rsidR="00CE6F44" w:rsidRDefault="00CE6F44">
            <w:pPr>
              <w:jc w:val="right"/>
            </w:pPr>
            <w:r>
              <w:t xml:space="preserve">247,000 </w:t>
            </w:r>
          </w:p>
        </w:tc>
        <w:tc>
          <w:tcPr>
            <w:tcW w:w="1197" w:type="dxa"/>
            <w:tcBorders>
              <w:top w:val="nil"/>
              <w:left w:val="nil"/>
              <w:bottom w:val="nil"/>
              <w:right w:val="nil"/>
            </w:tcBorders>
            <w:shd w:val="clear" w:color="auto" w:fill="auto"/>
            <w:noWrap/>
            <w:vAlign w:val="bottom"/>
            <w:hideMark/>
          </w:tcPr>
          <w:p w14:paraId="42B6B487" w14:textId="77777777" w:rsidR="00CE6F44" w:rsidRDefault="00CE6F44">
            <w:pPr>
              <w:jc w:val="right"/>
            </w:pPr>
          </w:p>
        </w:tc>
      </w:tr>
      <w:tr w:rsidR="00CE6F44" w14:paraId="458A227B" w14:textId="77777777" w:rsidTr="00663040">
        <w:trPr>
          <w:trHeight w:val="309"/>
        </w:trPr>
        <w:tc>
          <w:tcPr>
            <w:tcW w:w="4820" w:type="dxa"/>
            <w:tcBorders>
              <w:top w:val="nil"/>
              <w:left w:val="nil"/>
              <w:bottom w:val="nil"/>
              <w:right w:val="nil"/>
            </w:tcBorders>
            <w:shd w:val="clear" w:color="auto" w:fill="auto"/>
            <w:noWrap/>
            <w:vAlign w:val="bottom"/>
            <w:hideMark/>
          </w:tcPr>
          <w:p w14:paraId="6E575539" w14:textId="77777777" w:rsidR="00CE6F44" w:rsidRDefault="00CE6F44">
            <w:pPr>
              <w:rPr>
                <w:sz w:val="20"/>
                <w:szCs w:val="20"/>
              </w:rPr>
            </w:pPr>
          </w:p>
        </w:tc>
        <w:tc>
          <w:tcPr>
            <w:tcW w:w="1336" w:type="dxa"/>
            <w:tcBorders>
              <w:top w:val="nil"/>
              <w:left w:val="nil"/>
              <w:bottom w:val="nil"/>
              <w:right w:val="nil"/>
            </w:tcBorders>
            <w:shd w:val="clear" w:color="auto" w:fill="auto"/>
            <w:noWrap/>
            <w:vAlign w:val="bottom"/>
            <w:hideMark/>
          </w:tcPr>
          <w:p w14:paraId="276D4BD8" w14:textId="77777777" w:rsidR="00CE6F44" w:rsidRDefault="00CE6F44">
            <w:pPr>
              <w:jc w:val="right"/>
            </w:pPr>
            <w:r>
              <w:t xml:space="preserve">34,557,192 </w:t>
            </w:r>
          </w:p>
        </w:tc>
        <w:tc>
          <w:tcPr>
            <w:tcW w:w="1197" w:type="dxa"/>
            <w:tcBorders>
              <w:top w:val="nil"/>
              <w:left w:val="nil"/>
              <w:bottom w:val="nil"/>
              <w:right w:val="nil"/>
            </w:tcBorders>
            <w:shd w:val="clear" w:color="auto" w:fill="auto"/>
            <w:noWrap/>
            <w:vAlign w:val="bottom"/>
            <w:hideMark/>
          </w:tcPr>
          <w:p w14:paraId="270352BF" w14:textId="77777777" w:rsidR="00CE6F44" w:rsidRDefault="00CE6F44">
            <w:r>
              <w:t>B</w:t>
            </w:r>
          </w:p>
        </w:tc>
      </w:tr>
      <w:tr w:rsidR="00CE6F44" w14:paraId="2AF1E2CD" w14:textId="77777777" w:rsidTr="00663040">
        <w:trPr>
          <w:trHeight w:val="309"/>
        </w:trPr>
        <w:tc>
          <w:tcPr>
            <w:tcW w:w="4820" w:type="dxa"/>
            <w:tcBorders>
              <w:top w:val="nil"/>
              <w:left w:val="nil"/>
              <w:bottom w:val="nil"/>
              <w:right w:val="nil"/>
            </w:tcBorders>
            <w:shd w:val="clear" w:color="auto" w:fill="auto"/>
            <w:noWrap/>
            <w:vAlign w:val="bottom"/>
            <w:hideMark/>
          </w:tcPr>
          <w:p w14:paraId="5F59B242" w14:textId="77777777" w:rsidR="00CE6F44" w:rsidRDefault="00CE6F44"/>
        </w:tc>
        <w:tc>
          <w:tcPr>
            <w:tcW w:w="1336" w:type="dxa"/>
            <w:tcBorders>
              <w:top w:val="nil"/>
              <w:left w:val="nil"/>
              <w:bottom w:val="nil"/>
              <w:right w:val="nil"/>
            </w:tcBorders>
            <w:shd w:val="clear" w:color="auto" w:fill="auto"/>
            <w:noWrap/>
            <w:vAlign w:val="bottom"/>
            <w:hideMark/>
          </w:tcPr>
          <w:p w14:paraId="0F186532" w14:textId="77777777" w:rsidR="00CE6F44" w:rsidRDefault="00CE6F44">
            <w:pPr>
              <w:rPr>
                <w:sz w:val="20"/>
                <w:szCs w:val="20"/>
              </w:rPr>
            </w:pPr>
          </w:p>
        </w:tc>
        <w:tc>
          <w:tcPr>
            <w:tcW w:w="1197" w:type="dxa"/>
            <w:tcBorders>
              <w:top w:val="nil"/>
              <w:left w:val="nil"/>
              <w:bottom w:val="nil"/>
              <w:right w:val="nil"/>
            </w:tcBorders>
            <w:shd w:val="clear" w:color="auto" w:fill="auto"/>
            <w:noWrap/>
            <w:vAlign w:val="bottom"/>
            <w:hideMark/>
          </w:tcPr>
          <w:p w14:paraId="35EEF320" w14:textId="77777777" w:rsidR="00CE6F44" w:rsidRDefault="00CE6F44">
            <w:pPr>
              <w:rPr>
                <w:sz w:val="20"/>
                <w:szCs w:val="20"/>
              </w:rPr>
            </w:pPr>
          </w:p>
        </w:tc>
      </w:tr>
      <w:tr w:rsidR="00CE6F44" w14:paraId="214DB640" w14:textId="77777777" w:rsidTr="00663040">
        <w:trPr>
          <w:trHeight w:val="309"/>
        </w:trPr>
        <w:tc>
          <w:tcPr>
            <w:tcW w:w="4820" w:type="dxa"/>
            <w:tcBorders>
              <w:top w:val="nil"/>
              <w:left w:val="nil"/>
              <w:bottom w:val="nil"/>
              <w:right w:val="nil"/>
            </w:tcBorders>
            <w:shd w:val="clear" w:color="auto" w:fill="auto"/>
            <w:noWrap/>
            <w:vAlign w:val="bottom"/>
            <w:hideMark/>
          </w:tcPr>
          <w:p w14:paraId="1C969396" w14:textId="77777777" w:rsidR="00CE6F44" w:rsidRDefault="00CE6F44">
            <w:pPr>
              <w:rPr>
                <w:b/>
                <w:bCs/>
              </w:rPr>
            </w:pPr>
            <w:r>
              <w:rPr>
                <w:b/>
                <w:bCs/>
              </w:rPr>
              <w:t>Total assets</w:t>
            </w:r>
          </w:p>
        </w:tc>
        <w:tc>
          <w:tcPr>
            <w:tcW w:w="1336" w:type="dxa"/>
            <w:tcBorders>
              <w:top w:val="nil"/>
              <w:left w:val="nil"/>
              <w:bottom w:val="nil"/>
              <w:right w:val="nil"/>
            </w:tcBorders>
            <w:shd w:val="clear" w:color="auto" w:fill="auto"/>
            <w:noWrap/>
            <w:vAlign w:val="bottom"/>
            <w:hideMark/>
          </w:tcPr>
          <w:p w14:paraId="57A8B569" w14:textId="75BF7F46" w:rsidR="00CE6F44" w:rsidRDefault="0021682A">
            <w:pPr>
              <w:jc w:val="right"/>
              <w:rPr>
                <w:b/>
                <w:bCs/>
              </w:rPr>
            </w:pPr>
            <w:r w:rsidRPr="0021682A">
              <w:rPr>
                <w:rFonts w:eastAsiaTheme="minorEastAsia"/>
                <w:b/>
                <w:bCs/>
                <w:color w:val="000000"/>
                <w:lang w:eastAsia="en-GB"/>
              </w:rPr>
              <w:t xml:space="preserve">35,456,884 </w:t>
            </w:r>
          </w:p>
        </w:tc>
        <w:tc>
          <w:tcPr>
            <w:tcW w:w="1197" w:type="dxa"/>
            <w:tcBorders>
              <w:top w:val="nil"/>
              <w:left w:val="nil"/>
              <w:bottom w:val="nil"/>
              <w:right w:val="nil"/>
            </w:tcBorders>
            <w:shd w:val="clear" w:color="auto" w:fill="auto"/>
            <w:noWrap/>
            <w:vAlign w:val="bottom"/>
            <w:hideMark/>
          </w:tcPr>
          <w:p w14:paraId="7E4467C4" w14:textId="77777777" w:rsidR="00CE6F44" w:rsidRDefault="00CE6F44">
            <w:r>
              <w:t xml:space="preserve">A + B </w:t>
            </w:r>
          </w:p>
        </w:tc>
      </w:tr>
      <w:tr w:rsidR="00CE6F44" w14:paraId="6DDCB7BF" w14:textId="77777777" w:rsidTr="00663040">
        <w:trPr>
          <w:trHeight w:val="309"/>
        </w:trPr>
        <w:tc>
          <w:tcPr>
            <w:tcW w:w="4820" w:type="dxa"/>
            <w:tcBorders>
              <w:top w:val="nil"/>
              <w:left w:val="nil"/>
              <w:bottom w:val="nil"/>
              <w:right w:val="nil"/>
            </w:tcBorders>
            <w:shd w:val="clear" w:color="auto" w:fill="auto"/>
            <w:noWrap/>
            <w:vAlign w:val="bottom"/>
            <w:hideMark/>
          </w:tcPr>
          <w:p w14:paraId="3D558C64" w14:textId="77777777" w:rsidR="00CE6F44" w:rsidRDefault="00CE6F44"/>
        </w:tc>
        <w:tc>
          <w:tcPr>
            <w:tcW w:w="1336" w:type="dxa"/>
            <w:tcBorders>
              <w:top w:val="nil"/>
              <w:left w:val="nil"/>
              <w:bottom w:val="nil"/>
              <w:right w:val="nil"/>
            </w:tcBorders>
            <w:shd w:val="clear" w:color="auto" w:fill="auto"/>
            <w:noWrap/>
            <w:vAlign w:val="bottom"/>
            <w:hideMark/>
          </w:tcPr>
          <w:p w14:paraId="15F7BBB0" w14:textId="77777777" w:rsidR="00CE6F44" w:rsidRDefault="00CE6F44">
            <w:pPr>
              <w:rPr>
                <w:sz w:val="20"/>
                <w:szCs w:val="20"/>
              </w:rPr>
            </w:pPr>
          </w:p>
        </w:tc>
        <w:tc>
          <w:tcPr>
            <w:tcW w:w="1197" w:type="dxa"/>
            <w:tcBorders>
              <w:top w:val="nil"/>
              <w:left w:val="nil"/>
              <w:bottom w:val="nil"/>
              <w:right w:val="nil"/>
            </w:tcBorders>
            <w:shd w:val="clear" w:color="auto" w:fill="auto"/>
            <w:noWrap/>
            <w:vAlign w:val="bottom"/>
            <w:hideMark/>
          </w:tcPr>
          <w:p w14:paraId="5BE7FCDE" w14:textId="77777777" w:rsidR="00CE6F44" w:rsidRDefault="00CE6F44">
            <w:pPr>
              <w:rPr>
                <w:sz w:val="20"/>
                <w:szCs w:val="20"/>
              </w:rPr>
            </w:pPr>
          </w:p>
        </w:tc>
      </w:tr>
    </w:tbl>
    <w:p w14:paraId="2AE9F129" w14:textId="4D1AF034" w:rsidR="005F7A2C" w:rsidRPr="00F76E6A" w:rsidRDefault="00B603E5" w:rsidP="005F7A2C">
      <w:pPr>
        <w:pStyle w:val="ParaLevel1"/>
        <w:numPr>
          <w:ilvl w:val="0"/>
          <w:numId w:val="0"/>
        </w:numPr>
        <w:ind w:left="720" w:hanging="720"/>
        <w:rPr>
          <w:b/>
          <w:bCs/>
          <w:lang w:eastAsia="en-GB"/>
        </w:rPr>
      </w:pPr>
      <w:r>
        <w:rPr>
          <w:b/>
          <w:bCs/>
          <w:lang w:eastAsia="en-GB"/>
        </w:rPr>
        <w:t>P</w:t>
      </w:r>
      <w:r w:rsidR="005F7A2C" w:rsidRPr="00F76E6A">
        <w:rPr>
          <w:b/>
          <w:bCs/>
          <w:lang w:eastAsia="en-GB"/>
        </w:rPr>
        <w:t>re-marital property</w:t>
      </w:r>
    </w:p>
    <w:p w14:paraId="6F192669" w14:textId="6D3D4036" w:rsidR="00DB1898" w:rsidRDefault="00DB1898" w:rsidP="00760439">
      <w:pPr>
        <w:pStyle w:val="ParaLevel1"/>
        <w:rPr>
          <w:lang w:eastAsia="en-GB"/>
        </w:rPr>
      </w:pPr>
      <w:r>
        <w:rPr>
          <w:lang w:eastAsia="en-GB"/>
        </w:rPr>
        <w:t xml:space="preserve">The husband asserts that in two </w:t>
      </w:r>
      <w:r w:rsidR="00753C73">
        <w:rPr>
          <w:lang w:eastAsia="en-GB"/>
        </w:rPr>
        <w:t>re</w:t>
      </w:r>
      <w:r>
        <w:rPr>
          <w:lang w:eastAsia="en-GB"/>
        </w:rPr>
        <w:t xml:space="preserve">spects </w:t>
      </w:r>
      <w:r w:rsidR="004B307B">
        <w:rPr>
          <w:lang w:eastAsia="en-GB"/>
        </w:rPr>
        <w:t>certain</w:t>
      </w:r>
      <w:r>
        <w:rPr>
          <w:lang w:eastAsia="en-GB"/>
        </w:rPr>
        <w:t xml:space="preserve"> pre-marital property should be recognised, valued, and deducted from the total assets to derive the matrimonial property.</w:t>
      </w:r>
    </w:p>
    <w:p w14:paraId="32A76086" w14:textId="77777777" w:rsidR="00DB1898" w:rsidRDefault="00DB1898" w:rsidP="00760439">
      <w:pPr>
        <w:pStyle w:val="ParaLevel1"/>
        <w:rPr>
          <w:lang w:eastAsia="en-GB"/>
        </w:rPr>
      </w:pPr>
      <w:r>
        <w:rPr>
          <w:lang w:eastAsia="en-GB"/>
        </w:rPr>
        <w:t>First and foremost, he relies on the incorporation of Galldris in March 1998. In his witness statement on the subject the husband wrote:</w:t>
      </w:r>
    </w:p>
    <w:p w14:paraId="4E9F33B2" w14:textId="086114A3" w:rsidR="00025F64" w:rsidRDefault="00025F64" w:rsidP="00025F64">
      <w:pPr>
        <w:pStyle w:val="Quote"/>
        <w:rPr>
          <w:lang w:eastAsia="en-GB"/>
        </w:rPr>
      </w:pPr>
      <w:r>
        <w:rPr>
          <w:lang w:eastAsia="en-GB"/>
        </w:rPr>
        <w:t xml:space="preserve">“14. When I was working with a company called Active Tunnelling, in the summer of 1997, I met Sean O'Driscoll, my current business partner. Sean was working as an Engineer, and I was brought in as a Project Manager. We got on well, and Sean knew of my skills and work ethic. Sean's strengths were writing up method statements and risk </w:t>
      </w:r>
      <w:proofErr w:type="gramStart"/>
      <w:r>
        <w:rPr>
          <w:lang w:eastAsia="en-GB"/>
        </w:rPr>
        <w:t>assessments, and</w:t>
      </w:r>
      <w:proofErr w:type="gramEnd"/>
      <w:r>
        <w:rPr>
          <w:lang w:eastAsia="en-GB"/>
        </w:rPr>
        <w:t xml:space="preserve"> formulating tenders. My skills were methodology (</w:t>
      </w:r>
      <w:proofErr w:type="gramStart"/>
      <w:r>
        <w:rPr>
          <w:lang w:eastAsia="en-GB"/>
        </w:rPr>
        <w:t>i.e.</w:t>
      </w:r>
      <w:proofErr w:type="gramEnd"/>
      <w:r>
        <w:rPr>
          <w:lang w:eastAsia="en-GB"/>
        </w:rPr>
        <w:t xml:space="preserve"> the underpinning and tunnels), sourcing skilled manpower and delivering the projects with quality, and within budget. Sean suggested that we set up in business together. </w:t>
      </w:r>
    </w:p>
    <w:p w14:paraId="4F63A56F" w14:textId="163EB89B" w:rsidR="00025F64" w:rsidRDefault="00025F64" w:rsidP="00025F64">
      <w:pPr>
        <w:pStyle w:val="Quote"/>
        <w:rPr>
          <w:lang w:eastAsia="en-GB"/>
        </w:rPr>
      </w:pPr>
      <w:r>
        <w:rPr>
          <w:lang w:eastAsia="en-GB"/>
        </w:rPr>
        <w:t xml:space="preserve">15. We set up Galldris (a combination of our surnames) on 23 March 1998. I was only 26. Sean is 6 months older than me. Sean had to continue working for his employer, as he couldn't afford not to have a wage. I had made money from my sole trading </w:t>
      </w:r>
      <w:proofErr w:type="gramStart"/>
      <w:r>
        <w:rPr>
          <w:lang w:eastAsia="en-GB"/>
        </w:rPr>
        <w:t>projects, and</w:t>
      </w:r>
      <w:proofErr w:type="gramEnd"/>
      <w:r>
        <w:rPr>
          <w:lang w:eastAsia="en-GB"/>
        </w:rPr>
        <w:t xml:space="preserve"> could afford not to be paid until the first tranche of money came in from the contracts we secured. I financed and ran Galldris alone for the first 18 months of its existence. Sean only came on-board fulltime at Christmas 1999 (after we had won our first two major contracts).” </w:t>
      </w:r>
    </w:p>
    <w:p w14:paraId="32C53453" w14:textId="18E86164" w:rsidR="009C6479" w:rsidRDefault="00025F64" w:rsidP="00760439">
      <w:pPr>
        <w:pStyle w:val="ParaLevel1"/>
        <w:rPr>
          <w:lang w:eastAsia="en-GB"/>
        </w:rPr>
      </w:pPr>
      <w:r>
        <w:rPr>
          <w:lang w:eastAsia="en-GB"/>
        </w:rPr>
        <w:t>In my judg</w:t>
      </w:r>
      <w:r w:rsidR="006405D6">
        <w:rPr>
          <w:lang w:eastAsia="en-GB"/>
        </w:rPr>
        <w:t>ement</w:t>
      </w:r>
      <w:r>
        <w:rPr>
          <w:lang w:eastAsia="en-GB"/>
        </w:rPr>
        <w:t xml:space="preserve">, it would not be fair or reasonable to take </w:t>
      </w:r>
      <w:r w:rsidR="00753C73">
        <w:rPr>
          <w:lang w:eastAsia="en-GB"/>
        </w:rPr>
        <w:t>a</w:t>
      </w:r>
      <w:r>
        <w:rPr>
          <w:lang w:eastAsia="en-GB"/>
        </w:rPr>
        <w:t xml:space="preserve"> start date </w:t>
      </w:r>
      <w:r w:rsidR="00753C73">
        <w:rPr>
          <w:lang w:eastAsia="en-GB"/>
        </w:rPr>
        <w:t>for</w:t>
      </w:r>
      <w:r>
        <w:rPr>
          <w:lang w:eastAsia="en-GB"/>
        </w:rPr>
        <w:t xml:space="preserve"> Galldris earlier than 1 January 2000. Only by then had Mr O’Driscoll come on board and the first two major contracts of the company won. Only by then had Galldris taken shape </w:t>
      </w:r>
      <w:r w:rsidR="009C6479">
        <w:rPr>
          <w:lang w:eastAsia="en-GB"/>
        </w:rPr>
        <w:t xml:space="preserve">as a partnership </w:t>
      </w:r>
      <w:r>
        <w:rPr>
          <w:lang w:eastAsia="en-GB"/>
        </w:rPr>
        <w:t>reflective of its current state. Prior to January 2000</w:t>
      </w:r>
      <w:r w:rsidR="009C6479">
        <w:rPr>
          <w:lang w:eastAsia="en-GB"/>
        </w:rPr>
        <w:t xml:space="preserve"> the husband certainly had by virtue of his work become fully fledged as a constructor</w:t>
      </w:r>
      <w:r w:rsidR="00753C73">
        <w:rPr>
          <w:lang w:eastAsia="en-GB"/>
        </w:rPr>
        <w:t>. H</w:t>
      </w:r>
      <w:r w:rsidR="009C6479">
        <w:rPr>
          <w:lang w:eastAsia="en-GB"/>
        </w:rPr>
        <w:t>e brought the intangible benefit of that experience to Galldris when it started operating as a partnership. But fledging as a factor influencing the exercise of the court’s powers has been ruled out by the Court of Appeal and the House of Lords.</w:t>
      </w:r>
    </w:p>
    <w:p w14:paraId="78804615" w14:textId="48FBD570" w:rsidR="009C6479" w:rsidRDefault="009C6479" w:rsidP="00760439">
      <w:pPr>
        <w:pStyle w:val="ParaLevel1"/>
        <w:rPr>
          <w:lang w:eastAsia="en-GB"/>
        </w:rPr>
      </w:pPr>
      <w:r>
        <w:rPr>
          <w:lang w:eastAsia="en-GB"/>
        </w:rPr>
        <w:t xml:space="preserve">I adopt the linear method of calculating the extent, and therefore the value of the premarital element of Galldris. The linear method is not the only method for making that assessment, but in my </w:t>
      </w:r>
      <w:proofErr w:type="gramStart"/>
      <w:r>
        <w:rPr>
          <w:lang w:eastAsia="en-GB"/>
        </w:rPr>
        <w:t>judgment</w:t>
      </w:r>
      <w:proofErr w:type="gramEnd"/>
      <w:r>
        <w:rPr>
          <w:lang w:eastAsia="en-GB"/>
        </w:rPr>
        <w:t xml:space="preserve"> it is the most logical and </w:t>
      </w:r>
      <w:r w:rsidR="00753C73">
        <w:rPr>
          <w:lang w:eastAsia="en-GB"/>
        </w:rPr>
        <w:t xml:space="preserve">is </w:t>
      </w:r>
      <w:r>
        <w:rPr>
          <w:lang w:eastAsia="en-GB"/>
        </w:rPr>
        <w:t xml:space="preserve">likely to be the most fair technique for the reasons explained in my decision of </w:t>
      </w:r>
      <w:r w:rsidRPr="009C6479">
        <w:rPr>
          <w:i/>
          <w:iCs/>
          <w:lang w:eastAsia="en-GB"/>
        </w:rPr>
        <w:t>WM v HM</w:t>
      </w:r>
      <w:r w:rsidR="00810D84">
        <w:rPr>
          <w:lang w:eastAsia="en-GB"/>
        </w:rPr>
        <w:t xml:space="preserve"> [2017] EWFC 25</w:t>
      </w:r>
      <w:r>
        <w:rPr>
          <w:lang w:eastAsia="en-GB"/>
        </w:rPr>
        <w:t>.</w:t>
      </w:r>
    </w:p>
    <w:p w14:paraId="766AAA7D" w14:textId="1E8CB43C" w:rsidR="005F7A2C" w:rsidRDefault="00A054CC" w:rsidP="00214219">
      <w:pPr>
        <w:pStyle w:val="ParaLevel1"/>
        <w:rPr>
          <w:lang w:eastAsia="en-GB"/>
        </w:rPr>
      </w:pPr>
      <w:r>
        <w:rPr>
          <w:lang w:eastAsia="en-GB"/>
        </w:rPr>
        <w:t xml:space="preserve">8,182 days elapsed between 1 January 2000 and 27 May 2022 when I heard final submissions. 2,008 days elapsed between 1 January 2000 and 1 July 2005, being </w:t>
      </w:r>
      <w:proofErr w:type="gramStart"/>
      <w:r>
        <w:rPr>
          <w:lang w:eastAsia="en-GB"/>
        </w:rPr>
        <w:t>the date</w:t>
      </w:r>
      <w:proofErr w:type="gramEnd"/>
      <w:r>
        <w:rPr>
          <w:lang w:eastAsia="en-GB"/>
        </w:rPr>
        <w:t xml:space="preserve"> I take for the commencement of cohabitation. Therefore 24.5% of the value of H’s share in Galldris </w:t>
      </w:r>
      <w:r w:rsidR="00214219">
        <w:rPr>
          <w:lang w:eastAsia="en-GB"/>
        </w:rPr>
        <w:t>is to be excluded as pre-marital (</w:t>
      </w:r>
      <w:r>
        <w:rPr>
          <w:lang w:eastAsia="en-GB"/>
        </w:rPr>
        <w:t>2,008 ÷ 8,182 =</w:t>
      </w:r>
      <w:r w:rsidR="00214219">
        <w:rPr>
          <w:lang w:eastAsia="en-GB"/>
        </w:rPr>
        <w:t xml:space="preserve"> 0.245).</w:t>
      </w:r>
      <w:r>
        <w:rPr>
          <w:lang w:eastAsia="en-GB"/>
        </w:rPr>
        <w:t xml:space="preserve"> </w:t>
      </w:r>
    </w:p>
    <w:p w14:paraId="593ECCED" w14:textId="3D32E6F0" w:rsidR="00214219" w:rsidRDefault="00214219" w:rsidP="00214219">
      <w:pPr>
        <w:pStyle w:val="ParaLevel1"/>
        <w:rPr>
          <w:lang w:eastAsia="en-GB"/>
        </w:rPr>
      </w:pPr>
      <w:r>
        <w:rPr>
          <w:lang w:eastAsia="en-GB"/>
        </w:rPr>
        <w:t>In para</w:t>
      </w:r>
      <w:r w:rsidR="00F871BF">
        <w:rPr>
          <w:lang w:eastAsia="en-GB"/>
        </w:rPr>
        <w:t xml:space="preserve"> </w:t>
      </w:r>
      <w:r w:rsidR="004037FC">
        <w:rPr>
          <w:lang w:eastAsia="en-GB"/>
        </w:rPr>
        <w:t>[</w:t>
      </w:r>
      <w:r w:rsidR="003C325F">
        <w:rPr>
          <w:lang w:eastAsia="en-GB"/>
        </w:rPr>
        <w:t>64</w:t>
      </w:r>
      <w:r w:rsidR="004037FC">
        <w:rPr>
          <w:lang w:eastAsia="en-GB"/>
        </w:rPr>
        <w:t>]</w:t>
      </w:r>
      <w:r>
        <w:rPr>
          <w:lang w:eastAsia="en-GB"/>
        </w:rPr>
        <w:t xml:space="preserve"> above I calculated the value of the husband’s shar</w:t>
      </w:r>
      <w:r w:rsidRPr="00214219">
        <w:rPr>
          <w:lang w:eastAsia="en-GB"/>
        </w:rPr>
        <w:t xml:space="preserve">e in Galldris at £22,710,668. 24.5% </w:t>
      </w:r>
      <w:r w:rsidR="00DC12F5">
        <w:rPr>
          <w:lang w:eastAsia="en-GB"/>
        </w:rPr>
        <w:t xml:space="preserve">of this is </w:t>
      </w:r>
      <w:r w:rsidRPr="00214219">
        <w:rPr>
          <w:b/>
          <w:bCs/>
          <w:lang w:eastAsia="en-GB"/>
        </w:rPr>
        <w:t>£5,573,579.</w:t>
      </w:r>
      <w:r w:rsidRPr="00214219">
        <w:rPr>
          <w:lang w:eastAsia="en-GB"/>
        </w:rPr>
        <w:t xml:space="preserve"> This is the first </w:t>
      </w:r>
      <w:r w:rsidR="00B21712">
        <w:rPr>
          <w:lang w:eastAsia="en-GB"/>
        </w:rPr>
        <w:t>item</w:t>
      </w:r>
      <w:r w:rsidRPr="00214219">
        <w:rPr>
          <w:lang w:eastAsia="en-GB"/>
        </w:rPr>
        <w:t xml:space="preserve"> of non-matrimonial property to be exc</w:t>
      </w:r>
      <w:r>
        <w:rPr>
          <w:lang w:eastAsia="en-GB"/>
        </w:rPr>
        <w:t>l</w:t>
      </w:r>
      <w:r w:rsidRPr="00214219">
        <w:rPr>
          <w:lang w:eastAsia="en-GB"/>
        </w:rPr>
        <w:t>uded from the pool of total asse</w:t>
      </w:r>
      <w:r>
        <w:rPr>
          <w:lang w:eastAsia="en-GB"/>
        </w:rPr>
        <w:t>t</w:t>
      </w:r>
      <w:r w:rsidRPr="00214219">
        <w:rPr>
          <w:lang w:eastAsia="en-GB"/>
        </w:rPr>
        <w:t>s</w:t>
      </w:r>
      <w:r w:rsidR="00B21712">
        <w:rPr>
          <w:lang w:eastAsia="en-GB"/>
        </w:rPr>
        <w:t>.</w:t>
      </w:r>
    </w:p>
    <w:p w14:paraId="680AF3CC" w14:textId="63A096F9" w:rsidR="001C0BBD" w:rsidRDefault="00214219" w:rsidP="001C0BBD">
      <w:pPr>
        <w:pStyle w:val="ParaLevel1"/>
        <w:rPr>
          <w:lang w:eastAsia="en-GB"/>
        </w:rPr>
      </w:pPr>
      <w:r>
        <w:rPr>
          <w:lang w:eastAsia="en-GB"/>
        </w:rPr>
        <w:t xml:space="preserve">The second </w:t>
      </w:r>
      <w:r w:rsidR="000E562C">
        <w:rPr>
          <w:lang w:eastAsia="en-GB"/>
        </w:rPr>
        <w:t>claimed amount relates to three properties which the husband had acquire</w:t>
      </w:r>
      <w:r w:rsidR="00D41799">
        <w:rPr>
          <w:lang w:eastAsia="en-GB"/>
        </w:rPr>
        <w:t>d</w:t>
      </w:r>
      <w:r w:rsidR="000E562C">
        <w:rPr>
          <w:lang w:eastAsia="en-GB"/>
        </w:rPr>
        <w:t xml:space="preserve"> before July 2005. The first is a </w:t>
      </w:r>
      <w:r w:rsidR="00903F03">
        <w:rPr>
          <w:lang w:eastAsia="en-GB"/>
        </w:rPr>
        <w:t>plot</w:t>
      </w:r>
      <w:r w:rsidR="000E562C">
        <w:rPr>
          <w:lang w:eastAsia="en-GB"/>
        </w:rPr>
        <w:t xml:space="preserve"> of land in Hertford worth only £19,179, which I disregard as </w:t>
      </w:r>
      <w:r w:rsidR="000E562C" w:rsidRPr="00753C73">
        <w:rPr>
          <w:i/>
          <w:iCs/>
          <w:lang w:eastAsia="en-GB"/>
        </w:rPr>
        <w:t>de minimis</w:t>
      </w:r>
      <w:r w:rsidR="000E562C">
        <w:rPr>
          <w:lang w:eastAsia="en-GB"/>
        </w:rPr>
        <w:t>. The second is Irish property No 2 worth £131</w:t>
      </w:r>
      <w:r w:rsidR="00B21712">
        <w:rPr>
          <w:lang w:eastAsia="en-GB"/>
        </w:rPr>
        <w:t>,</w:t>
      </w:r>
      <w:r w:rsidR="000E562C">
        <w:rPr>
          <w:lang w:eastAsia="en-GB"/>
        </w:rPr>
        <w:t xml:space="preserve">045 in the asset schedule. This was used as much loved matrimonial holiday home and has become “matrimonialised”. The third </w:t>
      </w:r>
      <w:r w:rsidR="00D41799">
        <w:rPr>
          <w:lang w:eastAsia="en-GB"/>
        </w:rPr>
        <w:t xml:space="preserve">property is a </w:t>
      </w:r>
      <w:r w:rsidR="00D66F76">
        <w:rPr>
          <w:lang w:eastAsia="en-GB"/>
        </w:rPr>
        <w:t>former dance studio</w:t>
      </w:r>
      <w:r w:rsidR="00D41799">
        <w:rPr>
          <w:lang w:eastAsia="en-GB"/>
        </w:rPr>
        <w:t xml:space="preserve"> in Hornsey which the husband acquired for £700,000 just before the start of cohabitation but which was developed into apartments during the relationship using matrimonial funds. </w:t>
      </w:r>
      <w:r w:rsidR="00D66F76">
        <w:rPr>
          <w:lang w:eastAsia="en-GB"/>
        </w:rPr>
        <w:t xml:space="preserve">That property is held by one of the </w:t>
      </w:r>
      <w:proofErr w:type="gramStart"/>
      <w:r w:rsidR="00D66F76">
        <w:rPr>
          <w:lang w:eastAsia="en-GB"/>
        </w:rPr>
        <w:t>property owning</w:t>
      </w:r>
      <w:proofErr w:type="gramEnd"/>
      <w:r w:rsidR="00D66F76">
        <w:rPr>
          <w:lang w:eastAsia="en-GB"/>
        </w:rPr>
        <w:t xml:space="preserve"> companies referred to in [</w:t>
      </w:r>
      <w:r w:rsidR="00B66C99">
        <w:rPr>
          <w:lang w:eastAsia="en-GB"/>
        </w:rPr>
        <w:t>66</w:t>
      </w:r>
      <w:r w:rsidR="00D66F76" w:rsidRPr="00237697">
        <w:rPr>
          <w:lang w:eastAsia="en-GB"/>
        </w:rPr>
        <w:t>]</w:t>
      </w:r>
      <w:r w:rsidR="00D66F76">
        <w:rPr>
          <w:lang w:eastAsia="en-GB"/>
        </w:rPr>
        <w:t xml:space="preserve"> above. </w:t>
      </w:r>
      <w:r w:rsidR="00D41799">
        <w:rPr>
          <w:lang w:eastAsia="en-GB"/>
        </w:rPr>
        <w:t>I agree with Mr Southgate</w:t>
      </w:r>
      <w:r w:rsidR="00E638BC">
        <w:rPr>
          <w:lang w:eastAsia="en-GB"/>
        </w:rPr>
        <w:t xml:space="preserve"> QC</w:t>
      </w:r>
      <w:r w:rsidR="00D41799">
        <w:rPr>
          <w:lang w:eastAsia="en-GB"/>
        </w:rPr>
        <w:t xml:space="preserve"> that I should take the purchase price of £700,000 as non-marital. </w:t>
      </w:r>
      <w:proofErr w:type="gramStart"/>
      <w:r w:rsidR="00D41799">
        <w:rPr>
          <w:lang w:eastAsia="en-GB"/>
        </w:rPr>
        <w:t>However</w:t>
      </w:r>
      <w:proofErr w:type="gramEnd"/>
      <w:r w:rsidR="00D41799">
        <w:rPr>
          <w:lang w:eastAsia="en-GB"/>
        </w:rPr>
        <w:t xml:space="preserve"> I consider that it should be </w:t>
      </w:r>
      <w:r w:rsidR="001C0BBD">
        <w:rPr>
          <w:lang w:eastAsia="en-GB"/>
        </w:rPr>
        <w:t xml:space="preserve">uprated </w:t>
      </w:r>
      <w:r w:rsidR="00D41799">
        <w:rPr>
          <w:lang w:eastAsia="en-GB"/>
        </w:rPr>
        <w:t>by the Greater London House Price index</w:t>
      </w:r>
      <w:r w:rsidR="001C0BBD">
        <w:rPr>
          <w:lang w:eastAsia="en-GB"/>
        </w:rPr>
        <w:t xml:space="preserve"> to </w:t>
      </w:r>
      <w:r w:rsidR="001C0BBD" w:rsidRPr="00D86A7C">
        <w:rPr>
          <w:b/>
          <w:bCs/>
          <w:lang w:eastAsia="en-GB"/>
        </w:rPr>
        <w:t>£</w:t>
      </w:r>
      <w:r w:rsidR="001C0BBD" w:rsidRPr="002D3369">
        <w:rPr>
          <w:b/>
          <w:bCs/>
          <w:lang w:eastAsia="en-GB"/>
        </w:rPr>
        <w:t>1,408,059</w:t>
      </w:r>
      <w:r w:rsidR="001C0BBD">
        <w:rPr>
          <w:lang w:eastAsia="en-GB"/>
        </w:rPr>
        <w:t xml:space="preserve"> (according to AAG Cloud). This is the second </w:t>
      </w:r>
      <w:r w:rsidR="00B21712">
        <w:rPr>
          <w:lang w:eastAsia="en-GB"/>
        </w:rPr>
        <w:t>item</w:t>
      </w:r>
      <w:r w:rsidR="001C0BBD">
        <w:rPr>
          <w:lang w:eastAsia="en-GB"/>
        </w:rPr>
        <w:t xml:space="preserve"> of non-matrimonial property to be deducted from the pool of total assets. </w:t>
      </w:r>
    </w:p>
    <w:p w14:paraId="6BC1AADB" w14:textId="3E686D40" w:rsidR="001C0BBD" w:rsidRPr="00B21712" w:rsidRDefault="001C0BBD" w:rsidP="00493388">
      <w:pPr>
        <w:pStyle w:val="ParaLevel1"/>
        <w:rPr>
          <w:b/>
          <w:bCs/>
          <w:lang w:eastAsia="en-GB"/>
        </w:rPr>
      </w:pPr>
      <w:r>
        <w:rPr>
          <w:lang w:eastAsia="en-GB"/>
        </w:rPr>
        <w:t xml:space="preserve">The total deduction referable to pre-marital property is therefore £5,573,579 + £1,408,059 = </w:t>
      </w:r>
      <w:r w:rsidR="00804F4A" w:rsidRPr="00B21712">
        <w:rPr>
          <w:b/>
          <w:bCs/>
          <w:lang w:eastAsia="en-GB"/>
        </w:rPr>
        <w:t>£6,981,638.</w:t>
      </w:r>
    </w:p>
    <w:p w14:paraId="0AB83511" w14:textId="5328F546" w:rsidR="005F7A2C" w:rsidRPr="005B3264" w:rsidRDefault="00B603E5" w:rsidP="001C0BBD">
      <w:pPr>
        <w:pStyle w:val="ParaLevel1"/>
        <w:numPr>
          <w:ilvl w:val="0"/>
          <w:numId w:val="0"/>
        </w:numPr>
        <w:rPr>
          <w:lang w:eastAsia="en-GB"/>
        </w:rPr>
      </w:pPr>
      <w:r w:rsidRPr="00C71A29">
        <w:rPr>
          <w:b/>
          <w:bCs/>
          <w:lang w:eastAsia="en-GB"/>
        </w:rPr>
        <w:t>M</w:t>
      </w:r>
      <w:r w:rsidR="005F7A2C" w:rsidRPr="00C71A29">
        <w:rPr>
          <w:b/>
          <w:bCs/>
          <w:lang w:eastAsia="en-GB"/>
        </w:rPr>
        <w:t>atrimonial property</w:t>
      </w:r>
      <w:r w:rsidR="00F76E6A" w:rsidRPr="00C71A29">
        <w:rPr>
          <w:b/>
          <w:bCs/>
          <w:lang w:eastAsia="en-GB"/>
        </w:rPr>
        <w:t xml:space="preserve">, </w:t>
      </w:r>
      <w:proofErr w:type="gramStart"/>
      <w:r w:rsidR="00F76E6A" w:rsidRPr="00C71A29">
        <w:rPr>
          <w:b/>
          <w:bCs/>
          <w:lang w:eastAsia="en-GB"/>
        </w:rPr>
        <w:t>distribution</w:t>
      </w:r>
      <w:proofErr w:type="gramEnd"/>
      <w:r w:rsidR="00F76E6A" w:rsidRPr="00C71A29">
        <w:rPr>
          <w:b/>
          <w:bCs/>
          <w:lang w:eastAsia="en-GB"/>
        </w:rPr>
        <w:t xml:space="preserve"> and award</w:t>
      </w:r>
    </w:p>
    <w:p w14:paraId="570DAAA2" w14:textId="3EE2BC64" w:rsidR="00804F4A" w:rsidRPr="00C23E42" w:rsidRDefault="00C71A29" w:rsidP="00753C73">
      <w:pPr>
        <w:pStyle w:val="ParaLevel1"/>
        <w:rPr>
          <w:b/>
          <w:bCs/>
          <w:lang w:eastAsia="en-GB"/>
        </w:rPr>
      </w:pPr>
      <w:r w:rsidRPr="005B3264">
        <w:rPr>
          <w:lang w:eastAsia="en-GB"/>
        </w:rPr>
        <w:t xml:space="preserve">The calculation of the matrimonial property is therefore: </w:t>
      </w:r>
      <w:r w:rsidR="00903F03" w:rsidRPr="005B3264">
        <w:rPr>
          <w:lang w:eastAsia="en-GB"/>
        </w:rPr>
        <w:t>£</w:t>
      </w:r>
      <w:proofErr w:type="gramStart"/>
      <w:r w:rsidR="009566E4" w:rsidRPr="009566E4">
        <w:rPr>
          <w:rFonts w:eastAsiaTheme="minorEastAsia"/>
          <w:color w:val="000000"/>
          <w:szCs w:val="24"/>
          <w:lang w:eastAsia="en-GB"/>
        </w:rPr>
        <w:t xml:space="preserve">35,456,884 </w:t>
      </w:r>
      <w:r w:rsidR="00903F03" w:rsidRPr="005B3264">
        <w:rPr>
          <w:lang w:eastAsia="en-GB"/>
        </w:rPr>
        <w:t xml:space="preserve"> </w:t>
      </w:r>
      <w:r w:rsidR="00753C73" w:rsidRPr="005B3264">
        <w:rPr>
          <w:lang w:eastAsia="en-GB"/>
        </w:rPr>
        <w:t>–</w:t>
      </w:r>
      <w:proofErr w:type="gramEnd"/>
      <w:r w:rsidR="00753C73" w:rsidRPr="005B3264">
        <w:rPr>
          <w:lang w:eastAsia="en-GB"/>
        </w:rPr>
        <w:t xml:space="preserve"> </w:t>
      </w:r>
      <w:r w:rsidRPr="005B3264">
        <w:rPr>
          <w:lang w:eastAsia="en-GB"/>
        </w:rPr>
        <w:t xml:space="preserve"> £1,408,059 </w:t>
      </w:r>
      <w:r w:rsidR="00753C73" w:rsidRPr="005B3264">
        <w:rPr>
          <w:lang w:eastAsia="en-GB"/>
        </w:rPr>
        <w:t>–</w:t>
      </w:r>
      <w:r w:rsidRPr="005B3264">
        <w:rPr>
          <w:lang w:eastAsia="en-GB"/>
        </w:rPr>
        <w:t xml:space="preserve"> £5,573,579 </w:t>
      </w:r>
      <w:r w:rsidRPr="00C23E42">
        <w:rPr>
          <w:b/>
          <w:bCs/>
          <w:lang w:eastAsia="en-GB"/>
        </w:rPr>
        <w:t>= £</w:t>
      </w:r>
      <w:r w:rsidR="0021682A" w:rsidRPr="0021682A">
        <w:rPr>
          <w:b/>
          <w:bCs/>
        </w:rPr>
        <w:t>28,475,246</w:t>
      </w:r>
      <w:r w:rsidR="0021682A">
        <w:t xml:space="preserve"> </w:t>
      </w:r>
      <w:r w:rsidRPr="00C23E42">
        <w:rPr>
          <w:b/>
          <w:bCs/>
          <w:lang w:eastAsia="en-GB"/>
        </w:rPr>
        <w:t>.</w:t>
      </w:r>
    </w:p>
    <w:p w14:paraId="5C8C8CE6" w14:textId="1E55F55A" w:rsidR="00886FE9" w:rsidRDefault="00C71A29" w:rsidP="001564DD">
      <w:pPr>
        <w:pStyle w:val="ParaLevel1"/>
        <w:rPr>
          <w:lang w:eastAsia="en-GB"/>
        </w:rPr>
      </w:pPr>
      <w:r>
        <w:rPr>
          <w:lang w:eastAsia="en-GB"/>
        </w:rPr>
        <w:t xml:space="preserve">It is agreed that 50% of the matrimonial property should be awarded to the wife and I concur fully with that </w:t>
      </w:r>
      <w:r w:rsidR="00F906B2">
        <w:rPr>
          <w:lang w:eastAsia="en-GB"/>
        </w:rPr>
        <w:t>consensus</w:t>
      </w:r>
      <w:r w:rsidR="005F6C94">
        <w:rPr>
          <w:lang w:eastAsia="en-GB"/>
        </w:rPr>
        <w:t xml:space="preserve">. </w:t>
      </w:r>
      <w:r w:rsidR="00D66F76">
        <w:rPr>
          <w:lang w:eastAsia="en-GB"/>
        </w:rPr>
        <w:t xml:space="preserve">The equal division of the </w:t>
      </w:r>
      <w:r w:rsidR="00886FE9">
        <w:rPr>
          <w:lang w:eastAsia="en-GB"/>
        </w:rPr>
        <w:t xml:space="preserve">matrimonial acquest is quintessentially fair on the facts of this case. </w:t>
      </w:r>
      <w:r w:rsidR="005F6C94">
        <w:rPr>
          <w:lang w:eastAsia="en-GB"/>
        </w:rPr>
        <w:t xml:space="preserve">The </w:t>
      </w:r>
      <w:r w:rsidR="00401153">
        <w:rPr>
          <w:lang w:eastAsia="en-GB"/>
        </w:rPr>
        <w:t xml:space="preserve">headline </w:t>
      </w:r>
      <w:r w:rsidR="005F6C94">
        <w:rPr>
          <w:lang w:eastAsia="en-GB"/>
        </w:rPr>
        <w:t xml:space="preserve">value of the wife’s award is therefore </w:t>
      </w:r>
      <w:r w:rsidR="00886FE9" w:rsidRPr="00886FE9">
        <w:rPr>
          <w:lang w:eastAsia="en-GB"/>
        </w:rPr>
        <w:t>£</w:t>
      </w:r>
      <w:proofErr w:type="gramStart"/>
      <w:r w:rsidR="0021682A">
        <w:t xml:space="preserve">28,475,246 </w:t>
      </w:r>
      <w:r w:rsidR="00886FE9" w:rsidRPr="00886FE9">
        <w:rPr>
          <w:lang w:eastAsia="en-GB"/>
        </w:rPr>
        <w:t xml:space="preserve"> ÷</w:t>
      </w:r>
      <w:proofErr w:type="gramEnd"/>
      <w:r w:rsidR="00886FE9" w:rsidRPr="00886FE9">
        <w:rPr>
          <w:lang w:eastAsia="en-GB"/>
        </w:rPr>
        <w:t xml:space="preserve"> 2 = </w:t>
      </w:r>
      <w:r w:rsidR="005F6C94" w:rsidRPr="0021682A">
        <w:rPr>
          <w:b/>
          <w:bCs/>
          <w:lang w:eastAsia="en-GB"/>
        </w:rPr>
        <w:t>£</w:t>
      </w:r>
      <w:r w:rsidR="0021682A" w:rsidRPr="0021682A">
        <w:rPr>
          <w:rFonts w:eastAsiaTheme="minorEastAsia"/>
          <w:b/>
          <w:bCs/>
          <w:color w:val="000000"/>
          <w:szCs w:val="24"/>
          <w:lang w:eastAsia="en-GB"/>
        </w:rPr>
        <w:t>14,237,623</w:t>
      </w:r>
      <w:r w:rsidR="0021682A" w:rsidRPr="0021682A">
        <w:rPr>
          <w:rFonts w:eastAsiaTheme="minorEastAsia"/>
          <w:color w:val="000000"/>
          <w:szCs w:val="24"/>
          <w:lang w:eastAsia="en-GB"/>
        </w:rPr>
        <w:t xml:space="preserve"> </w:t>
      </w:r>
      <w:r w:rsidR="005F6C94" w:rsidRPr="0021682A">
        <w:rPr>
          <w:b/>
          <w:bCs/>
          <w:lang w:eastAsia="en-GB"/>
        </w:rPr>
        <w:t>.</w:t>
      </w:r>
      <w:r w:rsidR="005F6C94">
        <w:rPr>
          <w:lang w:eastAsia="en-GB"/>
        </w:rPr>
        <w:t xml:space="preserve"> </w:t>
      </w:r>
    </w:p>
    <w:p w14:paraId="1FE7744C" w14:textId="7CC63FDA" w:rsidR="00C71A29" w:rsidRDefault="005F6C94" w:rsidP="001564DD">
      <w:pPr>
        <w:pStyle w:val="ParaLevel1"/>
        <w:rPr>
          <w:lang w:eastAsia="en-GB"/>
        </w:rPr>
      </w:pPr>
      <w:r>
        <w:rPr>
          <w:lang w:eastAsia="en-GB"/>
        </w:rPr>
        <w:t>It is agreed that the wife will retain the former matrimonial home. I have found the net value of that property to be £</w:t>
      </w:r>
      <w:r w:rsidR="00C71A29" w:rsidRPr="00C71A29">
        <w:rPr>
          <w:lang w:eastAsia="en-GB"/>
        </w:rPr>
        <w:t>2,620,586</w:t>
      </w:r>
      <w:r>
        <w:rPr>
          <w:lang w:eastAsia="en-GB"/>
        </w:rPr>
        <w:t>. The wife</w:t>
      </w:r>
      <w:r w:rsidR="00653D6E">
        <w:rPr>
          <w:lang w:eastAsia="en-GB"/>
        </w:rPr>
        <w:t xml:space="preserve"> seeks the</w:t>
      </w:r>
      <w:r>
        <w:rPr>
          <w:lang w:eastAsia="en-GB"/>
        </w:rPr>
        <w:t xml:space="preserve"> transfer to her of Irish Property No 2 but I accept the evidence of the husband that this would be completely inappropriate as that property is surrounded by dwellings occupied by </w:t>
      </w:r>
      <w:r w:rsidR="00B21712">
        <w:rPr>
          <w:lang w:eastAsia="en-GB"/>
        </w:rPr>
        <w:t>his</w:t>
      </w:r>
      <w:r>
        <w:rPr>
          <w:lang w:eastAsia="en-GB"/>
        </w:rPr>
        <w:t xml:space="preserve"> relatives. I agree with Mr Southgate QC that the wife should receive one of the Irish properties and that if she cannot have Property No </w:t>
      </w:r>
      <w:proofErr w:type="gramStart"/>
      <w:r>
        <w:rPr>
          <w:lang w:eastAsia="en-GB"/>
        </w:rPr>
        <w:t>2</w:t>
      </w:r>
      <w:proofErr w:type="gramEnd"/>
      <w:r>
        <w:rPr>
          <w:lang w:eastAsia="en-GB"/>
        </w:rPr>
        <w:t xml:space="preserve"> she should be awarded Property No 1 which is 7 miles away. The value to be attributed to the wife, on the basis that the husband pays his own capital gains tax</w:t>
      </w:r>
      <w:r w:rsidR="00653D6E">
        <w:rPr>
          <w:lang w:eastAsia="en-GB"/>
        </w:rPr>
        <w:t>,</w:t>
      </w:r>
      <w:r>
        <w:rPr>
          <w:lang w:eastAsia="en-GB"/>
        </w:rPr>
        <w:t xml:space="preserve"> is £</w:t>
      </w:r>
      <w:r w:rsidR="00C71A29" w:rsidRPr="00C71A29">
        <w:rPr>
          <w:lang w:eastAsia="en-GB"/>
        </w:rPr>
        <w:t>201,934</w:t>
      </w:r>
      <w:r>
        <w:rPr>
          <w:lang w:eastAsia="en-GB"/>
        </w:rPr>
        <w:t xml:space="preserve">. </w:t>
      </w:r>
    </w:p>
    <w:p w14:paraId="15F138BD" w14:textId="50E7F4FF" w:rsidR="00401153" w:rsidRPr="00C71A29" w:rsidRDefault="00401153" w:rsidP="001564DD">
      <w:pPr>
        <w:pStyle w:val="ParaLevel1"/>
        <w:rPr>
          <w:lang w:eastAsia="en-GB"/>
        </w:rPr>
      </w:pPr>
      <w:r>
        <w:rPr>
          <w:lang w:eastAsia="en-GB"/>
        </w:rPr>
        <w:t>The</w:t>
      </w:r>
      <w:r w:rsidR="00F906B2">
        <w:rPr>
          <w:lang w:eastAsia="en-GB"/>
        </w:rPr>
        <w:t xml:space="preserve"> net values of these properties </w:t>
      </w:r>
      <w:r>
        <w:rPr>
          <w:lang w:eastAsia="en-GB"/>
        </w:rPr>
        <w:t xml:space="preserve">will be deducted from the headline value of the wife’s award. However, as the final asset schedule shows, the wife has significant net debts amounting to £714,106, largely referable to a substantial </w:t>
      </w:r>
      <w:r w:rsidR="00274FF1">
        <w:rPr>
          <w:lang w:eastAsia="en-GB"/>
        </w:rPr>
        <w:t>l</w:t>
      </w:r>
      <w:r>
        <w:rPr>
          <w:lang w:eastAsia="en-GB"/>
        </w:rPr>
        <w:t xml:space="preserve">itigation loan on which she is paying 14% interest. It is emblematic of the wastage of money that </w:t>
      </w:r>
      <w:r w:rsidR="006405D6">
        <w:rPr>
          <w:lang w:eastAsia="en-GB"/>
        </w:rPr>
        <w:t xml:space="preserve">it </w:t>
      </w:r>
      <w:r>
        <w:rPr>
          <w:lang w:eastAsia="en-GB"/>
        </w:rPr>
        <w:t>seems has plagued this case that the wife should have been forced to take out a high interest litigation loan rather than being provided with monies on account of her award. That amount of £</w:t>
      </w:r>
      <w:r w:rsidR="00AB16FD">
        <w:rPr>
          <w:lang w:eastAsia="en-GB"/>
        </w:rPr>
        <w:t xml:space="preserve">714,106 </w:t>
      </w:r>
      <w:proofErr w:type="gramStart"/>
      <w:r>
        <w:rPr>
          <w:lang w:eastAsia="en-GB"/>
        </w:rPr>
        <w:t>has to</w:t>
      </w:r>
      <w:proofErr w:type="gramEnd"/>
      <w:r>
        <w:rPr>
          <w:lang w:eastAsia="en-GB"/>
        </w:rPr>
        <w:t xml:space="preserve"> be added</w:t>
      </w:r>
      <w:r w:rsidR="00AB16FD">
        <w:rPr>
          <w:lang w:eastAsia="en-GB"/>
        </w:rPr>
        <w:t xml:space="preserve"> when calculating the lump sum that is to be paid.</w:t>
      </w:r>
      <w:r>
        <w:rPr>
          <w:lang w:eastAsia="en-GB"/>
        </w:rPr>
        <w:t xml:space="preserve"> </w:t>
      </w:r>
    </w:p>
    <w:p w14:paraId="0D655B4F" w14:textId="207F02DF" w:rsidR="00C71A29" w:rsidRDefault="00AB16FD" w:rsidP="00C71A29">
      <w:pPr>
        <w:pStyle w:val="ParaLevel1"/>
        <w:rPr>
          <w:lang w:eastAsia="en-GB"/>
        </w:rPr>
      </w:pPr>
      <w:r>
        <w:rPr>
          <w:lang w:eastAsia="en-GB"/>
        </w:rPr>
        <w:t>The calculation of the lump sum is as follows:</w:t>
      </w:r>
    </w:p>
    <w:tbl>
      <w:tblPr>
        <w:tblW w:w="4455" w:type="dxa"/>
        <w:tblInd w:w="709" w:type="dxa"/>
        <w:tblLook w:val="04A0" w:firstRow="1" w:lastRow="0" w:firstColumn="1" w:lastColumn="0" w:noHBand="0" w:noVBand="1"/>
      </w:tblPr>
      <w:tblGrid>
        <w:gridCol w:w="3119"/>
        <w:gridCol w:w="1336"/>
      </w:tblGrid>
      <w:tr w:rsidR="00AB16FD" w14:paraId="5268810D" w14:textId="77777777" w:rsidTr="00E367AF">
        <w:trPr>
          <w:trHeight w:val="309"/>
        </w:trPr>
        <w:tc>
          <w:tcPr>
            <w:tcW w:w="3119" w:type="dxa"/>
            <w:tcBorders>
              <w:top w:val="nil"/>
              <w:left w:val="nil"/>
              <w:bottom w:val="nil"/>
              <w:right w:val="nil"/>
            </w:tcBorders>
            <w:shd w:val="clear" w:color="auto" w:fill="auto"/>
            <w:noWrap/>
            <w:vAlign w:val="bottom"/>
            <w:hideMark/>
          </w:tcPr>
          <w:p w14:paraId="6E9AAFEF" w14:textId="543BC8BE" w:rsidR="00AB16FD" w:rsidRDefault="00AB16FD">
            <w:pPr>
              <w:rPr>
                <w:lang w:eastAsia="en-GB"/>
              </w:rPr>
            </w:pPr>
            <w:r>
              <w:t>Headline value of the award</w:t>
            </w:r>
          </w:p>
        </w:tc>
        <w:tc>
          <w:tcPr>
            <w:tcW w:w="1336" w:type="dxa"/>
            <w:tcBorders>
              <w:top w:val="nil"/>
              <w:left w:val="nil"/>
              <w:bottom w:val="nil"/>
              <w:right w:val="nil"/>
            </w:tcBorders>
            <w:shd w:val="clear" w:color="auto" w:fill="auto"/>
            <w:noWrap/>
            <w:vAlign w:val="bottom"/>
            <w:hideMark/>
          </w:tcPr>
          <w:p w14:paraId="3F5C48FA" w14:textId="10605444" w:rsidR="00AB16FD" w:rsidRDefault="0021682A">
            <w:pPr>
              <w:jc w:val="right"/>
            </w:pPr>
            <w:r w:rsidRPr="0021682A">
              <w:rPr>
                <w:rFonts w:eastAsiaTheme="minorEastAsia"/>
                <w:color w:val="000000"/>
                <w:lang w:eastAsia="en-GB"/>
              </w:rPr>
              <w:t xml:space="preserve">14,237,623 </w:t>
            </w:r>
          </w:p>
        </w:tc>
      </w:tr>
      <w:tr w:rsidR="00AB16FD" w14:paraId="6129B59C" w14:textId="77777777" w:rsidTr="00E367AF">
        <w:trPr>
          <w:trHeight w:val="309"/>
        </w:trPr>
        <w:tc>
          <w:tcPr>
            <w:tcW w:w="3119" w:type="dxa"/>
            <w:tcBorders>
              <w:top w:val="nil"/>
              <w:left w:val="nil"/>
              <w:bottom w:val="nil"/>
              <w:right w:val="nil"/>
            </w:tcBorders>
            <w:shd w:val="clear" w:color="auto" w:fill="auto"/>
            <w:noWrap/>
            <w:vAlign w:val="bottom"/>
            <w:hideMark/>
          </w:tcPr>
          <w:p w14:paraId="0E2BAE96" w14:textId="24379A8E" w:rsidR="00AB16FD" w:rsidRDefault="00A77F7F">
            <w:r>
              <w:t>L</w:t>
            </w:r>
            <w:r w:rsidR="00AB16FD">
              <w:t>ess matrimonial home</w:t>
            </w:r>
          </w:p>
        </w:tc>
        <w:tc>
          <w:tcPr>
            <w:tcW w:w="1336" w:type="dxa"/>
            <w:tcBorders>
              <w:top w:val="nil"/>
              <w:left w:val="nil"/>
              <w:bottom w:val="nil"/>
              <w:right w:val="nil"/>
            </w:tcBorders>
            <w:shd w:val="clear" w:color="auto" w:fill="auto"/>
            <w:noWrap/>
            <w:vAlign w:val="bottom"/>
            <w:hideMark/>
          </w:tcPr>
          <w:p w14:paraId="3CD56252" w14:textId="77777777" w:rsidR="00AB16FD" w:rsidRDefault="00AB16FD">
            <w:pPr>
              <w:jc w:val="right"/>
            </w:pPr>
            <w:r>
              <w:rPr>
                <w:color w:val="FF0000"/>
              </w:rPr>
              <w:t>(2,620,586)</w:t>
            </w:r>
          </w:p>
        </w:tc>
      </w:tr>
      <w:tr w:rsidR="00AB16FD" w14:paraId="4EF1320C" w14:textId="77777777" w:rsidTr="00E367AF">
        <w:trPr>
          <w:trHeight w:val="309"/>
        </w:trPr>
        <w:tc>
          <w:tcPr>
            <w:tcW w:w="3119" w:type="dxa"/>
            <w:tcBorders>
              <w:top w:val="nil"/>
              <w:left w:val="nil"/>
              <w:bottom w:val="nil"/>
              <w:right w:val="nil"/>
            </w:tcBorders>
            <w:shd w:val="clear" w:color="auto" w:fill="auto"/>
            <w:noWrap/>
            <w:vAlign w:val="bottom"/>
            <w:hideMark/>
          </w:tcPr>
          <w:p w14:paraId="18290900" w14:textId="563E2A1F" w:rsidR="00AB16FD" w:rsidRDefault="00AB16FD">
            <w:r>
              <w:t xml:space="preserve">Less Irish property No 2 </w:t>
            </w:r>
          </w:p>
        </w:tc>
        <w:tc>
          <w:tcPr>
            <w:tcW w:w="1336" w:type="dxa"/>
            <w:tcBorders>
              <w:top w:val="nil"/>
              <w:left w:val="nil"/>
              <w:bottom w:val="nil"/>
              <w:right w:val="nil"/>
            </w:tcBorders>
            <w:shd w:val="clear" w:color="auto" w:fill="auto"/>
            <w:noWrap/>
            <w:vAlign w:val="bottom"/>
            <w:hideMark/>
          </w:tcPr>
          <w:p w14:paraId="794B0AFB" w14:textId="77777777" w:rsidR="00AB16FD" w:rsidRDefault="00AB16FD">
            <w:pPr>
              <w:jc w:val="right"/>
            </w:pPr>
            <w:r>
              <w:rPr>
                <w:color w:val="FF0000"/>
              </w:rPr>
              <w:t>(201,934)</w:t>
            </w:r>
          </w:p>
        </w:tc>
      </w:tr>
      <w:tr w:rsidR="00AB16FD" w14:paraId="60387655" w14:textId="77777777" w:rsidTr="00E367AF">
        <w:trPr>
          <w:trHeight w:val="309"/>
        </w:trPr>
        <w:tc>
          <w:tcPr>
            <w:tcW w:w="3119" w:type="dxa"/>
            <w:tcBorders>
              <w:top w:val="nil"/>
              <w:left w:val="nil"/>
              <w:bottom w:val="nil"/>
              <w:right w:val="nil"/>
            </w:tcBorders>
            <w:shd w:val="clear" w:color="auto" w:fill="auto"/>
            <w:noWrap/>
            <w:vAlign w:val="bottom"/>
            <w:hideMark/>
          </w:tcPr>
          <w:p w14:paraId="1619E1BC" w14:textId="2F2B5576" w:rsidR="00AB16FD" w:rsidRDefault="00AB16FD">
            <w:r>
              <w:t>Add net debts</w:t>
            </w:r>
          </w:p>
        </w:tc>
        <w:tc>
          <w:tcPr>
            <w:tcW w:w="1336" w:type="dxa"/>
            <w:tcBorders>
              <w:top w:val="nil"/>
              <w:left w:val="nil"/>
              <w:bottom w:val="single" w:sz="4" w:space="0" w:color="auto"/>
              <w:right w:val="nil"/>
            </w:tcBorders>
            <w:shd w:val="clear" w:color="auto" w:fill="auto"/>
            <w:noWrap/>
            <w:vAlign w:val="bottom"/>
            <w:hideMark/>
          </w:tcPr>
          <w:p w14:paraId="79F5A7EF" w14:textId="77777777" w:rsidR="00AB16FD" w:rsidRDefault="00AB16FD">
            <w:pPr>
              <w:jc w:val="right"/>
            </w:pPr>
            <w:r>
              <w:t xml:space="preserve">714,106 </w:t>
            </w:r>
          </w:p>
        </w:tc>
      </w:tr>
      <w:tr w:rsidR="00AB16FD" w14:paraId="5990BA5E" w14:textId="77777777" w:rsidTr="00E367AF">
        <w:trPr>
          <w:trHeight w:val="309"/>
        </w:trPr>
        <w:tc>
          <w:tcPr>
            <w:tcW w:w="3119" w:type="dxa"/>
            <w:tcBorders>
              <w:top w:val="nil"/>
              <w:left w:val="nil"/>
              <w:bottom w:val="nil"/>
              <w:right w:val="nil"/>
            </w:tcBorders>
            <w:shd w:val="clear" w:color="auto" w:fill="auto"/>
            <w:noWrap/>
            <w:vAlign w:val="bottom"/>
            <w:hideMark/>
          </w:tcPr>
          <w:p w14:paraId="7120741E" w14:textId="77777777" w:rsidR="00AB16FD" w:rsidRDefault="00AB16FD">
            <w:r>
              <w:t>lump sum</w:t>
            </w:r>
          </w:p>
        </w:tc>
        <w:tc>
          <w:tcPr>
            <w:tcW w:w="1336" w:type="dxa"/>
            <w:tcBorders>
              <w:top w:val="nil"/>
              <w:left w:val="nil"/>
              <w:bottom w:val="nil"/>
              <w:right w:val="nil"/>
            </w:tcBorders>
            <w:shd w:val="clear" w:color="auto" w:fill="auto"/>
            <w:noWrap/>
            <w:vAlign w:val="bottom"/>
            <w:hideMark/>
          </w:tcPr>
          <w:p w14:paraId="0513898E" w14:textId="55520F41" w:rsidR="00AB16FD" w:rsidRDefault="0021682A">
            <w:pPr>
              <w:jc w:val="right"/>
            </w:pPr>
            <w:r>
              <w:t xml:space="preserve">12,129,209 </w:t>
            </w:r>
            <w:r w:rsidR="00274FF1" w:rsidRPr="00274FF1">
              <w:t xml:space="preserve"> </w:t>
            </w:r>
            <w:r w:rsidR="00AB16FD">
              <w:t xml:space="preserve"> </w:t>
            </w:r>
          </w:p>
        </w:tc>
      </w:tr>
    </w:tbl>
    <w:p w14:paraId="58E306CB" w14:textId="25ED005D" w:rsidR="00E367AF" w:rsidRDefault="00E367AF" w:rsidP="00C71A29">
      <w:pPr>
        <w:pStyle w:val="ParaLevel1"/>
        <w:rPr>
          <w:lang w:eastAsia="en-GB"/>
        </w:rPr>
      </w:pPr>
      <w:r>
        <w:rPr>
          <w:lang w:eastAsia="en-GB"/>
        </w:rPr>
        <w:t>Mr Webster</w:t>
      </w:r>
      <w:r w:rsidR="00F906B2">
        <w:rPr>
          <w:lang w:eastAsia="en-GB"/>
        </w:rPr>
        <w:t xml:space="preserve"> </w:t>
      </w:r>
      <w:proofErr w:type="gramStart"/>
      <w:r w:rsidR="00F906B2">
        <w:rPr>
          <w:lang w:eastAsia="en-GB"/>
        </w:rPr>
        <w:t xml:space="preserve">QC </w:t>
      </w:r>
      <w:r>
        <w:rPr>
          <w:lang w:eastAsia="en-GB"/>
        </w:rPr>
        <w:t xml:space="preserve"> </w:t>
      </w:r>
      <w:r w:rsidR="00B66C99">
        <w:rPr>
          <w:lang w:eastAsia="en-GB"/>
        </w:rPr>
        <w:t>suggests</w:t>
      </w:r>
      <w:proofErr w:type="gramEnd"/>
      <w:r w:rsidR="00B66C99">
        <w:rPr>
          <w:lang w:eastAsia="en-GB"/>
        </w:rPr>
        <w:t xml:space="preserve"> that the husband </w:t>
      </w:r>
      <w:r>
        <w:rPr>
          <w:lang w:eastAsia="en-GB"/>
        </w:rPr>
        <w:t xml:space="preserve">could raise £2 million within the next four weeks. This will be achieved through temporarily over-drawing his director’s loan account. In my judgment the husband could </w:t>
      </w:r>
      <w:r w:rsidR="00F906B2">
        <w:rPr>
          <w:lang w:eastAsia="en-GB"/>
        </w:rPr>
        <w:t xml:space="preserve">comfortably </w:t>
      </w:r>
      <w:r>
        <w:rPr>
          <w:lang w:eastAsia="en-GB"/>
        </w:rPr>
        <w:t xml:space="preserve">provide by this means </w:t>
      </w:r>
      <w:r w:rsidR="00563F12">
        <w:rPr>
          <w:lang w:eastAsia="en-GB"/>
        </w:rPr>
        <w:t>around</w:t>
      </w:r>
      <w:r w:rsidR="00274FF1">
        <w:rPr>
          <w:lang w:eastAsia="en-GB"/>
        </w:rPr>
        <w:t xml:space="preserve"> </w:t>
      </w:r>
      <w:r>
        <w:rPr>
          <w:lang w:eastAsia="en-GB"/>
        </w:rPr>
        <w:t xml:space="preserve">£3 million. The husband says that he will need three years to pay the balance. In my judgment he does not need longer than two years, although it will be open to him to apply to vary the date of payment of that instalment. </w:t>
      </w:r>
    </w:p>
    <w:p w14:paraId="783F56E1" w14:textId="397D5A92" w:rsidR="00E367AF" w:rsidRDefault="00E367AF" w:rsidP="00C71A29">
      <w:pPr>
        <w:pStyle w:val="ParaLevel1"/>
        <w:rPr>
          <w:lang w:eastAsia="en-GB"/>
        </w:rPr>
      </w:pPr>
      <w:r>
        <w:rPr>
          <w:lang w:eastAsia="en-GB"/>
        </w:rPr>
        <w:t xml:space="preserve">I therefore order a lump sum </w:t>
      </w:r>
      <w:r w:rsidR="00653D6E">
        <w:rPr>
          <w:lang w:eastAsia="en-GB"/>
        </w:rPr>
        <w:t xml:space="preserve">of </w:t>
      </w:r>
      <w:r w:rsidR="00653D6E" w:rsidRPr="0021682A">
        <w:rPr>
          <w:b/>
          <w:bCs/>
          <w:lang w:eastAsia="en-GB"/>
        </w:rPr>
        <w:t>£</w:t>
      </w:r>
      <w:r w:rsidR="0021682A" w:rsidRPr="0021682A">
        <w:rPr>
          <w:rFonts w:eastAsiaTheme="minorEastAsia"/>
          <w:b/>
          <w:bCs/>
          <w:color w:val="000000"/>
          <w:szCs w:val="24"/>
          <w:lang w:eastAsia="en-GB"/>
        </w:rPr>
        <w:t>12,129,209</w:t>
      </w:r>
      <w:r w:rsidR="00D52E35">
        <w:rPr>
          <w:lang w:eastAsia="en-GB"/>
        </w:rPr>
        <w:t>,</w:t>
      </w:r>
      <w:r w:rsidR="00653D6E">
        <w:rPr>
          <w:lang w:eastAsia="en-GB"/>
        </w:rPr>
        <w:t xml:space="preserve"> </w:t>
      </w:r>
      <w:r>
        <w:rPr>
          <w:lang w:eastAsia="en-GB"/>
        </w:rPr>
        <w:t>payable by instalments as follows:</w:t>
      </w:r>
    </w:p>
    <w:p w14:paraId="37CE99F3" w14:textId="3D0C8FEB" w:rsidR="00C71A29" w:rsidRDefault="00E367AF" w:rsidP="00E367AF">
      <w:pPr>
        <w:pStyle w:val="ParaLevel2"/>
        <w:rPr>
          <w:lang w:eastAsia="en-GB"/>
        </w:rPr>
      </w:pPr>
      <w:r>
        <w:rPr>
          <w:lang w:eastAsia="en-GB"/>
        </w:rPr>
        <w:t>£</w:t>
      </w:r>
      <w:r w:rsidR="0021682A">
        <w:t xml:space="preserve">3,129,209 </w:t>
      </w:r>
      <w:r>
        <w:rPr>
          <w:lang w:eastAsia="en-GB"/>
        </w:rPr>
        <w:t>by 1 July 2022</w:t>
      </w:r>
      <w:r w:rsidR="00D52E35">
        <w:rPr>
          <w:lang w:eastAsia="en-GB"/>
        </w:rPr>
        <w:t>; and</w:t>
      </w:r>
    </w:p>
    <w:p w14:paraId="14FB0FFC" w14:textId="0EDD21D7" w:rsidR="00E367AF" w:rsidRDefault="00E367AF" w:rsidP="00E367AF">
      <w:pPr>
        <w:pStyle w:val="ParaLevel2"/>
        <w:rPr>
          <w:lang w:eastAsia="en-GB"/>
        </w:rPr>
      </w:pPr>
      <w:r>
        <w:rPr>
          <w:lang w:eastAsia="en-GB"/>
        </w:rPr>
        <w:t>£9,0</w:t>
      </w:r>
      <w:r w:rsidR="00650D4B">
        <w:rPr>
          <w:lang w:eastAsia="en-GB"/>
        </w:rPr>
        <w:t>00</w:t>
      </w:r>
      <w:r>
        <w:rPr>
          <w:lang w:eastAsia="en-GB"/>
        </w:rPr>
        <w:t>,</w:t>
      </w:r>
      <w:r w:rsidR="00650D4B">
        <w:rPr>
          <w:lang w:eastAsia="en-GB"/>
        </w:rPr>
        <w:t>000</w:t>
      </w:r>
      <w:r>
        <w:rPr>
          <w:lang w:eastAsia="en-GB"/>
        </w:rPr>
        <w:t xml:space="preserve"> by 1 July 2024</w:t>
      </w:r>
      <w:r w:rsidR="00072D8C">
        <w:rPr>
          <w:lang w:eastAsia="en-GB"/>
        </w:rPr>
        <w:t>.</w:t>
      </w:r>
    </w:p>
    <w:p w14:paraId="3979054A" w14:textId="557F43A4" w:rsidR="00E367AF" w:rsidRDefault="00E367AF" w:rsidP="00E367AF">
      <w:pPr>
        <w:pStyle w:val="ParaLevel2"/>
        <w:numPr>
          <w:ilvl w:val="0"/>
          <w:numId w:val="0"/>
        </w:numPr>
        <w:ind w:left="709"/>
        <w:rPr>
          <w:lang w:eastAsia="en-GB"/>
        </w:rPr>
      </w:pPr>
      <w:r>
        <w:rPr>
          <w:lang w:eastAsia="en-GB"/>
        </w:rPr>
        <w:t xml:space="preserve">Pending payment of the second instalment of the husband will pay the wife </w:t>
      </w:r>
      <w:r w:rsidR="00650D4B">
        <w:rPr>
          <w:lang w:eastAsia="en-GB"/>
        </w:rPr>
        <w:t xml:space="preserve">periodical </w:t>
      </w:r>
      <w:r>
        <w:rPr>
          <w:lang w:eastAsia="en-GB"/>
        </w:rPr>
        <w:t>payments of</w:t>
      </w:r>
      <w:r w:rsidR="00650D4B">
        <w:rPr>
          <w:lang w:eastAsia="en-GB"/>
        </w:rPr>
        <w:t xml:space="preserve"> £225,000 per annum</w:t>
      </w:r>
      <w:r w:rsidR="00F906B2">
        <w:rPr>
          <w:lang w:eastAsia="en-GB"/>
        </w:rPr>
        <w:t>. These shall be paid</w:t>
      </w:r>
      <w:r w:rsidR="00650D4B">
        <w:rPr>
          <w:lang w:eastAsia="en-GB"/>
        </w:rPr>
        <w:t xml:space="preserve"> at the rate of £18,750 </w:t>
      </w:r>
      <w:r w:rsidR="00274FF1">
        <w:rPr>
          <w:lang w:eastAsia="en-GB"/>
        </w:rPr>
        <w:t xml:space="preserve">per month </w:t>
      </w:r>
      <w:r w:rsidR="00650D4B">
        <w:rPr>
          <w:lang w:eastAsia="en-GB"/>
        </w:rPr>
        <w:t>commencing on 1 July 2022. Th</w:t>
      </w:r>
      <w:r w:rsidR="00F906B2">
        <w:rPr>
          <w:lang w:eastAsia="en-GB"/>
        </w:rPr>
        <w:t>e</w:t>
      </w:r>
      <w:r w:rsidR="00274FF1">
        <w:rPr>
          <w:lang w:eastAsia="en-GB"/>
        </w:rPr>
        <w:t xml:space="preserve"> </w:t>
      </w:r>
      <w:r w:rsidR="00650D4B">
        <w:rPr>
          <w:lang w:eastAsia="en-GB"/>
        </w:rPr>
        <w:t>periodical payments will be rateably reduced on any part payment of the second instalment before 1 July 2024.</w:t>
      </w:r>
      <w:r w:rsidR="00B21712">
        <w:rPr>
          <w:lang w:eastAsia="en-GB"/>
        </w:rPr>
        <w:t xml:space="preserve"> On payment in full of both instalments there will be a clean break between the parties.</w:t>
      </w:r>
    </w:p>
    <w:p w14:paraId="7F94CBE8" w14:textId="77F73C99" w:rsidR="00650D4B" w:rsidRDefault="00650D4B" w:rsidP="00345296">
      <w:pPr>
        <w:pStyle w:val="ParaLevel1"/>
        <w:rPr>
          <w:lang w:eastAsia="en-GB"/>
        </w:rPr>
      </w:pPr>
      <w:proofErr w:type="gramStart"/>
      <w:r>
        <w:rPr>
          <w:lang w:eastAsia="en-GB"/>
        </w:rPr>
        <w:t>In the event that</w:t>
      </w:r>
      <w:proofErr w:type="gramEnd"/>
      <w:r>
        <w:rPr>
          <w:lang w:eastAsia="en-GB"/>
        </w:rPr>
        <w:t xml:space="preserve"> the husband</w:t>
      </w:r>
      <w:r w:rsidR="00345296">
        <w:rPr>
          <w:lang w:eastAsia="en-GB"/>
        </w:rPr>
        <w:t xml:space="preserve"> defaults in payment of either instalment then judgment debt interest will arise </w:t>
      </w:r>
      <w:r w:rsidR="00886FE9">
        <w:rPr>
          <w:lang w:eastAsia="en-GB"/>
        </w:rPr>
        <w:t xml:space="preserve">in the normal way </w:t>
      </w:r>
      <w:r w:rsidR="00345296">
        <w:rPr>
          <w:lang w:eastAsia="en-GB"/>
        </w:rPr>
        <w:t xml:space="preserve">although the wife </w:t>
      </w:r>
      <w:r w:rsidR="00F906B2">
        <w:rPr>
          <w:lang w:eastAsia="en-GB"/>
        </w:rPr>
        <w:t>shall</w:t>
      </w:r>
      <w:r w:rsidR="00345296">
        <w:rPr>
          <w:lang w:eastAsia="en-GB"/>
        </w:rPr>
        <w:t xml:space="preserve"> give credit again</w:t>
      </w:r>
      <w:r w:rsidR="00D52E35">
        <w:rPr>
          <w:lang w:eastAsia="en-GB"/>
        </w:rPr>
        <w:t>st</w:t>
      </w:r>
      <w:r w:rsidR="00345296">
        <w:rPr>
          <w:lang w:eastAsia="en-GB"/>
        </w:rPr>
        <w:t xml:space="preserve"> such interest for the periodical payments I have ordered. I do not order that </w:t>
      </w:r>
      <w:r w:rsidR="003E6EF3">
        <w:rPr>
          <w:lang w:eastAsia="en-GB"/>
        </w:rPr>
        <w:t xml:space="preserve">if </w:t>
      </w:r>
      <w:r w:rsidR="00345296">
        <w:rPr>
          <w:lang w:eastAsia="en-GB"/>
        </w:rPr>
        <w:t>the husband defaults in payment of the first instalment that the second instalment becomes immediately payable. The reason for the default would have to be looked at before such a decision was made.</w:t>
      </w:r>
    </w:p>
    <w:p w14:paraId="62DCB3F0" w14:textId="68AC040A" w:rsidR="00280C09" w:rsidRPr="00C71A29" w:rsidRDefault="00280C09" w:rsidP="00345296">
      <w:pPr>
        <w:pStyle w:val="ParaLevel1"/>
        <w:rPr>
          <w:lang w:eastAsia="en-GB"/>
        </w:rPr>
      </w:pPr>
      <w:r>
        <w:rPr>
          <w:lang w:eastAsia="en-GB"/>
        </w:rPr>
        <w:t xml:space="preserve">I am </w:t>
      </w:r>
      <w:r w:rsidR="00277F68">
        <w:rPr>
          <w:lang w:eastAsia="en-GB"/>
        </w:rPr>
        <w:t xml:space="preserve">satisfied </w:t>
      </w:r>
      <w:r>
        <w:rPr>
          <w:lang w:eastAsia="en-GB"/>
        </w:rPr>
        <w:t xml:space="preserve">that an award of the wife of cash and properties </w:t>
      </w:r>
      <w:r w:rsidR="00C82AEC">
        <w:rPr>
          <w:lang w:eastAsia="en-GB"/>
        </w:rPr>
        <w:t>totalling £</w:t>
      </w:r>
      <w:proofErr w:type="gramStart"/>
      <w:r w:rsidR="0021682A">
        <w:t xml:space="preserve">14,237,623 </w:t>
      </w:r>
      <w:r w:rsidR="00C82AEC">
        <w:t xml:space="preserve"> fully</w:t>
      </w:r>
      <w:proofErr w:type="gramEnd"/>
      <w:r w:rsidR="00C82AEC">
        <w:t xml:space="preserve"> reflects</w:t>
      </w:r>
      <w:r w:rsidR="004469EF">
        <w:t xml:space="preserve"> the factors I am required to take into account under ss. 25 and 25A Matrimonial Causes Act 1973</w:t>
      </w:r>
      <w:r w:rsidR="009C3DE8">
        <w:t>. It goes without saying that with £</w:t>
      </w:r>
      <w:r w:rsidR="0021682A">
        <w:t xml:space="preserve">14,237,623 </w:t>
      </w:r>
      <w:r w:rsidR="009C3DE8">
        <w:t>t</w:t>
      </w:r>
      <w:r w:rsidR="00965D7B">
        <w:t xml:space="preserve">he wife will be able amply to meet her needs and that with </w:t>
      </w:r>
      <w:r w:rsidR="00D003E5">
        <w:t>£</w:t>
      </w:r>
      <w:r w:rsidR="0021682A">
        <w:t xml:space="preserve">21,219,261 </w:t>
      </w:r>
      <w:r w:rsidR="00D003E5">
        <w:t xml:space="preserve">and his earnings the husband will be able to meet </w:t>
      </w:r>
      <w:proofErr w:type="gramStart"/>
      <w:r w:rsidR="00D003E5">
        <w:t>all of</w:t>
      </w:r>
      <w:proofErr w:type="gramEnd"/>
      <w:r w:rsidR="00D003E5">
        <w:t xml:space="preserve"> his. </w:t>
      </w:r>
      <w:r w:rsidR="007569E4">
        <w:t>The question of needs did not feature as a material part of either party’s case.</w:t>
      </w:r>
      <w:r w:rsidR="00D003E5" w:rsidRPr="00D003E5">
        <w:t xml:space="preserve"> </w:t>
      </w:r>
      <w:r w:rsidR="00C82AEC">
        <w:t xml:space="preserve"> </w:t>
      </w:r>
    </w:p>
    <w:p w14:paraId="4C7715EE" w14:textId="2A6799AA" w:rsidR="00F76E6A" w:rsidRPr="00F76E6A" w:rsidRDefault="00322308" w:rsidP="00F76E6A">
      <w:pPr>
        <w:pStyle w:val="ParaLevel1"/>
        <w:numPr>
          <w:ilvl w:val="0"/>
          <w:numId w:val="0"/>
        </w:numPr>
        <w:rPr>
          <w:b/>
          <w:bCs/>
          <w:lang w:eastAsia="en-GB"/>
        </w:rPr>
      </w:pPr>
      <w:r>
        <w:rPr>
          <w:b/>
          <w:bCs/>
          <w:lang w:eastAsia="en-GB"/>
        </w:rPr>
        <w:t>C</w:t>
      </w:r>
      <w:r w:rsidR="00F76E6A" w:rsidRPr="00F76E6A">
        <w:rPr>
          <w:b/>
          <w:bCs/>
          <w:lang w:eastAsia="en-GB"/>
        </w:rPr>
        <w:t>hild support</w:t>
      </w:r>
    </w:p>
    <w:p w14:paraId="52527FF5" w14:textId="7ACD904C" w:rsidR="00890164" w:rsidRDefault="00890164" w:rsidP="00760439">
      <w:pPr>
        <w:pStyle w:val="ParaLevel1"/>
        <w:rPr>
          <w:lang w:eastAsia="en-GB"/>
        </w:rPr>
      </w:pPr>
      <w:r>
        <w:rPr>
          <w:lang w:eastAsia="en-GB"/>
        </w:rPr>
        <w:t>It is agreed that the husband will pay the school fees for the children. I agree with Mr Southgate that he must also pay the extras on the school bills. For general maintenance the wife seeks £25,000 per annum per child; the husband proposes £12,000.</w:t>
      </w:r>
    </w:p>
    <w:p w14:paraId="41D35A7A" w14:textId="3D49525C" w:rsidR="005F7A2C" w:rsidRDefault="005114A8" w:rsidP="00760439">
      <w:pPr>
        <w:pStyle w:val="ParaLevel1"/>
        <w:rPr>
          <w:lang w:eastAsia="en-GB"/>
        </w:rPr>
      </w:pPr>
      <w:r>
        <w:rPr>
          <w:lang w:eastAsia="en-GB"/>
        </w:rPr>
        <w:t xml:space="preserve">The husband does not receive a regular monthly salary. </w:t>
      </w:r>
      <w:r w:rsidR="00890164">
        <w:rPr>
          <w:lang w:eastAsia="en-GB"/>
        </w:rPr>
        <w:t>Gal</w:t>
      </w:r>
      <w:r w:rsidR="005B33D4">
        <w:rPr>
          <w:lang w:eastAsia="en-GB"/>
        </w:rPr>
        <w:t>l</w:t>
      </w:r>
      <w:r w:rsidR="00890164">
        <w:rPr>
          <w:lang w:eastAsia="en-GB"/>
        </w:rPr>
        <w:t xml:space="preserve">dris pays him a nominal amount, sufficient to entitle him to a state pension but no more. </w:t>
      </w:r>
      <w:r>
        <w:rPr>
          <w:lang w:eastAsia="en-GB"/>
        </w:rPr>
        <w:t xml:space="preserve">He meets his daily needs by using his director’s loan account </w:t>
      </w:r>
      <w:r w:rsidR="00CC14B5">
        <w:rPr>
          <w:lang w:eastAsia="en-GB"/>
        </w:rPr>
        <w:t>and by other</w:t>
      </w:r>
      <w:r w:rsidR="005B33D4">
        <w:rPr>
          <w:lang w:eastAsia="en-GB"/>
        </w:rPr>
        <w:t>,</w:t>
      </w:r>
      <w:r w:rsidR="00CC14B5">
        <w:rPr>
          <w:lang w:eastAsia="en-GB"/>
        </w:rPr>
        <w:t xml:space="preserve"> </w:t>
      </w:r>
      <w:r w:rsidR="00274FF1">
        <w:rPr>
          <w:lang w:eastAsia="en-GB"/>
        </w:rPr>
        <w:t>not unlawful</w:t>
      </w:r>
      <w:r w:rsidR="003E6EF3">
        <w:rPr>
          <w:lang w:eastAsia="en-GB"/>
        </w:rPr>
        <w:t>,</w:t>
      </w:r>
      <w:r w:rsidR="00274FF1">
        <w:rPr>
          <w:lang w:eastAsia="en-GB"/>
        </w:rPr>
        <w:t xml:space="preserve"> </w:t>
      </w:r>
      <w:r w:rsidR="00CC14B5">
        <w:rPr>
          <w:lang w:eastAsia="en-GB"/>
        </w:rPr>
        <w:t>means which I do not need to go into.</w:t>
      </w:r>
      <w:r>
        <w:rPr>
          <w:lang w:eastAsia="en-GB"/>
        </w:rPr>
        <w:t xml:space="preserve"> </w:t>
      </w:r>
      <w:r w:rsidR="00890164">
        <w:rPr>
          <w:lang w:eastAsia="en-GB"/>
        </w:rPr>
        <w:t>Mr Singleton assesses a reasonable level of remuneration for</w:t>
      </w:r>
      <w:r w:rsidR="003605E1">
        <w:rPr>
          <w:lang w:eastAsia="en-GB"/>
        </w:rPr>
        <w:t xml:space="preserve"> each of</w:t>
      </w:r>
      <w:r w:rsidR="00890164">
        <w:rPr>
          <w:lang w:eastAsia="en-GB"/>
        </w:rPr>
        <w:t xml:space="preserve"> </w:t>
      </w:r>
      <w:r w:rsidR="003605E1">
        <w:rPr>
          <w:lang w:eastAsia="en-GB"/>
        </w:rPr>
        <w:t xml:space="preserve">the husband </w:t>
      </w:r>
      <w:r w:rsidR="00890164">
        <w:rPr>
          <w:lang w:eastAsia="en-GB"/>
        </w:rPr>
        <w:t xml:space="preserve">and Mr O’Driscoll at £420,000 per annum. Ms Longworth posits a lower figure. In this regard I </w:t>
      </w:r>
      <w:r w:rsidR="003605E1">
        <w:rPr>
          <w:lang w:eastAsia="en-GB"/>
        </w:rPr>
        <w:t xml:space="preserve">agree </w:t>
      </w:r>
      <w:r w:rsidR="00890164">
        <w:rPr>
          <w:lang w:eastAsia="en-GB"/>
        </w:rPr>
        <w:t>with Mr Singleton. Indeed, my impression of the value of the work done by the husband is that a fair reward could well be argued to be higher still.</w:t>
      </w:r>
      <w:r w:rsidR="006D2CC2">
        <w:rPr>
          <w:lang w:eastAsia="en-GB"/>
        </w:rPr>
        <w:t xml:space="preserve"> Indeed, it probably will need to be set at a significantly higher figure in order that he can pay the spousal periodical payments which I have ordered.</w:t>
      </w:r>
    </w:p>
    <w:p w14:paraId="6A98CEB3" w14:textId="08445361" w:rsidR="00890164" w:rsidRDefault="00890164" w:rsidP="00760439">
      <w:pPr>
        <w:pStyle w:val="ParaLevel1"/>
        <w:rPr>
          <w:lang w:eastAsia="en-GB"/>
        </w:rPr>
      </w:pPr>
      <w:r>
        <w:rPr>
          <w:lang w:eastAsia="en-GB"/>
        </w:rPr>
        <w:t xml:space="preserve">If the child support formula is applied without the operation of the statutory </w:t>
      </w:r>
      <w:r w:rsidR="001031AC">
        <w:rPr>
          <w:lang w:eastAsia="en-GB"/>
        </w:rPr>
        <w:t xml:space="preserve">cap </w:t>
      </w:r>
      <w:r>
        <w:rPr>
          <w:lang w:eastAsia="en-GB"/>
        </w:rPr>
        <w:t xml:space="preserve">to </w:t>
      </w:r>
      <w:r w:rsidR="001031AC">
        <w:rPr>
          <w:lang w:eastAsia="en-GB"/>
        </w:rPr>
        <w:t>a</w:t>
      </w:r>
      <w:r>
        <w:rPr>
          <w:lang w:eastAsia="en-GB"/>
        </w:rPr>
        <w:t xml:space="preserve"> deemed income of the husband of £420,000 then his liability, after bringing into account the adjustment referable to the time the children spend with him</w:t>
      </w:r>
      <w:r w:rsidR="003605E1">
        <w:rPr>
          <w:lang w:eastAsia="en-GB"/>
        </w:rPr>
        <w:t>,</w:t>
      </w:r>
      <w:r>
        <w:rPr>
          <w:lang w:eastAsia="en-GB"/>
        </w:rPr>
        <w:t xml:space="preserve"> is £46,000 per annum.</w:t>
      </w:r>
      <w:r w:rsidR="003605E1">
        <w:rPr>
          <w:lang w:eastAsia="en-GB"/>
        </w:rPr>
        <w:t xml:space="preserve"> In my judgment that is a fair headline</w:t>
      </w:r>
      <w:r w:rsidR="00653D6E">
        <w:rPr>
          <w:lang w:eastAsia="en-GB"/>
        </w:rPr>
        <w:t xml:space="preserve"> starting point.</w:t>
      </w:r>
    </w:p>
    <w:p w14:paraId="302B076A" w14:textId="6472B491" w:rsidR="00890164" w:rsidRDefault="00890164" w:rsidP="00760439">
      <w:pPr>
        <w:pStyle w:val="ParaLevel1"/>
        <w:rPr>
          <w:lang w:eastAsia="en-GB"/>
        </w:rPr>
      </w:pPr>
      <w:r>
        <w:rPr>
          <w:lang w:eastAsia="en-GB"/>
        </w:rPr>
        <w:t>However,</w:t>
      </w:r>
      <w:r w:rsidR="006D2CC2">
        <w:rPr>
          <w:lang w:eastAsia="en-GB"/>
        </w:rPr>
        <w:t xml:space="preserve"> that figure should be adjusted to reflect the fact that the husband is paying </w:t>
      </w:r>
      <w:proofErr w:type="gramStart"/>
      <w:r w:rsidR="006D2CC2">
        <w:rPr>
          <w:lang w:eastAsia="en-GB"/>
        </w:rPr>
        <w:t>all of</w:t>
      </w:r>
      <w:proofErr w:type="gramEnd"/>
      <w:r w:rsidR="006D2CC2">
        <w:rPr>
          <w:lang w:eastAsia="en-GB"/>
        </w:rPr>
        <w:t xml:space="preserve"> the school fees. With 60% of the total assets and the ability to earn, as I have found, even more than £420,000 per annum it is right that the great majority of the school fees should be payable by him. </w:t>
      </w:r>
      <w:r w:rsidR="00886FE9">
        <w:rPr>
          <w:lang w:eastAsia="en-GB"/>
        </w:rPr>
        <w:t xml:space="preserve">The </w:t>
      </w:r>
      <w:r w:rsidR="006D2CC2">
        <w:rPr>
          <w:lang w:eastAsia="en-GB"/>
        </w:rPr>
        <w:t xml:space="preserve">school fees </w:t>
      </w:r>
      <w:r w:rsidR="00886FE9">
        <w:rPr>
          <w:lang w:eastAsia="en-GB"/>
        </w:rPr>
        <w:t>presently come to £47,721</w:t>
      </w:r>
      <w:r w:rsidR="006D2CC2">
        <w:rPr>
          <w:lang w:eastAsia="en-GB"/>
        </w:rPr>
        <w:t>. In my judgment a reasonable contribution to the school fees to be made by the wife (to be deducted from the headline child support liability of £46,000) is £10,000, leaving £36,000 to be paid or £12,000 per annum per child. That is to be paid at the rate of £3</w:t>
      </w:r>
      <w:r w:rsidR="005B33D4">
        <w:rPr>
          <w:lang w:eastAsia="en-GB"/>
        </w:rPr>
        <w:t>,</w:t>
      </w:r>
      <w:r w:rsidR="006D2CC2">
        <w:rPr>
          <w:lang w:eastAsia="en-GB"/>
        </w:rPr>
        <w:t>000 per month, with the first payment to be made along with the spousal maintenance on 1 July 2022.</w:t>
      </w:r>
    </w:p>
    <w:p w14:paraId="29C45663" w14:textId="0625E839" w:rsidR="006D2CC2" w:rsidRDefault="006D2CC2" w:rsidP="00760439">
      <w:pPr>
        <w:pStyle w:val="ParaLevel1"/>
        <w:rPr>
          <w:lang w:eastAsia="en-GB"/>
        </w:rPr>
      </w:pPr>
      <w:r>
        <w:rPr>
          <w:lang w:eastAsia="en-GB"/>
        </w:rPr>
        <w:t>The payment to be made each month by the husband by standing order commencing on 1 July 2022 is therefore £21,750.</w:t>
      </w:r>
    </w:p>
    <w:p w14:paraId="3D8D28A2" w14:textId="50624871" w:rsidR="001C05D2" w:rsidRPr="00C122F6" w:rsidRDefault="001C05D2" w:rsidP="00760439">
      <w:pPr>
        <w:pStyle w:val="ParaLevel1"/>
        <w:numPr>
          <w:ilvl w:val="0"/>
          <w:numId w:val="0"/>
        </w:numPr>
        <w:ind w:left="720"/>
        <w:jc w:val="center"/>
        <w:rPr>
          <w:lang w:eastAsia="en-GB"/>
        </w:rPr>
      </w:pPr>
      <w:r>
        <w:rPr>
          <w:lang w:eastAsia="en-GB"/>
        </w:rPr>
        <w:t>_______________________________</w:t>
      </w:r>
    </w:p>
    <w:p w14:paraId="1282C6D0" w14:textId="3BC3B6E8" w:rsidR="00655F27" w:rsidRDefault="001031AC" w:rsidP="00607DAD">
      <w:pPr>
        <w:rPr>
          <w:color w:val="000000"/>
        </w:rPr>
      </w:pPr>
      <w:r>
        <w:rPr>
          <w:lang w:eastAsia="en-GB"/>
        </w:rPr>
        <w:br w:type="page"/>
      </w:r>
    </w:p>
    <w:p w14:paraId="7EC830CA" w14:textId="77777777" w:rsidR="00655F27" w:rsidRPr="00655F27" w:rsidRDefault="00655F27" w:rsidP="00655F27">
      <w:pPr>
        <w:pStyle w:val="ParaLevel1"/>
        <w:numPr>
          <w:ilvl w:val="0"/>
          <w:numId w:val="0"/>
        </w:numPr>
        <w:ind w:left="720"/>
        <w:rPr>
          <w:szCs w:val="24"/>
          <w:lang w:eastAsia="en-GB"/>
        </w:rPr>
      </w:pPr>
    </w:p>
    <w:sectPr w:rsidR="00655F27" w:rsidRPr="00655F27" w:rsidSect="00760439">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440D2" w14:textId="77777777" w:rsidR="0069470A" w:rsidRDefault="0069470A">
      <w:r>
        <w:separator/>
      </w:r>
    </w:p>
  </w:endnote>
  <w:endnote w:type="continuationSeparator" w:id="0">
    <w:p w14:paraId="74D5BAFA" w14:textId="77777777" w:rsidR="0069470A" w:rsidRDefault="0069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721045"/>
      <w:docPartObj>
        <w:docPartGallery w:val="Page Numbers (Bottom of Page)"/>
        <w:docPartUnique/>
      </w:docPartObj>
    </w:sdtPr>
    <w:sdtEndPr>
      <w:rPr>
        <w:rFonts w:ascii="Times New Roman" w:hAnsi="Times New Roman"/>
        <w:noProof/>
      </w:rPr>
    </w:sdtEndPr>
    <w:sdtContent>
      <w:p w14:paraId="5DC411A6" w14:textId="221A498B" w:rsidR="00985BFC" w:rsidRPr="00985BFC" w:rsidRDefault="00985BFC">
        <w:pPr>
          <w:pStyle w:val="Footer"/>
          <w:jc w:val="center"/>
          <w:rPr>
            <w:rFonts w:ascii="Times New Roman" w:hAnsi="Times New Roman"/>
          </w:rPr>
        </w:pPr>
        <w:r w:rsidRPr="00985BFC">
          <w:rPr>
            <w:rFonts w:ascii="Times New Roman" w:hAnsi="Times New Roman"/>
          </w:rPr>
          <w:fldChar w:fldCharType="begin"/>
        </w:r>
        <w:r w:rsidRPr="00985BFC">
          <w:rPr>
            <w:rFonts w:ascii="Times New Roman" w:hAnsi="Times New Roman"/>
          </w:rPr>
          <w:instrText xml:space="preserve"> PAGE   \* MERGEFORMAT </w:instrText>
        </w:r>
        <w:r w:rsidRPr="00985BFC">
          <w:rPr>
            <w:rFonts w:ascii="Times New Roman" w:hAnsi="Times New Roman"/>
          </w:rPr>
          <w:fldChar w:fldCharType="separate"/>
        </w:r>
        <w:r w:rsidRPr="00985BFC">
          <w:rPr>
            <w:rFonts w:ascii="Times New Roman" w:hAnsi="Times New Roman"/>
            <w:noProof/>
          </w:rPr>
          <w:t>2</w:t>
        </w:r>
        <w:r w:rsidRPr="00985BFC">
          <w:rPr>
            <w:rFonts w:ascii="Times New Roman" w:hAnsi="Times New Roman"/>
            <w:noProof/>
          </w:rPr>
          <w:fldChar w:fldCharType="end"/>
        </w:r>
      </w:p>
    </w:sdtContent>
  </w:sdt>
  <w:p w14:paraId="466F3E8F" w14:textId="4FF4FF16" w:rsidR="005E2342" w:rsidRPr="00985BFC" w:rsidRDefault="005E2342" w:rsidP="00760439">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5BE00" w14:textId="77777777" w:rsidR="0069470A" w:rsidRDefault="0069470A">
      <w:r>
        <w:separator/>
      </w:r>
    </w:p>
  </w:footnote>
  <w:footnote w:type="continuationSeparator" w:id="0">
    <w:p w14:paraId="074BE167" w14:textId="77777777" w:rsidR="0069470A" w:rsidRDefault="0069470A">
      <w:r>
        <w:continuationSeparator/>
      </w:r>
    </w:p>
  </w:footnote>
  <w:footnote w:id="1">
    <w:p w14:paraId="21FBFFA1" w14:textId="6EC5FA99" w:rsidR="00B966E9" w:rsidRDefault="00B966E9">
      <w:pPr>
        <w:pStyle w:val="FootnoteText"/>
      </w:pPr>
      <w:r>
        <w:rPr>
          <w:rStyle w:val="FootnoteReference"/>
        </w:rPr>
        <w:footnoteRef/>
      </w:r>
      <w:r>
        <w:t xml:space="preserve"> I am not suggesting that either counsel even implied this answer.</w:t>
      </w:r>
    </w:p>
  </w:footnote>
  <w:footnote w:id="2">
    <w:p w14:paraId="39C4539B" w14:textId="42DD81A2" w:rsidR="009637C2" w:rsidRDefault="009637C2">
      <w:pPr>
        <w:pStyle w:val="FootnoteText"/>
      </w:pPr>
      <w:r>
        <w:rPr>
          <w:rStyle w:val="FootnoteReference"/>
        </w:rPr>
        <w:footnoteRef/>
      </w:r>
      <w:r>
        <w:t xml:space="preserve"> Four inexpensive properties in Donegal were purchased, which I do not consider it necessary to name.</w:t>
      </w:r>
      <w:r w:rsidR="002529E5">
        <w:t xml:space="preserve"> They are listed as Irish Properties Nos 1-4 in the asset schedule at [72] below.</w:t>
      </w:r>
    </w:p>
  </w:footnote>
  <w:footnote w:id="3">
    <w:p w14:paraId="387A3E9B" w14:textId="0E33EA7E" w:rsidR="00F8549F" w:rsidRDefault="00F8549F">
      <w:pPr>
        <w:pStyle w:val="FootnoteText"/>
      </w:pPr>
      <w:r>
        <w:rPr>
          <w:rStyle w:val="FootnoteReference"/>
        </w:rPr>
        <w:footnoteRef/>
      </w:r>
      <w:r>
        <w:t xml:space="preserve"> </w:t>
      </w:r>
      <w:r w:rsidRPr="00CA3E10">
        <w:t>https://www.lawgazette.co.uk/news/partisan-experts-can-be-fatal-supreme-court-justice-warns/5112572.article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0" w:type="dxa"/>
      <w:tblInd w:w="108" w:type="dxa"/>
      <w:tblLayout w:type="fixed"/>
      <w:tblLook w:val="0000" w:firstRow="0" w:lastRow="0" w:firstColumn="0" w:lastColumn="0" w:noHBand="0" w:noVBand="0"/>
    </w:tblPr>
    <w:tblGrid>
      <w:gridCol w:w="4680"/>
      <w:gridCol w:w="4320"/>
    </w:tblGrid>
    <w:tr w:rsidR="005E2342" w14:paraId="61263AF9" w14:textId="77777777">
      <w:tc>
        <w:tcPr>
          <w:tcW w:w="4680" w:type="dxa"/>
        </w:tcPr>
        <w:p w14:paraId="2457D436" w14:textId="77777777" w:rsidR="00760439" w:rsidRDefault="00760439">
          <w:pPr>
            <w:pStyle w:val="Header"/>
            <w:rPr>
              <w:rFonts w:ascii="Times New Roman" w:hAnsi="Times New Roman"/>
              <w:b/>
              <w:sz w:val="16"/>
              <w:u w:val="single"/>
            </w:rPr>
          </w:pPr>
          <w:r>
            <w:rPr>
              <w:rFonts w:ascii="Times New Roman" w:hAnsi="Times New Roman"/>
              <w:b/>
              <w:sz w:val="16"/>
              <w:u w:val="single"/>
            </w:rPr>
            <w:t>Judgment Approved by the court for handing down</w:t>
          </w:r>
        </w:p>
        <w:p w14:paraId="1A6AE7E0" w14:textId="668B5746" w:rsidR="005E2342" w:rsidRPr="00760439" w:rsidRDefault="005E2342">
          <w:pPr>
            <w:pStyle w:val="Header"/>
            <w:rPr>
              <w:rFonts w:ascii="Times New Roman" w:hAnsi="Times New Roman"/>
              <w:b/>
              <w:sz w:val="16"/>
              <w:u w:val="single"/>
            </w:rPr>
          </w:pPr>
        </w:p>
      </w:tc>
      <w:tc>
        <w:tcPr>
          <w:tcW w:w="4320" w:type="dxa"/>
        </w:tcPr>
        <w:p w14:paraId="124E4E80" w14:textId="07A4AD1D" w:rsidR="005E2342" w:rsidRDefault="0059601B">
          <w:pPr>
            <w:pStyle w:val="Header"/>
            <w:jc w:val="right"/>
            <w:rPr>
              <w:rFonts w:ascii="Times New Roman" w:hAnsi="Times New Roman"/>
              <w:sz w:val="16"/>
            </w:rPr>
          </w:pPr>
          <w:r>
            <w:rPr>
              <w:rFonts w:ascii="Times New Roman" w:hAnsi="Times New Roman"/>
              <w:sz w:val="16"/>
            </w:rPr>
            <w:t>Gallagher v Gallagher</w:t>
          </w:r>
        </w:p>
      </w:tc>
    </w:tr>
  </w:tbl>
  <w:p w14:paraId="12B13E52" w14:textId="77777777" w:rsidR="005E2342" w:rsidRDefault="005E2342">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33A2"/>
    <w:multiLevelType w:val="multilevel"/>
    <w:tmpl w:val="99B0734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5EC6014"/>
    <w:multiLevelType w:val="hybridMultilevel"/>
    <w:tmpl w:val="89065180"/>
    <w:lvl w:ilvl="0" w:tplc="84367D1E">
      <w:start w:val="135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33241"/>
    <w:multiLevelType w:val="hybridMultilevel"/>
    <w:tmpl w:val="31BC7A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E57181E"/>
    <w:multiLevelType w:val="hybridMultilevel"/>
    <w:tmpl w:val="AA00581C"/>
    <w:lvl w:ilvl="0" w:tplc="F6CA2F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1B4722"/>
    <w:multiLevelType w:val="hybridMultilevel"/>
    <w:tmpl w:val="9B440A7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0031911"/>
    <w:multiLevelType w:val="hybridMultilevel"/>
    <w:tmpl w:val="AA00581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35A6693D"/>
    <w:multiLevelType w:val="multilevel"/>
    <w:tmpl w:val="99B0734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4FDF6D66"/>
    <w:multiLevelType w:val="hybridMultilevel"/>
    <w:tmpl w:val="70BC6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6E03F3"/>
    <w:multiLevelType w:val="hybridMultilevel"/>
    <w:tmpl w:val="9A403714"/>
    <w:lvl w:ilvl="0" w:tplc="47062C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0" w15:restartNumberingAfterBreak="0">
    <w:nsid w:val="75157DD4"/>
    <w:multiLevelType w:val="multilevel"/>
    <w:tmpl w:val="F850B98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9"/>
  </w:num>
  <w:num w:numId="11">
    <w:abstractNumId w:val="8"/>
  </w:num>
  <w:num w:numId="12">
    <w:abstractNumId w:val="3"/>
  </w:num>
  <w:num w:numId="13">
    <w:abstractNumId w:val="5"/>
  </w:num>
  <w:num w:numId="14">
    <w:abstractNumId w:val="11"/>
  </w:num>
  <w:num w:numId="15">
    <w:abstractNumId w:val="11"/>
  </w:num>
  <w:num w:numId="16">
    <w:abstractNumId w:val="11"/>
  </w:num>
  <w:num w:numId="17">
    <w:abstractNumId w:val="1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0"/>
    <w:lvlOverride w:ilvl="0">
      <w:startOverride w:val="22"/>
    </w:lvlOverride>
  </w:num>
  <w:num w:numId="21">
    <w:abstractNumId w:val="11"/>
  </w:num>
  <w:num w:numId="22">
    <w:abstractNumId w:val="4"/>
  </w:num>
  <w:num w:numId="23">
    <w:abstractNumId w:val="11"/>
  </w:num>
  <w:num w:numId="24">
    <w:abstractNumId w:val="11"/>
  </w:num>
  <w:num w:numId="25">
    <w:abstractNumId w:val="11"/>
  </w:num>
  <w:num w:numId="26">
    <w:abstractNumId w:val="7"/>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2"/>
  </w:num>
  <w:num w:numId="42">
    <w:abstractNumId w:val="6"/>
    <w:lvlOverride w:ilvl="0">
      <w:startOverride w:val="96"/>
    </w:lvlOverride>
  </w:num>
  <w:num w:numId="43">
    <w:abstractNumId w:val="11"/>
  </w:num>
  <w:num w:numId="44">
    <w:abstractNumId w:val="11"/>
  </w:num>
  <w:num w:numId="45">
    <w:abstractNumId w:val="1"/>
  </w:num>
  <w:num w:numId="46">
    <w:abstractNumId w:val="11"/>
  </w:num>
  <w:num w:numId="47">
    <w:abstractNumId w:val="11"/>
  </w:num>
  <w:num w:numId="48">
    <w:abstractNumId w:val="11"/>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FC5E026-99B0-4B54-A3AF-E4A477DA3FAB}"/>
    <w:docVar w:name="dgnword-eventsink" w:val="2099317763632"/>
  </w:docVars>
  <w:rsids>
    <w:rsidRoot w:val="00A7427C"/>
    <w:rsid w:val="00001876"/>
    <w:rsid w:val="00002D81"/>
    <w:rsid w:val="00006A75"/>
    <w:rsid w:val="00013D5A"/>
    <w:rsid w:val="00014140"/>
    <w:rsid w:val="00015FFD"/>
    <w:rsid w:val="000177AE"/>
    <w:rsid w:val="000233A8"/>
    <w:rsid w:val="00025663"/>
    <w:rsid w:val="00025B16"/>
    <w:rsid w:val="00025F64"/>
    <w:rsid w:val="000338E4"/>
    <w:rsid w:val="0003522C"/>
    <w:rsid w:val="000352B7"/>
    <w:rsid w:val="00035ABB"/>
    <w:rsid w:val="00035FC5"/>
    <w:rsid w:val="00043181"/>
    <w:rsid w:val="0004556F"/>
    <w:rsid w:val="00045825"/>
    <w:rsid w:val="000461B2"/>
    <w:rsid w:val="0004735D"/>
    <w:rsid w:val="00051705"/>
    <w:rsid w:val="00062B32"/>
    <w:rsid w:val="0006646E"/>
    <w:rsid w:val="000668B9"/>
    <w:rsid w:val="00072D8C"/>
    <w:rsid w:val="000740BB"/>
    <w:rsid w:val="0007622A"/>
    <w:rsid w:val="00077E01"/>
    <w:rsid w:val="00086519"/>
    <w:rsid w:val="000868EE"/>
    <w:rsid w:val="0009037A"/>
    <w:rsid w:val="00090E04"/>
    <w:rsid w:val="00090F93"/>
    <w:rsid w:val="000911AA"/>
    <w:rsid w:val="00091CB9"/>
    <w:rsid w:val="00094B0A"/>
    <w:rsid w:val="00094D69"/>
    <w:rsid w:val="00095681"/>
    <w:rsid w:val="000A00D8"/>
    <w:rsid w:val="000A1F25"/>
    <w:rsid w:val="000A25AA"/>
    <w:rsid w:val="000A6825"/>
    <w:rsid w:val="000B763C"/>
    <w:rsid w:val="000B7C42"/>
    <w:rsid w:val="000B7D82"/>
    <w:rsid w:val="000B7F86"/>
    <w:rsid w:val="000C137D"/>
    <w:rsid w:val="000C1BE2"/>
    <w:rsid w:val="000C2DAC"/>
    <w:rsid w:val="000C3776"/>
    <w:rsid w:val="000C4226"/>
    <w:rsid w:val="000C5DFE"/>
    <w:rsid w:val="000D22A9"/>
    <w:rsid w:val="000D3E7D"/>
    <w:rsid w:val="000D511E"/>
    <w:rsid w:val="000D60BC"/>
    <w:rsid w:val="000E0E4E"/>
    <w:rsid w:val="000E25DB"/>
    <w:rsid w:val="000E562C"/>
    <w:rsid w:val="000E778F"/>
    <w:rsid w:val="000F2DB0"/>
    <w:rsid w:val="000F2E1C"/>
    <w:rsid w:val="000F5B76"/>
    <w:rsid w:val="001031AC"/>
    <w:rsid w:val="001039D7"/>
    <w:rsid w:val="00104513"/>
    <w:rsid w:val="00107C56"/>
    <w:rsid w:val="00117C83"/>
    <w:rsid w:val="00122212"/>
    <w:rsid w:val="00135776"/>
    <w:rsid w:val="00135FED"/>
    <w:rsid w:val="00137C50"/>
    <w:rsid w:val="00140AD4"/>
    <w:rsid w:val="00141B15"/>
    <w:rsid w:val="0014439E"/>
    <w:rsid w:val="00145341"/>
    <w:rsid w:val="00153834"/>
    <w:rsid w:val="0015691A"/>
    <w:rsid w:val="001569DC"/>
    <w:rsid w:val="00161FFF"/>
    <w:rsid w:val="00163235"/>
    <w:rsid w:val="001638B6"/>
    <w:rsid w:val="00164D16"/>
    <w:rsid w:val="00167F16"/>
    <w:rsid w:val="00173033"/>
    <w:rsid w:val="0017333F"/>
    <w:rsid w:val="0017422B"/>
    <w:rsid w:val="00176090"/>
    <w:rsid w:val="001766BB"/>
    <w:rsid w:val="00177452"/>
    <w:rsid w:val="00182E74"/>
    <w:rsid w:val="001842FF"/>
    <w:rsid w:val="00184875"/>
    <w:rsid w:val="0018752E"/>
    <w:rsid w:val="0019030C"/>
    <w:rsid w:val="001907E8"/>
    <w:rsid w:val="0019219A"/>
    <w:rsid w:val="0019596B"/>
    <w:rsid w:val="00196542"/>
    <w:rsid w:val="0019791E"/>
    <w:rsid w:val="001A2669"/>
    <w:rsid w:val="001A272A"/>
    <w:rsid w:val="001A3648"/>
    <w:rsid w:val="001A395B"/>
    <w:rsid w:val="001A3BED"/>
    <w:rsid w:val="001A4A6A"/>
    <w:rsid w:val="001A61D5"/>
    <w:rsid w:val="001A69FC"/>
    <w:rsid w:val="001B022A"/>
    <w:rsid w:val="001B091F"/>
    <w:rsid w:val="001B1FFC"/>
    <w:rsid w:val="001B34CF"/>
    <w:rsid w:val="001B3A60"/>
    <w:rsid w:val="001B4095"/>
    <w:rsid w:val="001B7761"/>
    <w:rsid w:val="001B7D3E"/>
    <w:rsid w:val="001C0338"/>
    <w:rsid w:val="001C05D2"/>
    <w:rsid w:val="001C0BBD"/>
    <w:rsid w:val="001C11F3"/>
    <w:rsid w:val="001C43D7"/>
    <w:rsid w:val="001C55E8"/>
    <w:rsid w:val="001D45E7"/>
    <w:rsid w:val="001D46D6"/>
    <w:rsid w:val="001D5A69"/>
    <w:rsid w:val="001E0D8D"/>
    <w:rsid w:val="001E2A3B"/>
    <w:rsid w:val="001E4AFC"/>
    <w:rsid w:val="001F0207"/>
    <w:rsid w:val="001F0823"/>
    <w:rsid w:val="001F27B3"/>
    <w:rsid w:val="001F286B"/>
    <w:rsid w:val="001F747A"/>
    <w:rsid w:val="00201574"/>
    <w:rsid w:val="00205BBE"/>
    <w:rsid w:val="0020653D"/>
    <w:rsid w:val="002102E3"/>
    <w:rsid w:val="0021054D"/>
    <w:rsid w:val="002117BB"/>
    <w:rsid w:val="00212F40"/>
    <w:rsid w:val="00214219"/>
    <w:rsid w:val="0021682A"/>
    <w:rsid w:val="002174E8"/>
    <w:rsid w:val="00220660"/>
    <w:rsid w:val="0022413E"/>
    <w:rsid w:val="0022627B"/>
    <w:rsid w:val="00227976"/>
    <w:rsid w:val="00227B43"/>
    <w:rsid w:val="00232A5A"/>
    <w:rsid w:val="00233FF2"/>
    <w:rsid w:val="00237697"/>
    <w:rsid w:val="002430A3"/>
    <w:rsid w:val="00245193"/>
    <w:rsid w:val="00245408"/>
    <w:rsid w:val="0024682A"/>
    <w:rsid w:val="00247A5A"/>
    <w:rsid w:val="00251B4D"/>
    <w:rsid w:val="00251FCC"/>
    <w:rsid w:val="002529E5"/>
    <w:rsid w:val="002534B0"/>
    <w:rsid w:val="0025456A"/>
    <w:rsid w:val="002600EA"/>
    <w:rsid w:val="00261E1A"/>
    <w:rsid w:val="0026455F"/>
    <w:rsid w:val="00267055"/>
    <w:rsid w:val="00270A0C"/>
    <w:rsid w:val="002710CC"/>
    <w:rsid w:val="002723B2"/>
    <w:rsid w:val="00273267"/>
    <w:rsid w:val="00274FF1"/>
    <w:rsid w:val="0027588B"/>
    <w:rsid w:val="00277F68"/>
    <w:rsid w:val="00280C09"/>
    <w:rsid w:val="00281786"/>
    <w:rsid w:val="00282C36"/>
    <w:rsid w:val="00284F93"/>
    <w:rsid w:val="00285812"/>
    <w:rsid w:val="00285C69"/>
    <w:rsid w:val="00285ECE"/>
    <w:rsid w:val="00285F60"/>
    <w:rsid w:val="002875DE"/>
    <w:rsid w:val="00290EEB"/>
    <w:rsid w:val="00291E21"/>
    <w:rsid w:val="0029223D"/>
    <w:rsid w:val="002A07D5"/>
    <w:rsid w:val="002A15DA"/>
    <w:rsid w:val="002A239B"/>
    <w:rsid w:val="002A33B0"/>
    <w:rsid w:val="002A39D6"/>
    <w:rsid w:val="002B2703"/>
    <w:rsid w:val="002C0ECA"/>
    <w:rsid w:val="002C1088"/>
    <w:rsid w:val="002C1816"/>
    <w:rsid w:val="002C2D94"/>
    <w:rsid w:val="002C668B"/>
    <w:rsid w:val="002C75CD"/>
    <w:rsid w:val="002D06DB"/>
    <w:rsid w:val="002D3369"/>
    <w:rsid w:val="002D625E"/>
    <w:rsid w:val="002D70B5"/>
    <w:rsid w:val="002E0B21"/>
    <w:rsid w:val="002E1803"/>
    <w:rsid w:val="002E33CB"/>
    <w:rsid w:val="002E6353"/>
    <w:rsid w:val="002E7082"/>
    <w:rsid w:val="002E79A7"/>
    <w:rsid w:val="002F0FDE"/>
    <w:rsid w:val="002F1E35"/>
    <w:rsid w:val="002F469A"/>
    <w:rsid w:val="002F59CB"/>
    <w:rsid w:val="002F6C14"/>
    <w:rsid w:val="0030347F"/>
    <w:rsid w:val="00310734"/>
    <w:rsid w:val="00310B87"/>
    <w:rsid w:val="0031115B"/>
    <w:rsid w:val="003152EF"/>
    <w:rsid w:val="00315B2E"/>
    <w:rsid w:val="003200E8"/>
    <w:rsid w:val="003214E1"/>
    <w:rsid w:val="00322308"/>
    <w:rsid w:val="00330D7C"/>
    <w:rsid w:val="00335575"/>
    <w:rsid w:val="00336317"/>
    <w:rsid w:val="00337662"/>
    <w:rsid w:val="00343BA2"/>
    <w:rsid w:val="00343D2B"/>
    <w:rsid w:val="00345296"/>
    <w:rsid w:val="00346CC6"/>
    <w:rsid w:val="00347AF9"/>
    <w:rsid w:val="0035059E"/>
    <w:rsid w:val="00357F3E"/>
    <w:rsid w:val="003605E1"/>
    <w:rsid w:val="00360D4C"/>
    <w:rsid w:val="0036144E"/>
    <w:rsid w:val="00362BDB"/>
    <w:rsid w:val="00362D6B"/>
    <w:rsid w:val="00364C23"/>
    <w:rsid w:val="003702EA"/>
    <w:rsid w:val="00371C48"/>
    <w:rsid w:val="003772FC"/>
    <w:rsid w:val="003778B8"/>
    <w:rsid w:val="00381035"/>
    <w:rsid w:val="00384BB2"/>
    <w:rsid w:val="00386D0C"/>
    <w:rsid w:val="003901A8"/>
    <w:rsid w:val="00392674"/>
    <w:rsid w:val="00392A1E"/>
    <w:rsid w:val="0039636C"/>
    <w:rsid w:val="003A4F78"/>
    <w:rsid w:val="003A530B"/>
    <w:rsid w:val="003A5F12"/>
    <w:rsid w:val="003B1024"/>
    <w:rsid w:val="003B7B90"/>
    <w:rsid w:val="003C0B5E"/>
    <w:rsid w:val="003C3095"/>
    <w:rsid w:val="003C325F"/>
    <w:rsid w:val="003C4F95"/>
    <w:rsid w:val="003D121C"/>
    <w:rsid w:val="003D2135"/>
    <w:rsid w:val="003D21A1"/>
    <w:rsid w:val="003D2327"/>
    <w:rsid w:val="003D3EB2"/>
    <w:rsid w:val="003D4F05"/>
    <w:rsid w:val="003D7EE9"/>
    <w:rsid w:val="003E1FB8"/>
    <w:rsid w:val="003E4DD3"/>
    <w:rsid w:val="003E6EF3"/>
    <w:rsid w:val="003E71FF"/>
    <w:rsid w:val="003E74B1"/>
    <w:rsid w:val="003F1710"/>
    <w:rsid w:val="003F528D"/>
    <w:rsid w:val="003F6397"/>
    <w:rsid w:val="003F782A"/>
    <w:rsid w:val="003F7D03"/>
    <w:rsid w:val="003F7E27"/>
    <w:rsid w:val="00400A8B"/>
    <w:rsid w:val="00401153"/>
    <w:rsid w:val="004037FC"/>
    <w:rsid w:val="00403F3F"/>
    <w:rsid w:val="0040607D"/>
    <w:rsid w:val="00415892"/>
    <w:rsid w:val="00415A31"/>
    <w:rsid w:val="00420A66"/>
    <w:rsid w:val="004238D1"/>
    <w:rsid w:val="00432786"/>
    <w:rsid w:val="00432874"/>
    <w:rsid w:val="0043491D"/>
    <w:rsid w:val="00436B12"/>
    <w:rsid w:val="004407BF"/>
    <w:rsid w:val="00442963"/>
    <w:rsid w:val="004469EF"/>
    <w:rsid w:val="00447996"/>
    <w:rsid w:val="004562A1"/>
    <w:rsid w:val="00463743"/>
    <w:rsid w:val="00465142"/>
    <w:rsid w:val="00465E13"/>
    <w:rsid w:val="00466894"/>
    <w:rsid w:val="0047199A"/>
    <w:rsid w:val="004724E4"/>
    <w:rsid w:val="00473692"/>
    <w:rsid w:val="004837C6"/>
    <w:rsid w:val="00483B5D"/>
    <w:rsid w:val="00483FDA"/>
    <w:rsid w:val="00484542"/>
    <w:rsid w:val="00487711"/>
    <w:rsid w:val="0049066F"/>
    <w:rsid w:val="00490838"/>
    <w:rsid w:val="00490F7E"/>
    <w:rsid w:val="00491A9B"/>
    <w:rsid w:val="00496A04"/>
    <w:rsid w:val="00496D7D"/>
    <w:rsid w:val="00496E8E"/>
    <w:rsid w:val="004976B8"/>
    <w:rsid w:val="00497D5B"/>
    <w:rsid w:val="004A0204"/>
    <w:rsid w:val="004A0661"/>
    <w:rsid w:val="004A1C9A"/>
    <w:rsid w:val="004A7556"/>
    <w:rsid w:val="004A7688"/>
    <w:rsid w:val="004B093E"/>
    <w:rsid w:val="004B307B"/>
    <w:rsid w:val="004B4B81"/>
    <w:rsid w:val="004C24E4"/>
    <w:rsid w:val="004C4067"/>
    <w:rsid w:val="004D156F"/>
    <w:rsid w:val="004D2346"/>
    <w:rsid w:val="004D3752"/>
    <w:rsid w:val="004D4975"/>
    <w:rsid w:val="004D6D2C"/>
    <w:rsid w:val="004D7F43"/>
    <w:rsid w:val="004E14EF"/>
    <w:rsid w:val="004E1C37"/>
    <w:rsid w:val="004E246E"/>
    <w:rsid w:val="004E369D"/>
    <w:rsid w:val="004E5E89"/>
    <w:rsid w:val="004E7110"/>
    <w:rsid w:val="004E73B0"/>
    <w:rsid w:val="004F17AE"/>
    <w:rsid w:val="004F2396"/>
    <w:rsid w:val="004F29CE"/>
    <w:rsid w:val="004F395C"/>
    <w:rsid w:val="004F5224"/>
    <w:rsid w:val="0050427B"/>
    <w:rsid w:val="00504748"/>
    <w:rsid w:val="00505B8A"/>
    <w:rsid w:val="0050606D"/>
    <w:rsid w:val="005062F6"/>
    <w:rsid w:val="005114A8"/>
    <w:rsid w:val="005148C2"/>
    <w:rsid w:val="00516E51"/>
    <w:rsid w:val="00520456"/>
    <w:rsid w:val="0052142B"/>
    <w:rsid w:val="00523988"/>
    <w:rsid w:val="00524328"/>
    <w:rsid w:val="005247A6"/>
    <w:rsid w:val="005279A8"/>
    <w:rsid w:val="00527DB2"/>
    <w:rsid w:val="005328D7"/>
    <w:rsid w:val="00534677"/>
    <w:rsid w:val="00535B64"/>
    <w:rsid w:val="00540606"/>
    <w:rsid w:val="00541F32"/>
    <w:rsid w:val="00543516"/>
    <w:rsid w:val="005516DE"/>
    <w:rsid w:val="00554692"/>
    <w:rsid w:val="00556852"/>
    <w:rsid w:val="00560212"/>
    <w:rsid w:val="005605D3"/>
    <w:rsid w:val="00561ED0"/>
    <w:rsid w:val="005627DD"/>
    <w:rsid w:val="00563A26"/>
    <w:rsid w:val="00563F12"/>
    <w:rsid w:val="00565E6D"/>
    <w:rsid w:val="005663EE"/>
    <w:rsid w:val="0056766A"/>
    <w:rsid w:val="00570815"/>
    <w:rsid w:val="00570E69"/>
    <w:rsid w:val="005756D2"/>
    <w:rsid w:val="00575982"/>
    <w:rsid w:val="00576119"/>
    <w:rsid w:val="00576F4E"/>
    <w:rsid w:val="0058066B"/>
    <w:rsid w:val="00580EC3"/>
    <w:rsid w:val="005816BF"/>
    <w:rsid w:val="005819A7"/>
    <w:rsid w:val="005836B7"/>
    <w:rsid w:val="00583B59"/>
    <w:rsid w:val="00583E6F"/>
    <w:rsid w:val="00584E5D"/>
    <w:rsid w:val="00586C04"/>
    <w:rsid w:val="00592594"/>
    <w:rsid w:val="0059311A"/>
    <w:rsid w:val="005944FF"/>
    <w:rsid w:val="0059601B"/>
    <w:rsid w:val="005A0BDA"/>
    <w:rsid w:val="005A2874"/>
    <w:rsid w:val="005A3CB9"/>
    <w:rsid w:val="005A3E1C"/>
    <w:rsid w:val="005A4CDF"/>
    <w:rsid w:val="005A501B"/>
    <w:rsid w:val="005A5741"/>
    <w:rsid w:val="005A604D"/>
    <w:rsid w:val="005A653A"/>
    <w:rsid w:val="005A719D"/>
    <w:rsid w:val="005A76ED"/>
    <w:rsid w:val="005B0053"/>
    <w:rsid w:val="005B03C4"/>
    <w:rsid w:val="005B04AB"/>
    <w:rsid w:val="005B2269"/>
    <w:rsid w:val="005B3264"/>
    <w:rsid w:val="005B33D4"/>
    <w:rsid w:val="005B6644"/>
    <w:rsid w:val="005B7344"/>
    <w:rsid w:val="005C2CA8"/>
    <w:rsid w:val="005C309F"/>
    <w:rsid w:val="005C353B"/>
    <w:rsid w:val="005C48D1"/>
    <w:rsid w:val="005C555B"/>
    <w:rsid w:val="005C7EC0"/>
    <w:rsid w:val="005D1138"/>
    <w:rsid w:val="005D21BF"/>
    <w:rsid w:val="005D7CF3"/>
    <w:rsid w:val="005E2342"/>
    <w:rsid w:val="005E4B8D"/>
    <w:rsid w:val="005E6C77"/>
    <w:rsid w:val="005E76F8"/>
    <w:rsid w:val="005F1AEF"/>
    <w:rsid w:val="005F4A38"/>
    <w:rsid w:val="005F6AEE"/>
    <w:rsid w:val="005F6C94"/>
    <w:rsid w:val="005F7A2C"/>
    <w:rsid w:val="005F7ADE"/>
    <w:rsid w:val="00600AED"/>
    <w:rsid w:val="00601891"/>
    <w:rsid w:val="006042DD"/>
    <w:rsid w:val="00604618"/>
    <w:rsid w:val="00604BEE"/>
    <w:rsid w:val="00606B8E"/>
    <w:rsid w:val="00607C19"/>
    <w:rsid w:val="00607DAD"/>
    <w:rsid w:val="00610593"/>
    <w:rsid w:val="00612FCF"/>
    <w:rsid w:val="00613285"/>
    <w:rsid w:val="00613F6B"/>
    <w:rsid w:val="006151CD"/>
    <w:rsid w:val="00616821"/>
    <w:rsid w:val="006175DB"/>
    <w:rsid w:val="00620ACE"/>
    <w:rsid w:val="00624425"/>
    <w:rsid w:val="00624DCE"/>
    <w:rsid w:val="00624EA3"/>
    <w:rsid w:val="00631D07"/>
    <w:rsid w:val="00632616"/>
    <w:rsid w:val="006405D6"/>
    <w:rsid w:val="00640E0A"/>
    <w:rsid w:val="0064162C"/>
    <w:rsid w:val="006446E1"/>
    <w:rsid w:val="006452F6"/>
    <w:rsid w:val="00646D1D"/>
    <w:rsid w:val="0065066C"/>
    <w:rsid w:val="00650D4B"/>
    <w:rsid w:val="00652952"/>
    <w:rsid w:val="00652A3E"/>
    <w:rsid w:val="00653D6E"/>
    <w:rsid w:val="0065517E"/>
    <w:rsid w:val="006555EB"/>
    <w:rsid w:val="00655F27"/>
    <w:rsid w:val="00657B48"/>
    <w:rsid w:val="00660CCA"/>
    <w:rsid w:val="006618CD"/>
    <w:rsid w:val="00663040"/>
    <w:rsid w:val="00663396"/>
    <w:rsid w:val="00665540"/>
    <w:rsid w:val="00667742"/>
    <w:rsid w:val="00671856"/>
    <w:rsid w:val="00672E88"/>
    <w:rsid w:val="00673B94"/>
    <w:rsid w:val="00681543"/>
    <w:rsid w:val="006867D2"/>
    <w:rsid w:val="00686DCE"/>
    <w:rsid w:val="00686DDB"/>
    <w:rsid w:val="00691782"/>
    <w:rsid w:val="0069470A"/>
    <w:rsid w:val="006A1611"/>
    <w:rsid w:val="006A52A2"/>
    <w:rsid w:val="006A5B95"/>
    <w:rsid w:val="006A67C0"/>
    <w:rsid w:val="006A7A6A"/>
    <w:rsid w:val="006B0924"/>
    <w:rsid w:val="006B2FE2"/>
    <w:rsid w:val="006B31D9"/>
    <w:rsid w:val="006B4260"/>
    <w:rsid w:val="006B6326"/>
    <w:rsid w:val="006B70F4"/>
    <w:rsid w:val="006C07BA"/>
    <w:rsid w:val="006C0856"/>
    <w:rsid w:val="006C344B"/>
    <w:rsid w:val="006C3BBE"/>
    <w:rsid w:val="006C4307"/>
    <w:rsid w:val="006C6755"/>
    <w:rsid w:val="006D20D9"/>
    <w:rsid w:val="006D2659"/>
    <w:rsid w:val="006D2CC2"/>
    <w:rsid w:val="006D2E26"/>
    <w:rsid w:val="006D5D99"/>
    <w:rsid w:val="006D728A"/>
    <w:rsid w:val="006E2A59"/>
    <w:rsid w:val="006E3133"/>
    <w:rsid w:val="006E3C41"/>
    <w:rsid w:val="006E4938"/>
    <w:rsid w:val="006F249A"/>
    <w:rsid w:val="006F50A7"/>
    <w:rsid w:val="006F5992"/>
    <w:rsid w:val="006F6E16"/>
    <w:rsid w:val="006F6F1F"/>
    <w:rsid w:val="0070291B"/>
    <w:rsid w:val="00711860"/>
    <w:rsid w:val="00711D3D"/>
    <w:rsid w:val="00712E64"/>
    <w:rsid w:val="00713049"/>
    <w:rsid w:val="0071589C"/>
    <w:rsid w:val="0071592C"/>
    <w:rsid w:val="00716CA6"/>
    <w:rsid w:val="00717A20"/>
    <w:rsid w:val="00717AF1"/>
    <w:rsid w:val="00720E6E"/>
    <w:rsid w:val="00721276"/>
    <w:rsid w:val="0072127D"/>
    <w:rsid w:val="0072273C"/>
    <w:rsid w:val="007237ED"/>
    <w:rsid w:val="00723FB1"/>
    <w:rsid w:val="00724F71"/>
    <w:rsid w:val="0073107E"/>
    <w:rsid w:val="00740D85"/>
    <w:rsid w:val="00740DB5"/>
    <w:rsid w:val="00740FA9"/>
    <w:rsid w:val="00743C2F"/>
    <w:rsid w:val="00745403"/>
    <w:rsid w:val="007464C5"/>
    <w:rsid w:val="00750DF2"/>
    <w:rsid w:val="0075208A"/>
    <w:rsid w:val="00752F87"/>
    <w:rsid w:val="00753C73"/>
    <w:rsid w:val="007569E4"/>
    <w:rsid w:val="00760439"/>
    <w:rsid w:val="00761025"/>
    <w:rsid w:val="007612E6"/>
    <w:rsid w:val="00762E8C"/>
    <w:rsid w:val="00767050"/>
    <w:rsid w:val="00770568"/>
    <w:rsid w:val="0077720D"/>
    <w:rsid w:val="00780C51"/>
    <w:rsid w:val="0078182C"/>
    <w:rsid w:val="00782B38"/>
    <w:rsid w:val="00782C62"/>
    <w:rsid w:val="00783239"/>
    <w:rsid w:val="00784476"/>
    <w:rsid w:val="007844D0"/>
    <w:rsid w:val="007877E0"/>
    <w:rsid w:val="007903CB"/>
    <w:rsid w:val="0079089E"/>
    <w:rsid w:val="00791B10"/>
    <w:rsid w:val="007958E6"/>
    <w:rsid w:val="007A0B7A"/>
    <w:rsid w:val="007A21CE"/>
    <w:rsid w:val="007A2B55"/>
    <w:rsid w:val="007A4DFD"/>
    <w:rsid w:val="007A58D9"/>
    <w:rsid w:val="007A6358"/>
    <w:rsid w:val="007A685A"/>
    <w:rsid w:val="007A6F14"/>
    <w:rsid w:val="007B075A"/>
    <w:rsid w:val="007C0A24"/>
    <w:rsid w:val="007C11BF"/>
    <w:rsid w:val="007C412B"/>
    <w:rsid w:val="007C44BB"/>
    <w:rsid w:val="007C576F"/>
    <w:rsid w:val="007C5DD1"/>
    <w:rsid w:val="007D1B75"/>
    <w:rsid w:val="007D2670"/>
    <w:rsid w:val="007D2C70"/>
    <w:rsid w:val="007D3612"/>
    <w:rsid w:val="007D3870"/>
    <w:rsid w:val="007D5BAB"/>
    <w:rsid w:val="007D6F51"/>
    <w:rsid w:val="007E364A"/>
    <w:rsid w:val="007E512E"/>
    <w:rsid w:val="007E51FE"/>
    <w:rsid w:val="007F12D4"/>
    <w:rsid w:val="007F18FB"/>
    <w:rsid w:val="007F28B2"/>
    <w:rsid w:val="007F3C2F"/>
    <w:rsid w:val="007F6B12"/>
    <w:rsid w:val="008047A8"/>
    <w:rsid w:val="00804F4A"/>
    <w:rsid w:val="00805319"/>
    <w:rsid w:val="00805A8E"/>
    <w:rsid w:val="00805C6E"/>
    <w:rsid w:val="00810D84"/>
    <w:rsid w:val="008113A0"/>
    <w:rsid w:val="008218A3"/>
    <w:rsid w:val="0082267B"/>
    <w:rsid w:val="00822818"/>
    <w:rsid w:val="00822B18"/>
    <w:rsid w:val="00825219"/>
    <w:rsid w:val="008253A9"/>
    <w:rsid w:val="00825EDB"/>
    <w:rsid w:val="00826834"/>
    <w:rsid w:val="00827C61"/>
    <w:rsid w:val="0083327C"/>
    <w:rsid w:val="00833B0A"/>
    <w:rsid w:val="008351BC"/>
    <w:rsid w:val="00840E09"/>
    <w:rsid w:val="00842CBB"/>
    <w:rsid w:val="0085261A"/>
    <w:rsid w:val="00852D08"/>
    <w:rsid w:val="00852E70"/>
    <w:rsid w:val="00853605"/>
    <w:rsid w:val="00857489"/>
    <w:rsid w:val="00860228"/>
    <w:rsid w:val="00861D80"/>
    <w:rsid w:val="00862184"/>
    <w:rsid w:val="008623E4"/>
    <w:rsid w:val="00862E8A"/>
    <w:rsid w:val="00867F4A"/>
    <w:rsid w:val="00871700"/>
    <w:rsid w:val="00871CA8"/>
    <w:rsid w:val="00872A52"/>
    <w:rsid w:val="00873DF7"/>
    <w:rsid w:val="00874278"/>
    <w:rsid w:val="00874A2C"/>
    <w:rsid w:val="00874E76"/>
    <w:rsid w:val="00877AA9"/>
    <w:rsid w:val="00882481"/>
    <w:rsid w:val="00886FE9"/>
    <w:rsid w:val="00890164"/>
    <w:rsid w:val="008909DF"/>
    <w:rsid w:val="00890DAB"/>
    <w:rsid w:val="008A0BD8"/>
    <w:rsid w:val="008A219B"/>
    <w:rsid w:val="008A21DA"/>
    <w:rsid w:val="008A2A3C"/>
    <w:rsid w:val="008A2C8F"/>
    <w:rsid w:val="008B3A7D"/>
    <w:rsid w:val="008C17FD"/>
    <w:rsid w:val="008C3A53"/>
    <w:rsid w:val="008C417F"/>
    <w:rsid w:val="008C5AFB"/>
    <w:rsid w:val="008C5F02"/>
    <w:rsid w:val="008D0451"/>
    <w:rsid w:val="008D2B10"/>
    <w:rsid w:val="008D367B"/>
    <w:rsid w:val="008D5CDE"/>
    <w:rsid w:val="008D774F"/>
    <w:rsid w:val="008E0A05"/>
    <w:rsid w:val="008E1F33"/>
    <w:rsid w:val="008E60EC"/>
    <w:rsid w:val="008E6B80"/>
    <w:rsid w:val="008E7146"/>
    <w:rsid w:val="008F15AF"/>
    <w:rsid w:val="008F2055"/>
    <w:rsid w:val="008F4446"/>
    <w:rsid w:val="008F5736"/>
    <w:rsid w:val="008F7DF1"/>
    <w:rsid w:val="009004A6"/>
    <w:rsid w:val="00900702"/>
    <w:rsid w:val="009011D9"/>
    <w:rsid w:val="00903F03"/>
    <w:rsid w:val="00904D63"/>
    <w:rsid w:val="00905095"/>
    <w:rsid w:val="00905616"/>
    <w:rsid w:val="009057E2"/>
    <w:rsid w:val="00907C88"/>
    <w:rsid w:val="0091359D"/>
    <w:rsid w:val="009155F9"/>
    <w:rsid w:val="0092317A"/>
    <w:rsid w:val="0092577D"/>
    <w:rsid w:val="00925F52"/>
    <w:rsid w:val="00927802"/>
    <w:rsid w:val="00935A1D"/>
    <w:rsid w:val="009361FD"/>
    <w:rsid w:val="00937AE2"/>
    <w:rsid w:val="009413AC"/>
    <w:rsid w:val="00942375"/>
    <w:rsid w:val="0094246D"/>
    <w:rsid w:val="00942996"/>
    <w:rsid w:val="009436DE"/>
    <w:rsid w:val="00944C10"/>
    <w:rsid w:val="00944F4C"/>
    <w:rsid w:val="00945860"/>
    <w:rsid w:val="00947580"/>
    <w:rsid w:val="009477B4"/>
    <w:rsid w:val="00947867"/>
    <w:rsid w:val="009502CC"/>
    <w:rsid w:val="009525F0"/>
    <w:rsid w:val="00952EEC"/>
    <w:rsid w:val="00955E02"/>
    <w:rsid w:val="009566E4"/>
    <w:rsid w:val="00957280"/>
    <w:rsid w:val="00960633"/>
    <w:rsid w:val="0096114A"/>
    <w:rsid w:val="009637C2"/>
    <w:rsid w:val="009638A0"/>
    <w:rsid w:val="00965C12"/>
    <w:rsid w:val="00965D7B"/>
    <w:rsid w:val="00967A32"/>
    <w:rsid w:val="00971694"/>
    <w:rsid w:val="009728E4"/>
    <w:rsid w:val="00972B4A"/>
    <w:rsid w:val="00972BDE"/>
    <w:rsid w:val="00972FCB"/>
    <w:rsid w:val="00973C75"/>
    <w:rsid w:val="0098283A"/>
    <w:rsid w:val="00983051"/>
    <w:rsid w:val="00985BFC"/>
    <w:rsid w:val="009860C2"/>
    <w:rsid w:val="009862F2"/>
    <w:rsid w:val="009872BE"/>
    <w:rsid w:val="009901FA"/>
    <w:rsid w:val="0099055A"/>
    <w:rsid w:val="00991CFA"/>
    <w:rsid w:val="0099289F"/>
    <w:rsid w:val="00994037"/>
    <w:rsid w:val="00995039"/>
    <w:rsid w:val="0099563B"/>
    <w:rsid w:val="0099662A"/>
    <w:rsid w:val="00997540"/>
    <w:rsid w:val="009A1662"/>
    <w:rsid w:val="009A2038"/>
    <w:rsid w:val="009A33CE"/>
    <w:rsid w:val="009A38DD"/>
    <w:rsid w:val="009A3B76"/>
    <w:rsid w:val="009A4D71"/>
    <w:rsid w:val="009B0AD7"/>
    <w:rsid w:val="009B54CB"/>
    <w:rsid w:val="009B6681"/>
    <w:rsid w:val="009B6F14"/>
    <w:rsid w:val="009C06F3"/>
    <w:rsid w:val="009C2D28"/>
    <w:rsid w:val="009C3227"/>
    <w:rsid w:val="009C3DE8"/>
    <w:rsid w:val="009C56C5"/>
    <w:rsid w:val="009C6479"/>
    <w:rsid w:val="009C672C"/>
    <w:rsid w:val="009C7A25"/>
    <w:rsid w:val="009C7F59"/>
    <w:rsid w:val="009D1228"/>
    <w:rsid w:val="009D15A1"/>
    <w:rsid w:val="009D3794"/>
    <w:rsid w:val="009D5847"/>
    <w:rsid w:val="009D5D5F"/>
    <w:rsid w:val="009E1693"/>
    <w:rsid w:val="009E2F17"/>
    <w:rsid w:val="009E2FD6"/>
    <w:rsid w:val="009E31E3"/>
    <w:rsid w:val="009E5EB1"/>
    <w:rsid w:val="009E7961"/>
    <w:rsid w:val="009F469B"/>
    <w:rsid w:val="009F4E0A"/>
    <w:rsid w:val="009F5AB8"/>
    <w:rsid w:val="00A01844"/>
    <w:rsid w:val="00A03100"/>
    <w:rsid w:val="00A054CC"/>
    <w:rsid w:val="00A05F1A"/>
    <w:rsid w:val="00A06037"/>
    <w:rsid w:val="00A06B76"/>
    <w:rsid w:val="00A10F1F"/>
    <w:rsid w:val="00A1184D"/>
    <w:rsid w:val="00A1553B"/>
    <w:rsid w:val="00A16862"/>
    <w:rsid w:val="00A17781"/>
    <w:rsid w:val="00A21B3D"/>
    <w:rsid w:val="00A226F0"/>
    <w:rsid w:val="00A262C9"/>
    <w:rsid w:val="00A353F8"/>
    <w:rsid w:val="00A37FCB"/>
    <w:rsid w:val="00A40997"/>
    <w:rsid w:val="00A42A9B"/>
    <w:rsid w:val="00A460E1"/>
    <w:rsid w:val="00A47252"/>
    <w:rsid w:val="00A50642"/>
    <w:rsid w:val="00A50E91"/>
    <w:rsid w:val="00A52B6C"/>
    <w:rsid w:val="00A5453B"/>
    <w:rsid w:val="00A55C87"/>
    <w:rsid w:val="00A57402"/>
    <w:rsid w:val="00A57A90"/>
    <w:rsid w:val="00A57E30"/>
    <w:rsid w:val="00A606E7"/>
    <w:rsid w:val="00A66630"/>
    <w:rsid w:val="00A67E3A"/>
    <w:rsid w:val="00A7087B"/>
    <w:rsid w:val="00A71DB8"/>
    <w:rsid w:val="00A72074"/>
    <w:rsid w:val="00A73810"/>
    <w:rsid w:val="00A7417B"/>
    <w:rsid w:val="00A7427C"/>
    <w:rsid w:val="00A74937"/>
    <w:rsid w:val="00A75457"/>
    <w:rsid w:val="00A7762E"/>
    <w:rsid w:val="00A77C5E"/>
    <w:rsid w:val="00A77F7F"/>
    <w:rsid w:val="00A82F91"/>
    <w:rsid w:val="00A83058"/>
    <w:rsid w:val="00A840B5"/>
    <w:rsid w:val="00A8463B"/>
    <w:rsid w:val="00A91771"/>
    <w:rsid w:val="00A93114"/>
    <w:rsid w:val="00A958C7"/>
    <w:rsid w:val="00A95983"/>
    <w:rsid w:val="00A96483"/>
    <w:rsid w:val="00A974C7"/>
    <w:rsid w:val="00AA0810"/>
    <w:rsid w:val="00AA1787"/>
    <w:rsid w:val="00AA3ABB"/>
    <w:rsid w:val="00AA715C"/>
    <w:rsid w:val="00AA7410"/>
    <w:rsid w:val="00AB0229"/>
    <w:rsid w:val="00AB0258"/>
    <w:rsid w:val="00AB16FD"/>
    <w:rsid w:val="00AB4E7E"/>
    <w:rsid w:val="00AB4F65"/>
    <w:rsid w:val="00AB6447"/>
    <w:rsid w:val="00AC13E0"/>
    <w:rsid w:val="00AC1CF4"/>
    <w:rsid w:val="00AC381B"/>
    <w:rsid w:val="00AC5A5C"/>
    <w:rsid w:val="00AC5F51"/>
    <w:rsid w:val="00AC70D5"/>
    <w:rsid w:val="00AD475E"/>
    <w:rsid w:val="00AD4A6E"/>
    <w:rsid w:val="00AD5D72"/>
    <w:rsid w:val="00AE0070"/>
    <w:rsid w:val="00AE14B7"/>
    <w:rsid w:val="00AE53A7"/>
    <w:rsid w:val="00AE5906"/>
    <w:rsid w:val="00AE61DD"/>
    <w:rsid w:val="00AE6325"/>
    <w:rsid w:val="00AE64FB"/>
    <w:rsid w:val="00AE6DF1"/>
    <w:rsid w:val="00AE6E23"/>
    <w:rsid w:val="00AF00E5"/>
    <w:rsid w:val="00AF1056"/>
    <w:rsid w:val="00AF17AB"/>
    <w:rsid w:val="00AF3AED"/>
    <w:rsid w:val="00AF3C0A"/>
    <w:rsid w:val="00AF497D"/>
    <w:rsid w:val="00AF59F4"/>
    <w:rsid w:val="00B0236B"/>
    <w:rsid w:val="00B03103"/>
    <w:rsid w:val="00B04F5D"/>
    <w:rsid w:val="00B05172"/>
    <w:rsid w:val="00B06B29"/>
    <w:rsid w:val="00B10A22"/>
    <w:rsid w:val="00B10D57"/>
    <w:rsid w:val="00B12C30"/>
    <w:rsid w:val="00B140E5"/>
    <w:rsid w:val="00B1766E"/>
    <w:rsid w:val="00B20754"/>
    <w:rsid w:val="00B2084F"/>
    <w:rsid w:val="00B21712"/>
    <w:rsid w:val="00B23105"/>
    <w:rsid w:val="00B25A97"/>
    <w:rsid w:val="00B340E1"/>
    <w:rsid w:val="00B36CDD"/>
    <w:rsid w:val="00B37086"/>
    <w:rsid w:val="00B3710E"/>
    <w:rsid w:val="00B37E65"/>
    <w:rsid w:val="00B40783"/>
    <w:rsid w:val="00B4096E"/>
    <w:rsid w:val="00B42C36"/>
    <w:rsid w:val="00B47922"/>
    <w:rsid w:val="00B50673"/>
    <w:rsid w:val="00B56691"/>
    <w:rsid w:val="00B603E5"/>
    <w:rsid w:val="00B6281A"/>
    <w:rsid w:val="00B6399A"/>
    <w:rsid w:val="00B65C85"/>
    <w:rsid w:val="00B66AF7"/>
    <w:rsid w:val="00B66C99"/>
    <w:rsid w:val="00B6739A"/>
    <w:rsid w:val="00B67FD4"/>
    <w:rsid w:val="00B723F0"/>
    <w:rsid w:val="00B72AB8"/>
    <w:rsid w:val="00B74DE7"/>
    <w:rsid w:val="00B8064C"/>
    <w:rsid w:val="00B83CCC"/>
    <w:rsid w:val="00B84148"/>
    <w:rsid w:val="00B91D42"/>
    <w:rsid w:val="00B92FCF"/>
    <w:rsid w:val="00B966E9"/>
    <w:rsid w:val="00B972C4"/>
    <w:rsid w:val="00B9742B"/>
    <w:rsid w:val="00B97926"/>
    <w:rsid w:val="00BA10BA"/>
    <w:rsid w:val="00BA1C74"/>
    <w:rsid w:val="00BA3606"/>
    <w:rsid w:val="00BA525F"/>
    <w:rsid w:val="00BB0A04"/>
    <w:rsid w:val="00BB0C53"/>
    <w:rsid w:val="00BB2630"/>
    <w:rsid w:val="00BB2A3E"/>
    <w:rsid w:val="00BB7449"/>
    <w:rsid w:val="00BC11C9"/>
    <w:rsid w:val="00BD0E98"/>
    <w:rsid w:val="00BD29D3"/>
    <w:rsid w:val="00BD32CA"/>
    <w:rsid w:val="00BD3A34"/>
    <w:rsid w:val="00BD3CED"/>
    <w:rsid w:val="00BD4412"/>
    <w:rsid w:val="00BD52BC"/>
    <w:rsid w:val="00BE073B"/>
    <w:rsid w:val="00BE0B29"/>
    <w:rsid w:val="00BE5A1F"/>
    <w:rsid w:val="00BF15D4"/>
    <w:rsid w:val="00BF3BCC"/>
    <w:rsid w:val="00BF48A5"/>
    <w:rsid w:val="00C036A3"/>
    <w:rsid w:val="00C03E16"/>
    <w:rsid w:val="00C06347"/>
    <w:rsid w:val="00C10B6B"/>
    <w:rsid w:val="00C10DBE"/>
    <w:rsid w:val="00C12925"/>
    <w:rsid w:val="00C12E20"/>
    <w:rsid w:val="00C16A1D"/>
    <w:rsid w:val="00C173F2"/>
    <w:rsid w:val="00C17E2D"/>
    <w:rsid w:val="00C20D14"/>
    <w:rsid w:val="00C215BE"/>
    <w:rsid w:val="00C2336F"/>
    <w:rsid w:val="00C23E42"/>
    <w:rsid w:val="00C26621"/>
    <w:rsid w:val="00C268AE"/>
    <w:rsid w:val="00C47AC5"/>
    <w:rsid w:val="00C47AFD"/>
    <w:rsid w:val="00C5168D"/>
    <w:rsid w:val="00C544DC"/>
    <w:rsid w:val="00C55C8A"/>
    <w:rsid w:val="00C55CF6"/>
    <w:rsid w:val="00C62302"/>
    <w:rsid w:val="00C64367"/>
    <w:rsid w:val="00C66340"/>
    <w:rsid w:val="00C675C0"/>
    <w:rsid w:val="00C715DC"/>
    <w:rsid w:val="00C71A29"/>
    <w:rsid w:val="00C8016D"/>
    <w:rsid w:val="00C807C8"/>
    <w:rsid w:val="00C80FAE"/>
    <w:rsid w:val="00C813DC"/>
    <w:rsid w:val="00C82AEC"/>
    <w:rsid w:val="00C83E35"/>
    <w:rsid w:val="00C8431E"/>
    <w:rsid w:val="00C87E44"/>
    <w:rsid w:val="00C915CE"/>
    <w:rsid w:val="00C94E9F"/>
    <w:rsid w:val="00C95AD3"/>
    <w:rsid w:val="00C95EFA"/>
    <w:rsid w:val="00C95F29"/>
    <w:rsid w:val="00C97D7E"/>
    <w:rsid w:val="00CA2BE4"/>
    <w:rsid w:val="00CA2F08"/>
    <w:rsid w:val="00CA3E10"/>
    <w:rsid w:val="00CA4D20"/>
    <w:rsid w:val="00CB0379"/>
    <w:rsid w:val="00CB07DE"/>
    <w:rsid w:val="00CB2DFD"/>
    <w:rsid w:val="00CB2FA3"/>
    <w:rsid w:val="00CC14B5"/>
    <w:rsid w:val="00CC18D4"/>
    <w:rsid w:val="00CC3F26"/>
    <w:rsid w:val="00CC5BDF"/>
    <w:rsid w:val="00CD1621"/>
    <w:rsid w:val="00CD29D3"/>
    <w:rsid w:val="00CD2D18"/>
    <w:rsid w:val="00CD390E"/>
    <w:rsid w:val="00CD6782"/>
    <w:rsid w:val="00CD7E1C"/>
    <w:rsid w:val="00CE3CB8"/>
    <w:rsid w:val="00CE6F44"/>
    <w:rsid w:val="00CF1162"/>
    <w:rsid w:val="00CF1F1F"/>
    <w:rsid w:val="00CF27A6"/>
    <w:rsid w:val="00CF36F4"/>
    <w:rsid w:val="00CF524D"/>
    <w:rsid w:val="00CF63D6"/>
    <w:rsid w:val="00D002BB"/>
    <w:rsid w:val="00D003E5"/>
    <w:rsid w:val="00D0449B"/>
    <w:rsid w:val="00D045E3"/>
    <w:rsid w:val="00D0525C"/>
    <w:rsid w:val="00D12029"/>
    <w:rsid w:val="00D13C4B"/>
    <w:rsid w:val="00D1524C"/>
    <w:rsid w:val="00D174F7"/>
    <w:rsid w:val="00D17517"/>
    <w:rsid w:val="00D17FE9"/>
    <w:rsid w:val="00D22047"/>
    <w:rsid w:val="00D2321D"/>
    <w:rsid w:val="00D2349A"/>
    <w:rsid w:val="00D23CEA"/>
    <w:rsid w:val="00D2568A"/>
    <w:rsid w:val="00D274AD"/>
    <w:rsid w:val="00D27546"/>
    <w:rsid w:val="00D34339"/>
    <w:rsid w:val="00D35A4F"/>
    <w:rsid w:val="00D40E99"/>
    <w:rsid w:val="00D41799"/>
    <w:rsid w:val="00D41868"/>
    <w:rsid w:val="00D4330A"/>
    <w:rsid w:val="00D47C7A"/>
    <w:rsid w:val="00D51527"/>
    <w:rsid w:val="00D52748"/>
    <w:rsid w:val="00D52AA1"/>
    <w:rsid w:val="00D52E35"/>
    <w:rsid w:val="00D56ED5"/>
    <w:rsid w:val="00D57635"/>
    <w:rsid w:val="00D6324D"/>
    <w:rsid w:val="00D6428D"/>
    <w:rsid w:val="00D66F76"/>
    <w:rsid w:val="00D709B7"/>
    <w:rsid w:val="00D71C6D"/>
    <w:rsid w:val="00D73E2B"/>
    <w:rsid w:val="00D74ABE"/>
    <w:rsid w:val="00D8115C"/>
    <w:rsid w:val="00D811AF"/>
    <w:rsid w:val="00D844C5"/>
    <w:rsid w:val="00D86A7C"/>
    <w:rsid w:val="00D87136"/>
    <w:rsid w:val="00D91356"/>
    <w:rsid w:val="00D91CDA"/>
    <w:rsid w:val="00D97AB3"/>
    <w:rsid w:val="00DA2DFD"/>
    <w:rsid w:val="00DA3A90"/>
    <w:rsid w:val="00DA448D"/>
    <w:rsid w:val="00DA6CC9"/>
    <w:rsid w:val="00DA7558"/>
    <w:rsid w:val="00DB166E"/>
    <w:rsid w:val="00DB1898"/>
    <w:rsid w:val="00DB2597"/>
    <w:rsid w:val="00DB29B3"/>
    <w:rsid w:val="00DB35AC"/>
    <w:rsid w:val="00DB5984"/>
    <w:rsid w:val="00DB5A5A"/>
    <w:rsid w:val="00DB6911"/>
    <w:rsid w:val="00DB744D"/>
    <w:rsid w:val="00DB75A6"/>
    <w:rsid w:val="00DC12F5"/>
    <w:rsid w:val="00DC2C15"/>
    <w:rsid w:val="00DC6964"/>
    <w:rsid w:val="00DC6B60"/>
    <w:rsid w:val="00DD13C8"/>
    <w:rsid w:val="00DD2B35"/>
    <w:rsid w:val="00DD2F4C"/>
    <w:rsid w:val="00DD35FE"/>
    <w:rsid w:val="00DD392F"/>
    <w:rsid w:val="00DD5645"/>
    <w:rsid w:val="00DD62F1"/>
    <w:rsid w:val="00DD7CCB"/>
    <w:rsid w:val="00DE09D6"/>
    <w:rsid w:val="00DE2222"/>
    <w:rsid w:val="00DE22F5"/>
    <w:rsid w:val="00DE7C7E"/>
    <w:rsid w:val="00DF0866"/>
    <w:rsid w:val="00DF24DA"/>
    <w:rsid w:val="00DF5C0C"/>
    <w:rsid w:val="00DF5E8C"/>
    <w:rsid w:val="00DF6761"/>
    <w:rsid w:val="00E0394F"/>
    <w:rsid w:val="00E04D55"/>
    <w:rsid w:val="00E04E08"/>
    <w:rsid w:val="00E05997"/>
    <w:rsid w:val="00E05A41"/>
    <w:rsid w:val="00E10AF5"/>
    <w:rsid w:val="00E1134B"/>
    <w:rsid w:val="00E11B44"/>
    <w:rsid w:val="00E12B1E"/>
    <w:rsid w:val="00E1541D"/>
    <w:rsid w:val="00E15D17"/>
    <w:rsid w:val="00E17A2D"/>
    <w:rsid w:val="00E21240"/>
    <w:rsid w:val="00E21EC0"/>
    <w:rsid w:val="00E21FEC"/>
    <w:rsid w:val="00E2280B"/>
    <w:rsid w:val="00E22BA4"/>
    <w:rsid w:val="00E2442C"/>
    <w:rsid w:val="00E24E0A"/>
    <w:rsid w:val="00E2532A"/>
    <w:rsid w:val="00E25CE8"/>
    <w:rsid w:val="00E30569"/>
    <w:rsid w:val="00E31758"/>
    <w:rsid w:val="00E32F46"/>
    <w:rsid w:val="00E367AF"/>
    <w:rsid w:val="00E41299"/>
    <w:rsid w:val="00E43455"/>
    <w:rsid w:val="00E45E1B"/>
    <w:rsid w:val="00E51EF4"/>
    <w:rsid w:val="00E52F4C"/>
    <w:rsid w:val="00E54228"/>
    <w:rsid w:val="00E54638"/>
    <w:rsid w:val="00E5630F"/>
    <w:rsid w:val="00E57C2C"/>
    <w:rsid w:val="00E6241E"/>
    <w:rsid w:val="00E638BC"/>
    <w:rsid w:val="00E63A4A"/>
    <w:rsid w:val="00E66E24"/>
    <w:rsid w:val="00E700E2"/>
    <w:rsid w:val="00E70380"/>
    <w:rsid w:val="00E70616"/>
    <w:rsid w:val="00E72E64"/>
    <w:rsid w:val="00E7489F"/>
    <w:rsid w:val="00E75B70"/>
    <w:rsid w:val="00E769B7"/>
    <w:rsid w:val="00E80A4B"/>
    <w:rsid w:val="00E81CE6"/>
    <w:rsid w:val="00E82477"/>
    <w:rsid w:val="00E83C42"/>
    <w:rsid w:val="00E85443"/>
    <w:rsid w:val="00E87C3A"/>
    <w:rsid w:val="00E91FC3"/>
    <w:rsid w:val="00E93E6D"/>
    <w:rsid w:val="00EA14B9"/>
    <w:rsid w:val="00EA3D04"/>
    <w:rsid w:val="00EA612F"/>
    <w:rsid w:val="00EA746E"/>
    <w:rsid w:val="00EB20D6"/>
    <w:rsid w:val="00EB44F4"/>
    <w:rsid w:val="00EB4ABD"/>
    <w:rsid w:val="00EB620F"/>
    <w:rsid w:val="00EB6718"/>
    <w:rsid w:val="00EB733C"/>
    <w:rsid w:val="00EB78CC"/>
    <w:rsid w:val="00EC3D44"/>
    <w:rsid w:val="00EC447E"/>
    <w:rsid w:val="00EC4504"/>
    <w:rsid w:val="00EC4B3D"/>
    <w:rsid w:val="00EC61CA"/>
    <w:rsid w:val="00EC7BB9"/>
    <w:rsid w:val="00ED10DD"/>
    <w:rsid w:val="00ED3F56"/>
    <w:rsid w:val="00ED490F"/>
    <w:rsid w:val="00ED49C0"/>
    <w:rsid w:val="00ED4B22"/>
    <w:rsid w:val="00ED5FDB"/>
    <w:rsid w:val="00ED6A60"/>
    <w:rsid w:val="00EE2F92"/>
    <w:rsid w:val="00EE40DA"/>
    <w:rsid w:val="00EE4495"/>
    <w:rsid w:val="00EE5A96"/>
    <w:rsid w:val="00EE7EBE"/>
    <w:rsid w:val="00EF0509"/>
    <w:rsid w:val="00EF1674"/>
    <w:rsid w:val="00EF6608"/>
    <w:rsid w:val="00EF7F53"/>
    <w:rsid w:val="00F00D07"/>
    <w:rsid w:val="00F022B5"/>
    <w:rsid w:val="00F03458"/>
    <w:rsid w:val="00F0468E"/>
    <w:rsid w:val="00F05070"/>
    <w:rsid w:val="00F15978"/>
    <w:rsid w:val="00F2468F"/>
    <w:rsid w:val="00F25BC5"/>
    <w:rsid w:val="00F33EDC"/>
    <w:rsid w:val="00F36540"/>
    <w:rsid w:val="00F400E8"/>
    <w:rsid w:val="00F407AD"/>
    <w:rsid w:val="00F431FE"/>
    <w:rsid w:val="00F50C5E"/>
    <w:rsid w:val="00F50D0D"/>
    <w:rsid w:val="00F55343"/>
    <w:rsid w:val="00F55555"/>
    <w:rsid w:val="00F65B2B"/>
    <w:rsid w:val="00F67230"/>
    <w:rsid w:val="00F70B03"/>
    <w:rsid w:val="00F711A1"/>
    <w:rsid w:val="00F75F69"/>
    <w:rsid w:val="00F76E6A"/>
    <w:rsid w:val="00F8010A"/>
    <w:rsid w:val="00F807EE"/>
    <w:rsid w:val="00F815E5"/>
    <w:rsid w:val="00F82F7B"/>
    <w:rsid w:val="00F8549F"/>
    <w:rsid w:val="00F86A46"/>
    <w:rsid w:val="00F871BF"/>
    <w:rsid w:val="00F878E8"/>
    <w:rsid w:val="00F87A0D"/>
    <w:rsid w:val="00F90070"/>
    <w:rsid w:val="00F906B2"/>
    <w:rsid w:val="00F91A2E"/>
    <w:rsid w:val="00F93C68"/>
    <w:rsid w:val="00F94841"/>
    <w:rsid w:val="00F9539A"/>
    <w:rsid w:val="00F966EE"/>
    <w:rsid w:val="00F96A10"/>
    <w:rsid w:val="00FA21F7"/>
    <w:rsid w:val="00FA3333"/>
    <w:rsid w:val="00FA67C2"/>
    <w:rsid w:val="00FA79A7"/>
    <w:rsid w:val="00FB14A6"/>
    <w:rsid w:val="00FB35CE"/>
    <w:rsid w:val="00FB49EA"/>
    <w:rsid w:val="00FC0801"/>
    <w:rsid w:val="00FC4A69"/>
    <w:rsid w:val="00FC559C"/>
    <w:rsid w:val="00FC6A0F"/>
    <w:rsid w:val="00FD034E"/>
    <w:rsid w:val="00FD18A6"/>
    <w:rsid w:val="00FD52AE"/>
    <w:rsid w:val="00FD6F1A"/>
    <w:rsid w:val="00FD71BD"/>
    <w:rsid w:val="00FE3AAF"/>
    <w:rsid w:val="00FE52C8"/>
    <w:rsid w:val="00FE66F3"/>
    <w:rsid w:val="00FE70F4"/>
    <w:rsid w:val="00FF0343"/>
    <w:rsid w:val="00FF18ED"/>
    <w:rsid w:val="00FF292F"/>
    <w:rsid w:val="00FF3004"/>
    <w:rsid w:val="00FF5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920C4"/>
  <w15:chartTrackingRefBased/>
  <w15:docId w15:val="{598B5AEC-DA18-47D8-A4BB-75ED82A5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styleId="Hyperlink">
    <w:name w:val="Hyperlink"/>
    <w:uiPriority w:val="99"/>
    <w:unhideWhenUsed/>
    <w:rsid w:val="00A7427C"/>
    <w:rPr>
      <w:color w:val="0563C1"/>
      <w:u w:val="single"/>
    </w:rPr>
  </w:style>
  <w:style w:type="paragraph" w:customStyle="1" w:styleId="eMailBlock">
    <w:name w:val="eMailBlock"/>
    <w:basedOn w:val="Title"/>
    <w:rPr>
      <w:sz w:val="26"/>
    </w:rPr>
  </w:style>
  <w:style w:type="paragraph" w:styleId="ListParagraph">
    <w:name w:val="List Paragraph"/>
    <w:basedOn w:val="Normal"/>
    <w:uiPriority w:val="34"/>
    <w:qFormat/>
    <w:rsid w:val="00A7427C"/>
    <w:pPr>
      <w:spacing w:before="100" w:beforeAutospacing="1" w:after="100" w:afterAutospacing="1"/>
    </w:pPr>
    <w:rPr>
      <w:lang w:eastAsia="en-GB"/>
    </w:rPr>
  </w:style>
  <w:style w:type="paragraph" w:styleId="NormalWeb">
    <w:name w:val="Normal (Web)"/>
    <w:basedOn w:val="Normal"/>
    <w:uiPriority w:val="99"/>
    <w:unhideWhenUsed/>
    <w:rsid w:val="001638B6"/>
    <w:pPr>
      <w:spacing w:before="100" w:beforeAutospacing="1" w:after="100" w:afterAutospacing="1"/>
    </w:pPr>
    <w:rPr>
      <w:lang w:eastAsia="en-GB"/>
    </w:rPr>
  </w:style>
  <w:style w:type="character" w:styleId="Strong">
    <w:name w:val="Strong"/>
    <w:basedOn w:val="DefaultParagraphFont"/>
    <w:uiPriority w:val="22"/>
    <w:qFormat/>
    <w:rsid w:val="001638B6"/>
    <w:rPr>
      <w:b/>
      <w:bCs/>
    </w:rPr>
  </w:style>
  <w:style w:type="paragraph" w:styleId="FootnoteText">
    <w:name w:val="footnote text"/>
    <w:basedOn w:val="Normal"/>
    <w:link w:val="FootnoteTextChar"/>
    <w:rsid w:val="004F2396"/>
    <w:rPr>
      <w:sz w:val="20"/>
      <w:szCs w:val="20"/>
    </w:rPr>
  </w:style>
  <w:style w:type="character" w:customStyle="1" w:styleId="FootnoteTextChar">
    <w:name w:val="Footnote Text Char"/>
    <w:basedOn w:val="DefaultParagraphFont"/>
    <w:link w:val="FootnoteText"/>
    <w:rsid w:val="004F2396"/>
    <w:rPr>
      <w:lang w:eastAsia="en-US"/>
    </w:rPr>
  </w:style>
  <w:style w:type="character" w:styleId="FootnoteReference">
    <w:name w:val="footnote reference"/>
    <w:basedOn w:val="DefaultParagraphFont"/>
    <w:rsid w:val="004F2396"/>
    <w:rPr>
      <w:vertAlign w:val="superscript"/>
    </w:rPr>
  </w:style>
  <w:style w:type="character" w:styleId="UnresolvedMention">
    <w:name w:val="Unresolved Mention"/>
    <w:basedOn w:val="DefaultParagraphFont"/>
    <w:uiPriority w:val="99"/>
    <w:semiHidden/>
    <w:unhideWhenUsed/>
    <w:rsid w:val="001039D7"/>
    <w:rPr>
      <w:color w:val="605E5C"/>
      <w:shd w:val="clear" w:color="auto" w:fill="E1DFDD"/>
    </w:rPr>
  </w:style>
  <w:style w:type="character" w:customStyle="1" w:styleId="FooterChar">
    <w:name w:val="Footer Char"/>
    <w:basedOn w:val="DefaultParagraphFont"/>
    <w:link w:val="Footer"/>
    <w:uiPriority w:val="99"/>
    <w:rsid w:val="00985BFC"/>
    <w:rPr>
      <w:rFonts w:ascii="Univers (W1)" w:hAnsi="Univers (W1)"/>
      <w:sz w:val="24"/>
      <w:lang w:eastAsia="en-US"/>
    </w:rPr>
  </w:style>
  <w:style w:type="character" w:styleId="CommentReference">
    <w:name w:val="annotation reference"/>
    <w:basedOn w:val="DefaultParagraphFont"/>
    <w:rsid w:val="00FB35CE"/>
    <w:rPr>
      <w:sz w:val="16"/>
      <w:szCs w:val="16"/>
    </w:rPr>
  </w:style>
  <w:style w:type="paragraph" w:styleId="CommentText">
    <w:name w:val="annotation text"/>
    <w:basedOn w:val="Normal"/>
    <w:link w:val="CommentTextChar"/>
    <w:rsid w:val="00FB35CE"/>
    <w:rPr>
      <w:sz w:val="20"/>
      <w:szCs w:val="20"/>
    </w:rPr>
  </w:style>
  <w:style w:type="character" w:customStyle="1" w:styleId="CommentTextChar">
    <w:name w:val="Comment Text Char"/>
    <w:basedOn w:val="DefaultParagraphFont"/>
    <w:link w:val="CommentText"/>
    <w:rsid w:val="00FB35CE"/>
    <w:rPr>
      <w:lang w:eastAsia="en-US"/>
    </w:rPr>
  </w:style>
  <w:style w:type="paragraph" w:styleId="CommentSubject">
    <w:name w:val="annotation subject"/>
    <w:basedOn w:val="CommentText"/>
    <w:next w:val="CommentText"/>
    <w:link w:val="CommentSubjectChar"/>
    <w:rsid w:val="00FB35CE"/>
    <w:rPr>
      <w:b/>
      <w:bCs/>
    </w:rPr>
  </w:style>
  <w:style w:type="character" w:customStyle="1" w:styleId="CommentSubjectChar">
    <w:name w:val="Comment Subject Char"/>
    <w:basedOn w:val="CommentTextChar"/>
    <w:link w:val="CommentSubject"/>
    <w:rsid w:val="00FB35CE"/>
    <w:rPr>
      <w:b/>
      <w:bCs/>
      <w:lang w:eastAsia="en-US"/>
    </w:rPr>
  </w:style>
  <w:style w:type="table" w:styleId="TableGrid">
    <w:name w:val="Table Grid"/>
    <w:basedOn w:val="TableNormal"/>
    <w:rsid w:val="00972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9652">
      <w:bodyDiv w:val="1"/>
      <w:marLeft w:val="0"/>
      <w:marRight w:val="0"/>
      <w:marTop w:val="0"/>
      <w:marBottom w:val="0"/>
      <w:divBdr>
        <w:top w:val="none" w:sz="0" w:space="0" w:color="auto"/>
        <w:left w:val="none" w:sz="0" w:space="0" w:color="auto"/>
        <w:bottom w:val="none" w:sz="0" w:space="0" w:color="auto"/>
        <w:right w:val="none" w:sz="0" w:space="0" w:color="auto"/>
      </w:divBdr>
    </w:div>
    <w:div w:id="58481046">
      <w:bodyDiv w:val="1"/>
      <w:marLeft w:val="0"/>
      <w:marRight w:val="0"/>
      <w:marTop w:val="0"/>
      <w:marBottom w:val="0"/>
      <w:divBdr>
        <w:top w:val="none" w:sz="0" w:space="0" w:color="auto"/>
        <w:left w:val="none" w:sz="0" w:space="0" w:color="auto"/>
        <w:bottom w:val="none" w:sz="0" w:space="0" w:color="auto"/>
        <w:right w:val="none" w:sz="0" w:space="0" w:color="auto"/>
      </w:divBdr>
    </w:div>
    <w:div w:id="64493604">
      <w:bodyDiv w:val="1"/>
      <w:marLeft w:val="0"/>
      <w:marRight w:val="0"/>
      <w:marTop w:val="0"/>
      <w:marBottom w:val="0"/>
      <w:divBdr>
        <w:top w:val="none" w:sz="0" w:space="0" w:color="auto"/>
        <w:left w:val="none" w:sz="0" w:space="0" w:color="auto"/>
        <w:bottom w:val="none" w:sz="0" w:space="0" w:color="auto"/>
        <w:right w:val="none" w:sz="0" w:space="0" w:color="auto"/>
      </w:divBdr>
    </w:div>
    <w:div w:id="76875961">
      <w:bodyDiv w:val="1"/>
      <w:marLeft w:val="0"/>
      <w:marRight w:val="0"/>
      <w:marTop w:val="0"/>
      <w:marBottom w:val="0"/>
      <w:divBdr>
        <w:top w:val="none" w:sz="0" w:space="0" w:color="auto"/>
        <w:left w:val="none" w:sz="0" w:space="0" w:color="auto"/>
        <w:bottom w:val="none" w:sz="0" w:space="0" w:color="auto"/>
        <w:right w:val="none" w:sz="0" w:space="0" w:color="auto"/>
      </w:divBdr>
    </w:div>
    <w:div w:id="140393890">
      <w:bodyDiv w:val="1"/>
      <w:marLeft w:val="0"/>
      <w:marRight w:val="0"/>
      <w:marTop w:val="0"/>
      <w:marBottom w:val="0"/>
      <w:divBdr>
        <w:top w:val="none" w:sz="0" w:space="0" w:color="auto"/>
        <w:left w:val="none" w:sz="0" w:space="0" w:color="auto"/>
        <w:bottom w:val="none" w:sz="0" w:space="0" w:color="auto"/>
        <w:right w:val="none" w:sz="0" w:space="0" w:color="auto"/>
      </w:divBdr>
    </w:div>
    <w:div w:id="140510393">
      <w:bodyDiv w:val="1"/>
      <w:marLeft w:val="0"/>
      <w:marRight w:val="0"/>
      <w:marTop w:val="0"/>
      <w:marBottom w:val="0"/>
      <w:divBdr>
        <w:top w:val="none" w:sz="0" w:space="0" w:color="auto"/>
        <w:left w:val="none" w:sz="0" w:space="0" w:color="auto"/>
        <w:bottom w:val="none" w:sz="0" w:space="0" w:color="auto"/>
        <w:right w:val="none" w:sz="0" w:space="0" w:color="auto"/>
      </w:divBdr>
    </w:div>
    <w:div w:id="141044366">
      <w:bodyDiv w:val="1"/>
      <w:marLeft w:val="0"/>
      <w:marRight w:val="0"/>
      <w:marTop w:val="0"/>
      <w:marBottom w:val="0"/>
      <w:divBdr>
        <w:top w:val="none" w:sz="0" w:space="0" w:color="auto"/>
        <w:left w:val="none" w:sz="0" w:space="0" w:color="auto"/>
        <w:bottom w:val="none" w:sz="0" w:space="0" w:color="auto"/>
        <w:right w:val="none" w:sz="0" w:space="0" w:color="auto"/>
      </w:divBdr>
    </w:div>
    <w:div w:id="145830260">
      <w:bodyDiv w:val="1"/>
      <w:marLeft w:val="0"/>
      <w:marRight w:val="0"/>
      <w:marTop w:val="0"/>
      <w:marBottom w:val="0"/>
      <w:divBdr>
        <w:top w:val="none" w:sz="0" w:space="0" w:color="auto"/>
        <w:left w:val="none" w:sz="0" w:space="0" w:color="auto"/>
        <w:bottom w:val="none" w:sz="0" w:space="0" w:color="auto"/>
        <w:right w:val="none" w:sz="0" w:space="0" w:color="auto"/>
      </w:divBdr>
    </w:div>
    <w:div w:id="157305611">
      <w:bodyDiv w:val="1"/>
      <w:marLeft w:val="0"/>
      <w:marRight w:val="0"/>
      <w:marTop w:val="0"/>
      <w:marBottom w:val="0"/>
      <w:divBdr>
        <w:top w:val="none" w:sz="0" w:space="0" w:color="auto"/>
        <w:left w:val="none" w:sz="0" w:space="0" w:color="auto"/>
        <w:bottom w:val="none" w:sz="0" w:space="0" w:color="auto"/>
        <w:right w:val="none" w:sz="0" w:space="0" w:color="auto"/>
      </w:divBdr>
    </w:div>
    <w:div w:id="211578948">
      <w:bodyDiv w:val="1"/>
      <w:marLeft w:val="0"/>
      <w:marRight w:val="0"/>
      <w:marTop w:val="0"/>
      <w:marBottom w:val="0"/>
      <w:divBdr>
        <w:top w:val="none" w:sz="0" w:space="0" w:color="auto"/>
        <w:left w:val="none" w:sz="0" w:space="0" w:color="auto"/>
        <w:bottom w:val="none" w:sz="0" w:space="0" w:color="auto"/>
        <w:right w:val="none" w:sz="0" w:space="0" w:color="auto"/>
      </w:divBdr>
    </w:div>
    <w:div w:id="249392677">
      <w:bodyDiv w:val="1"/>
      <w:marLeft w:val="0"/>
      <w:marRight w:val="0"/>
      <w:marTop w:val="0"/>
      <w:marBottom w:val="0"/>
      <w:divBdr>
        <w:top w:val="none" w:sz="0" w:space="0" w:color="auto"/>
        <w:left w:val="none" w:sz="0" w:space="0" w:color="auto"/>
        <w:bottom w:val="none" w:sz="0" w:space="0" w:color="auto"/>
        <w:right w:val="none" w:sz="0" w:space="0" w:color="auto"/>
      </w:divBdr>
    </w:div>
    <w:div w:id="271281049">
      <w:bodyDiv w:val="1"/>
      <w:marLeft w:val="0"/>
      <w:marRight w:val="0"/>
      <w:marTop w:val="0"/>
      <w:marBottom w:val="0"/>
      <w:divBdr>
        <w:top w:val="none" w:sz="0" w:space="0" w:color="auto"/>
        <w:left w:val="none" w:sz="0" w:space="0" w:color="auto"/>
        <w:bottom w:val="none" w:sz="0" w:space="0" w:color="auto"/>
        <w:right w:val="none" w:sz="0" w:space="0" w:color="auto"/>
      </w:divBdr>
    </w:div>
    <w:div w:id="280302961">
      <w:bodyDiv w:val="1"/>
      <w:marLeft w:val="0"/>
      <w:marRight w:val="0"/>
      <w:marTop w:val="0"/>
      <w:marBottom w:val="0"/>
      <w:divBdr>
        <w:top w:val="none" w:sz="0" w:space="0" w:color="auto"/>
        <w:left w:val="none" w:sz="0" w:space="0" w:color="auto"/>
        <w:bottom w:val="none" w:sz="0" w:space="0" w:color="auto"/>
        <w:right w:val="none" w:sz="0" w:space="0" w:color="auto"/>
      </w:divBdr>
    </w:div>
    <w:div w:id="289437920">
      <w:bodyDiv w:val="1"/>
      <w:marLeft w:val="0"/>
      <w:marRight w:val="0"/>
      <w:marTop w:val="0"/>
      <w:marBottom w:val="0"/>
      <w:divBdr>
        <w:top w:val="none" w:sz="0" w:space="0" w:color="auto"/>
        <w:left w:val="none" w:sz="0" w:space="0" w:color="auto"/>
        <w:bottom w:val="none" w:sz="0" w:space="0" w:color="auto"/>
        <w:right w:val="none" w:sz="0" w:space="0" w:color="auto"/>
      </w:divBdr>
    </w:div>
    <w:div w:id="333383269">
      <w:bodyDiv w:val="1"/>
      <w:marLeft w:val="0"/>
      <w:marRight w:val="0"/>
      <w:marTop w:val="0"/>
      <w:marBottom w:val="0"/>
      <w:divBdr>
        <w:top w:val="none" w:sz="0" w:space="0" w:color="auto"/>
        <w:left w:val="none" w:sz="0" w:space="0" w:color="auto"/>
        <w:bottom w:val="none" w:sz="0" w:space="0" w:color="auto"/>
        <w:right w:val="none" w:sz="0" w:space="0" w:color="auto"/>
      </w:divBdr>
    </w:div>
    <w:div w:id="334113738">
      <w:bodyDiv w:val="1"/>
      <w:marLeft w:val="0"/>
      <w:marRight w:val="0"/>
      <w:marTop w:val="0"/>
      <w:marBottom w:val="0"/>
      <w:divBdr>
        <w:top w:val="none" w:sz="0" w:space="0" w:color="auto"/>
        <w:left w:val="none" w:sz="0" w:space="0" w:color="auto"/>
        <w:bottom w:val="none" w:sz="0" w:space="0" w:color="auto"/>
        <w:right w:val="none" w:sz="0" w:space="0" w:color="auto"/>
      </w:divBdr>
    </w:div>
    <w:div w:id="370347701">
      <w:bodyDiv w:val="1"/>
      <w:marLeft w:val="0"/>
      <w:marRight w:val="0"/>
      <w:marTop w:val="0"/>
      <w:marBottom w:val="0"/>
      <w:divBdr>
        <w:top w:val="none" w:sz="0" w:space="0" w:color="auto"/>
        <w:left w:val="none" w:sz="0" w:space="0" w:color="auto"/>
        <w:bottom w:val="none" w:sz="0" w:space="0" w:color="auto"/>
        <w:right w:val="none" w:sz="0" w:space="0" w:color="auto"/>
      </w:divBdr>
    </w:div>
    <w:div w:id="378943443">
      <w:bodyDiv w:val="1"/>
      <w:marLeft w:val="0"/>
      <w:marRight w:val="0"/>
      <w:marTop w:val="0"/>
      <w:marBottom w:val="0"/>
      <w:divBdr>
        <w:top w:val="none" w:sz="0" w:space="0" w:color="auto"/>
        <w:left w:val="none" w:sz="0" w:space="0" w:color="auto"/>
        <w:bottom w:val="none" w:sz="0" w:space="0" w:color="auto"/>
        <w:right w:val="none" w:sz="0" w:space="0" w:color="auto"/>
      </w:divBdr>
    </w:div>
    <w:div w:id="389234333">
      <w:bodyDiv w:val="1"/>
      <w:marLeft w:val="0"/>
      <w:marRight w:val="0"/>
      <w:marTop w:val="0"/>
      <w:marBottom w:val="0"/>
      <w:divBdr>
        <w:top w:val="none" w:sz="0" w:space="0" w:color="auto"/>
        <w:left w:val="none" w:sz="0" w:space="0" w:color="auto"/>
        <w:bottom w:val="none" w:sz="0" w:space="0" w:color="auto"/>
        <w:right w:val="none" w:sz="0" w:space="0" w:color="auto"/>
      </w:divBdr>
    </w:div>
    <w:div w:id="421069406">
      <w:bodyDiv w:val="1"/>
      <w:marLeft w:val="0"/>
      <w:marRight w:val="0"/>
      <w:marTop w:val="0"/>
      <w:marBottom w:val="0"/>
      <w:divBdr>
        <w:top w:val="none" w:sz="0" w:space="0" w:color="auto"/>
        <w:left w:val="none" w:sz="0" w:space="0" w:color="auto"/>
        <w:bottom w:val="none" w:sz="0" w:space="0" w:color="auto"/>
        <w:right w:val="none" w:sz="0" w:space="0" w:color="auto"/>
      </w:divBdr>
    </w:div>
    <w:div w:id="424301640">
      <w:bodyDiv w:val="1"/>
      <w:marLeft w:val="0"/>
      <w:marRight w:val="0"/>
      <w:marTop w:val="0"/>
      <w:marBottom w:val="0"/>
      <w:divBdr>
        <w:top w:val="none" w:sz="0" w:space="0" w:color="auto"/>
        <w:left w:val="none" w:sz="0" w:space="0" w:color="auto"/>
        <w:bottom w:val="none" w:sz="0" w:space="0" w:color="auto"/>
        <w:right w:val="none" w:sz="0" w:space="0" w:color="auto"/>
      </w:divBdr>
    </w:div>
    <w:div w:id="496656504">
      <w:bodyDiv w:val="1"/>
      <w:marLeft w:val="0"/>
      <w:marRight w:val="0"/>
      <w:marTop w:val="0"/>
      <w:marBottom w:val="0"/>
      <w:divBdr>
        <w:top w:val="none" w:sz="0" w:space="0" w:color="auto"/>
        <w:left w:val="none" w:sz="0" w:space="0" w:color="auto"/>
        <w:bottom w:val="none" w:sz="0" w:space="0" w:color="auto"/>
        <w:right w:val="none" w:sz="0" w:space="0" w:color="auto"/>
      </w:divBdr>
    </w:div>
    <w:div w:id="505172433">
      <w:bodyDiv w:val="1"/>
      <w:marLeft w:val="0"/>
      <w:marRight w:val="0"/>
      <w:marTop w:val="0"/>
      <w:marBottom w:val="0"/>
      <w:divBdr>
        <w:top w:val="none" w:sz="0" w:space="0" w:color="auto"/>
        <w:left w:val="none" w:sz="0" w:space="0" w:color="auto"/>
        <w:bottom w:val="none" w:sz="0" w:space="0" w:color="auto"/>
        <w:right w:val="none" w:sz="0" w:space="0" w:color="auto"/>
      </w:divBdr>
    </w:div>
    <w:div w:id="509609576">
      <w:bodyDiv w:val="1"/>
      <w:marLeft w:val="0"/>
      <w:marRight w:val="0"/>
      <w:marTop w:val="0"/>
      <w:marBottom w:val="0"/>
      <w:divBdr>
        <w:top w:val="none" w:sz="0" w:space="0" w:color="auto"/>
        <w:left w:val="none" w:sz="0" w:space="0" w:color="auto"/>
        <w:bottom w:val="none" w:sz="0" w:space="0" w:color="auto"/>
        <w:right w:val="none" w:sz="0" w:space="0" w:color="auto"/>
      </w:divBdr>
    </w:div>
    <w:div w:id="516164488">
      <w:bodyDiv w:val="1"/>
      <w:marLeft w:val="0"/>
      <w:marRight w:val="0"/>
      <w:marTop w:val="0"/>
      <w:marBottom w:val="0"/>
      <w:divBdr>
        <w:top w:val="none" w:sz="0" w:space="0" w:color="auto"/>
        <w:left w:val="none" w:sz="0" w:space="0" w:color="auto"/>
        <w:bottom w:val="none" w:sz="0" w:space="0" w:color="auto"/>
        <w:right w:val="none" w:sz="0" w:space="0" w:color="auto"/>
      </w:divBdr>
    </w:div>
    <w:div w:id="520974792">
      <w:bodyDiv w:val="1"/>
      <w:marLeft w:val="0"/>
      <w:marRight w:val="0"/>
      <w:marTop w:val="0"/>
      <w:marBottom w:val="0"/>
      <w:divBdr>
        <w:top w:val="none" w:sz="0" w:space="0" w:color="auto"/>
        <w:left w:val="none" w:sz="0" w:space="0" w:color="auto"/>
        <w:bottom w:val="none" w:sz="0" w:space="0" w:color="auto"/>
        <w:right w:val="none" w:sz="0" w:space="0" w:color="auto"/>
      </w:divBdr>
    </w:div>
    <w:div w:id="575095395">
      <w:bodyDiv w:val="1"/>
      <w:marLeft w:val="0"/>
      <w:marRight w:val="0"/>
      <w:marTop w:val="0"/>
      <w:marBottom w:val="0"/>
      <w:divBdr>
        <w:top w:val="none" w:sz="0" w:space="0" w:color="auto"/>
        <w:left w:val="none" w:sz="0" w:space="0" w:color="auto"/>
        <w:bottom w:val="none" w:sz="0" w:space="0" w:color="auto"/>
        <w:right w:val="none" w:sz="0" w:space="0" w:color="auto"/>
      </w:divBdr>
    </w:div>
    <w:div w:id="586772179">
      <w:bodyDiv w:val="1"/>
      <w:marLeft w:val="0"/>
      <w:marRight w:val="0"/>
      <w:marTop w:val="0"/>
      <w:marBottom w:val="0"/>
      <w:divBdr>
        <w:top w:val="none" w:sz="0" w:space="0" w:color="auto"/>
        <w:left w:val="none" w:sz="0" w:space="0" w:color="auto"/>
        <w:bottom w:val="none" w:sz="0" w:space="0" w:color="auto"/>
        <w:right w:val="none" w:sz="0" w:space="0" w:color="auto"/>
      </w:divBdr>
    </w:div>
    <w:div w:id="685332109">
      <w:bodyDiv w:val="1"/>
      <w:marLeft w:val="0"/>
      <w:marRight w:val="0"/>
      <w:marTop w:val="0"/>
      <w:marBottom w:val="0"/>
      <w:divBdr>
        <w:top w:val="none" w:sz="0" w:space="0" w:color="auto"/>
        <w:left w:val="none" w:sz="0" w:space="0" w:color="auto"/>
        <w:bottom w:val="none" w:sz="0" w:space="0" w:color="auto"/>
        <w:right w:val="none" w:sz="0" w:space="0" w:color="auto"/>
      </w:divBdr>
    </w:div>
    <w:div w:id="695929022">
      <w:bodyDiv w:val="1"/>
      <w:marLeft w:val="0"/>
      <w:marRight w:val="0"/>
      <w:marTop w:val="0"/>
      <w:marBottom w:val="0"/>
      <w:divBdr>
        <w:top w:val="none" w:sz="0" w:space="0" w:color="auto"/>
        <w:left w:val="none" w:sz="0" w:space="0" w:color="auto"/>
        <w:bottom w:val="none" w:sz="0" w:space="0" w:color="auto"/>
        <w:right w:val="none" w:sz="0" w:space="0" w:color="auto"/>
      </w:divBdr>
    </w:div>
    <w:div w:id="714963068">
      <w:bodyDiv w:val="1"/>
      <w:marLeft w:val="0"/>
      <w:marRight w:val="0"/>
      <w:marTop w:val="0"/>
      <w:marBottom w:val="0"/>
      <w:divBdr>
        <w:top w:val="none" w:sz="0" w:space="0" w:color="auto"/>
        <w:left w:val="none" w:sz="0" w:space="0" w:color="auto"/>
        <w:bottom w:val="none" w:sz="0" w:space="0" w:color="auto"/>
        <w:right w:val="none" w:sz="0" w:space="0" w:color="auto"/>
      </w:divBdr>
    </w:div>
    <w:div w:id="737746038">
      <w:bodyDiv w:val="1"/>
      <w:marLeft w:val="0"/>
      <w:marRight w:val="0"/>
      <w:marTop w:val="0"/>
      <w:marBottom w:val="0"/>
      <w:divBdr>
        <w:top w:val="none" w:sz="0" w:space="0" w:color="auto"/>
        <w:left w:val="none" w:sz="0" w:space="0" w:color="auto"/>
        <w:bottom w:val="none" w:sz="0" w:space="0" w:color="auto"/>
        <w:right w:val="none" w:sz="0" w:space="0" w:color="auto"/>
      </w:divBdr>
    </w:div>
    <w:div w:id="748699248">
      <w:bodyDiv w:val="1"/>
      <w:marLeft w:val="0"/>
      <w:marRight w:val="0"/>
      <w:marTop w:val="0"/>
      <w:marBottom w:val="0"/>
      <w:divBdr>
        <w:top w:val="none" w:sz="0" w:space="0" w:color="auto"/>
        <w:left w:val="none" w:sz="0" w:space="0" w:color="auto"/>
        <w:bottom w:val="none" w:sz="0" w:space="0" w:color="auto"/>
        <w:right w:val="none" w:sz="0" w:space="0" w:color="auto"/>
      </w:divBdr>
    </w:div>
    <w:div w:id="797114671">
      <w:bodyDiv w:val="1"/>
      <w:marLeft w:val="0"/>
      <w:marRight w:val="0"/>
      <w:marTop w:val="0"/>
      <w:marBottom w:val="0"/>
      <w:divBdr>
        <w:top w:val="none" w:sz="0" w:space="0" w:color="auto"/>
        <w:left w:val="none" w:sz="0" w:space="0" w:color="auto"/>
        <w:bottom w:val="none" w:sz="0" w:space="0" w:color="auto"/>
        <w:right w:val="none" w:sz="0" w:space="0" w:color="auto"/>
      </w:divBdr>
    </w:div>
    <w:div w:id="807087750">
      <w:bodyDiv w:val="1"/>
      <w:marLeft w:val="0"/>
      <w:marRight w:val="0"/>
      <w:marTop w:val="0"/>
      <w:marBottom w:val="0"/>
      <w:divBdr>
        <w:top w:val="none" w:sz="0" w:space="0" w:color="auto"/>
        <w:left w:val="none" w:sz="0" w:space="0" w:color="auto"/>
        <w:bottom w:val="none" w:sz="0" w:space="0" w:color="auto"/>
        <w:right w:val="none" w:sz="0" w:space="0" w:color="auto"/>
      </w:divBdr>
    </w:div>
    <w:div w:id="844827342">
      <w:bodyDiv w:val="1"/>
      <w:marLeft w:val="0"/>
      <w:marRight w:val="0"/>
      <w:marTop w:val="0"/>
      <w:marBottom w:val="0"/>
      <w:divBdr>
        <w:top w:val="none" w:sz="0" w:space="0" w:color="auto"/>
        <w:left w:val="none" w:sz="0" w:space="0" w:color="auto"/>
        <w:bottom w:val="none" w:sz="0" w:space="0" w:color="auto"/>
        <w:right w:val="none" w:sz="0" w:space="0" w:color="auto"/>
      </w:divBdr>
    </w:div>
    <w:div w:id="863977824">
      <w:bodyDiv w:val="1"/>
      <w:marLeft w:val="0"/>
      <w:marRight w:val="0"/>
      <w:marTop w:val="0"/>
      <w:marBottom w:val="0"/>
      <w:divBdr>
        <w:top w:val="none" w:sz="0" w:space="0" w:color="auto"/>
        <w:left w:val="none" w:sz="0" w:space="0" w:color="auto"/>
        <w:bottom w:val="none" w:sz="0" w:space="0" w:color="auto"/>
        <w:right w:val="none" w:sz="0" w:space="0" w:color="auto"/>
      </w:divBdr>
    </w:div>
    <w:div w:id="865363293">
      <w:bodyDiv w:val="1"/>
      <w:marLeft w:val="0"/>
      <w:marRight w:val="0"/>
      <w:marTop w:val="0"/>
      <w:marBottom w:val="0"/>
      <w:divBdr>
        <w:top w:val="none" w:sz="0" w:space="0" w:color="auto"/>
        <w:left w:val="none" w:sz="0" w:space="0" w:color="auto"/>
        <w:bottom w:val="none" w:sz="0" w:space="0" w:color="auto"/>
        <w:right w:val="none" w:sz="0" w:space="0" w:color="auto"/>
      </w:divBdr>
    </w:div>
    <w:div w:id="888224129">
      <w:bodyDiv w:val="1"/>
      <w:marLeft w:val="0"/>
      <w:marRight w:val="0"/>
      <w:marTop w:val="0"/>
      <w:marBottom w:val="0"/>
      <w:divBdr>
        <w:top w:val="none" w:sz="0" w:space="0" w:color="auto"/>
        <w:left w:val="none" w:sz="0" w:space="0" w:color="auto"/>
        <w:bottom w:val="none" w:sz="0" w:space="0" w:color="auto"/>
        <w:right w:val="none" w:sz="0" w:space="0" w:color="auto"/>
      </w:divBdr>
    </w:div>
    <w:div w:id="895551856">
      <w:bodyDiv w:val="1"/>
      <w:marLeft w:val="0"/>
      <w:marRight w:val="0"/>
      <w:marTop w:val="0"/>
      <w:marBottom w:val="0"/>
      <w:divBdr>
        <w:top w:val="none" w:sz="0" w:space="0" w:color="auto"/>
        <w:left w:val="none" w:sz="0" w:space="0" w:color="auto"/>
        <w:bottom w:val="none" w:sz="0" w:space="0" w:color="auto"/>
        <w:right w:val="none" w:sz="0" w:space="0" w:color="auto"/>
      </w:divBdr>
    </w:div>
    <w:div w:id="897864535">
      <w:bodyDiv w:val="1"/>
      <w:marLeft w:val="0"/>
      <w:marRight w:val="0"/>
      <w:marTop w:val="0"/>
      <w:marBottom w:val="0"/>
      <w:divBdr>
        <w:top w:val="none" w:sz="0" w:space="0" w:color="auto"/>
        <w:left w:val="none" w:sz="0" w:space="0" w:color="auto"/>
        <w:bottom w:val="none" w:sz="0" w:space="0" w:color="auto"/>
        <w:right w:val="none" w:sz="0" w:space="0" w:color="auto"/>
      </w:divBdr>
    </w:div>
    <w:div w:id="903636391">
      <w:bodyDiv w:val="1"/>
      <w:marLeft w:val="0"/>
      <w:marRight w:val="0"/>
      <w:marTop w:val="0"/>
      <w:marBottom w:val="0"/>
      <w:divBdr>
        <w:top w:val="none" w:sz="0" w:space="0" w:color="auto"/>
        <w:left w:val="none" w:sz="0" w:space="0" w:color="auto"/>
        <w:bottom w:val="none" w:sz="0" w:space="0" w:color="auto"/>
        <w:right w:val="none" w:sz="0" w:space="0" w:color="auto"/>
      </w:divBdr>
    </w:div>
    <w:div w:id="915242483">
      <w:bodyDiv w:val="1"/>
      <w:marLeft w:val="0"/>
      <w:marRight w:val="0"/>
      <w:marTop w:val="0"/>
      <w:marBottom w:val="0"/>
      <w:divBdr>
        <w:top w:val="none" w:sz="0" w:space="0" w:color="auto"/>
        <w:left w:val="none" w:sz="0" w:space="0" w:color="auto"/>
        <w:bottom w:val="none" w:sz="0" w:space="0" w:color="auto"/>
        <w:right w:val="none" w:sz="0" w:space="0" w:color="auto"/>
      </w:divBdr>
    </w:div>
    <w:div w:id="921109680">
      <w:bodyDiv w:val="1"/>
      <w:marLeft w:val="0"/>
      <w:marRight w:val="0"/>
      <w:marTop w:val="0"/>
      <w:marBottom w:val="0"/>
      <w:divBdr>
        <w:top w:val="none" w:sz="0" w:space="0" w:color="auto"/>
        <w:left w:val="none" w:sz="0" w:space="0" w:color="auto"/>
        <w:bottom w:val="none" w:sz="0" w:space="0" w:color="auto"/>
        <w:right w:val="none" w:sz="0" w:space="0" w:color="auto"/>
      </w:divBdr>
    </w:div>
    <w:div w:id="957486824">
      <w:bodyDiv w:val="1"/>
      <w:marLeft w:val="0"/>
      <w:marRight w:val="0"/>
      <w:marTop w:val="0"/>
      <w:marBottom w:val="0"/>
      <w:divBdr>
        <w:top w:val="none" w:sz="0" w:space="0" w:color="auto"/>
        <w:left w:val="none" w:sz="0" w:space="0" w:color="auto"/>
        <w:bottom w:val="none" w:sz="0" w:space="0" w:color="auto"/>
        <w:right w:val="none" w:sz="0" w:space="0" w:color="auto"/>
      </w:divBdr>
    </w:div>
    <w:div w:id="996147366">
      <w:bodyDiv w:val="1"/>
      <w:marLeft w:val="0"/>
      <w:marRight w:val="0"/>
      <w:marTop w:val="0"/>
      <w:marBottom w:val="0"/>
      <w:divBdr>
        <w:top w:val="none" w:sz="0" w:space="0" w:color="auto"/>
        <w:left w:val="none" w:sz="0" w:space="0" w:color="auto"/>
        <w:bottom w:val="none" w:sz="0" w:space="0" w:color="auto"/>
        <w:right w:val="none" w:sz="0" w:space="0" w:color="auto"/>
      </w:divBdr>
    </w:div>
    <w:div w:id="1070425865">
      <w:bodyDiv w:val="1"/>
      <w:marLeft w:val="0"/>
      <w:marRight w:val="0"/>
      <w:marTop w:val="0"/>
      <w:marBottom w:val="0"/>
      <w:divBdr>
        <w:top w:val="none" w:sz="0" w:space="0" w:color="auto"/>
        <w:left w:val="none" w:sz="0" w:space="0" w:color="auto"/>
        <w:bottom w:val="none" w:sz="0" w:space="0" w:color="auto"/>
        <w:right w:val="none" w:sz="0" w:space="0" w:color="auto"/>
      </w:divBdr>
    </w:div>
    <w:div w:id="1086421048">
      <w:bodyDiv w:val="1"/>
      <w:marLeft w:val="0"/>
      <w:marRight w:val="0"/>
      <w:marTop w:val="0"/>
      <w:marBottom w:val="0"/>
      <w:divBdr>
        <w:top w:val="none" w:sz="0" w:space="0" w:color="auto"/>
        <w:left w:val="none" w:sz="0" w:space="0" w:color="auto"/>
        <w:bottom w:val="none" w:sz="0" w:space="0" w:color="auto"/>
        <w:right w:val="none" w:sz="0" w:space="0" w:color="auto"/>
      </w:divBdr>
    </w:div>
    <w:div w:id="1091854787">
      <w:bodyDiv w:val="1"/>
      <w:marLeft w:val="0"/>
      <w:marRight w:val="0"/>
      <w:marTop w:val="0"/>
      <w:marBottom w:val="0"/>
      <w:divBdr>
        <w:top w:val="none" w:sz="0" w:space="0" w:color="auto"/>
        <w:left w:val="none" w:sz="0" w:space="0" w:color="auto"/>
        <w:bottom w:val="none" w:sz="0" w:space="0" w:color="auto"/>
        <w:right w:val="none" w:sz="0" w:space="0" w:color="auto"/>
      </w:divBdr>
    </w:div>
    <w:div w:id="1127940402">
      <w:bodyDiv w:val="1"/>
      <w:marLeft w:val="0"/>
      <w:marRight w:val="0"/>
      <w:marTop w:val="0"/>
      <w:marBottom w:val="0"/>
      <w:divBdr>
        <w:top w:val="none" w:sz="0" w:space="0" w:color="auto"/>
        <w:left w:val="none" w:sz="0" w:space="0" w:color="auto"/>
        <w:bottom w:val="none" w:sz="0" w:space="0" w:color="auto"/>
        <w:right w:val="none" w:sz="0" w:space="0" w:color="auto"/>
      </w:divBdr>
    </w:div>
    <w:div w:id="1182934993">
      <w:bodyDiv w:val="1"/>
      <w:marLeft w:val="0"/>
      <w:marRight w:val="0"/>
      <w:marTop w:val="0"/>
      <w:marBottom w:val="0"/>
      <w:divBdr>
        <w:top w:val="none" w:sz="0" w:space="0" w:color="auto"/>
        <w:left w:val="none" w:sz="0" w:space="0" w:color="auto"/>
        <w:bottom w:val="none" w:sz="0" w:space="0" w:color="auto"/>
        <w:right w:val="none" w:sz="0" w:space="0" w:color="auto"/>
      </w:divBdr>
      <w:divsChild>
        <w:div w:id="375664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052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060215">
      <w:bodyDiv w:val="1"/>
      <w:marLeft w:val="0"/>
      <w:marRight w:val="0"/>
      <w:marTop w:val="0"/>
      <w:marBottom w:val="0"/>
      <w:divBdr>
        <w:top w:val="none" w:sz="0" w:space="0" w:color="auto"/>
        <w:left w:val="none" w:sz="0" w:space="0" w:color="auto"/>
        <w:bottom w:val="none" w:sz="0" w:space="0" w:color="auto"/>
        <w:right w:val="none" w:sz="0" w:space="0" w:color="auto"/>
      </w:divBdr>
    </w:div>
    <w:div w:id="1268809108">
      <w:bodyDiv w:val="1"/>
      <w:marLeft w:val="0"/>
      <w:marRight w:val="0"/>
      <w:marTop w:val="0"/>
      <w:marBottom w:val="0"/>
      <w:divBdr>
        <w:top w:val="none" w:sz="0" w:space="0" w:color="auto"/>
        <w:left w:val="none" w:sz="0" w:space="0" w:color="auto"/>
        <w:bottom w:val="none" w:sz="0" w:space="0" w:color="auto"/>
        <w:right w:val="none" w:sz="0" w:space="0" w:color="auto"/>
      </w:divBdr>
    </w:div>
    <w:div w:id="1273779807">
      <w:bodyDiv w:val="1"/>
      <w:marLeft w:val="0"/>
      <w:marRight w:val="0"/>
      <w:marTop w:val="0"/>
      <w:marBottom w:val="0"/>
      <w:divBdr>
        <w:top w:val="none" w:sz="0" w:space="0" w:color="auto"/>
        <w:left w:val="none" w:sz="0" w:space="0" w:color="auto"/>
        <w:bottom w:val="none" w:sz="0" w:space="0" w:color="auto"/>
        <w:right w:val="none" w:sz="0" w:space="0" w:color="auto"/>
      </w:divBdr>
    </w:div>
    <w:div w:id="1287278202">
      <w:bodyDiv w:val="1"/>
      <w:marLeft w:val="0"/>
      <w:marRight w:val="0"/>
      <w:marTop w:val="0"/>
      <w:marBottom w:val="0"/>
      <w:divBdr>
        <w:top w:val="none" w:sz="0" w:space="0" w:color="auto"/>
        <w:left w:val="none" w:sz="0" w:space="0" w:color="auto"/>
        <w:bottom w:val="none" w:sz="0" w:space="0" w:color="auto"/>
        <w:right w:val="none" w:sz="0" w:space="0" w:color="auto"/>
      </w:divBdr>
    </w:div>
    <w:div w:id="1375351625">
      <w:bodyDiv w:val="1"/>
      <w:marLeft w:val="0"/>
      <w:marRight w:val="0"/>
      <w:marTop w:val="0"/>
      <w:marBottom w:val="0"/>
      <w:divBdr>
        <w:top w:val="none" w:sz="0" w:space="0" w:color="auto"/>
        <w:left w:val="none" w:sz="0" w:space="0" w:color="auto"/>
        <w:bottom w:val="none" w:sz="0" w:space="0" w:color="auto"/>
        <w:right w:val="none" w:sz="0" w:space="0" w:color="auto"/>
      </w:divBdr>
    </w:div>
    <w:div w:id="1401126349">
      <w:bodyDiv w:val="1"/>
      <w:marLeft w:val="0"/>
      <w:marRight w:val="0"/>
      <w:marTop w:val="0"/>
      <w:marBottom w:val="0"/>
      <w:divBdr>
        <w:top w:val="none" w:sz="0" w:space="0" w:color="auto"/>
        <w:left w:val="none" w:sz="0" w:space="0" w:color="auto"/>
        <w:bottom w:val="none" w:sz="0" w:space="0" w:color="auto"/>
        <w:right w:val="none" w:sz="0" w:space="0" w:color="auto"/>
      </w:divBdr>
    </w:div>
    <w:div w:id="1438022114">
      <w:bodyDiv w:val="1"/>
      <w:marLeft w:val="0"/>
      <w:marRight w:val="0"/>
      <w:marTop w:val="0"/>
      <w:marBottom w:val="0"/>
      <w:divBdr>
        <w:top w:val="none" w:sz="0" w:space="0" w:color="auto"/>
        <w:left w:val="none" w:sz="0" w:space="0" w:color="auto"/>
        <w:bottom w:val="none" w:sz="0" w:space="0" w:color="auto"/>
        <w:right w:val="none" w:sz="0" w:space="0" w:color="auto"/>
      </w:divBdr>
    </w:div>
    <w:div w:id="1441949563">
      <w:bodyDiv w:val="1"/>
      <w:marLeft w:val="0"/>
      <w:marRight w:val="0"/>
      <w:marTop w:val="0"/>
      <w:marBottom w:val="0"/>
      <w:divBdr>
        <w:top w:val="none" w:sz="0" w:space="0" w:color="auto"/>
        <w:left w:val="none" w:sz="0" w:space="0" w:color="auto"/>
        <w:bottom w:val="none" w:sz="0" w:space="0" w:color="auto"/>
        <w:right w:val="none" w:sz="0" w:space="0" w:color="auto"/>
      </w:divBdr>
    </w:div>
    <w:div w:id="1514958123">
      <w:bodyDiv w:val="1"/>
      <w:marLeft w:val="0"/>
      <w:marRight w:val="0"/>
      <w:marTop w:val="0"/>
      <w:marBottom w:val="0"/>
      <w:divBdr>
        <w:top w:val="none" w:sz="0" w:space="0" w:color="auto"/>
        <w:left w:val="none" w:sz="0" w:space="0" w:color="auto"/>
        <w:bottom w:val="none" w:sz="0" w:space="0" w:color="auto"/>
        <w:right w:val="none" w:sz="0" w:space="0" w:color="auto"/>
      </w:divBdr>
    </w:div>
    <w:div w:id="1527251020">
      <w:bodyDiv w:val="1"/>
      <w:marLeft w:val="0"/>
      <w:marRight w:val="0"/>
      <w:marTop w:val="0"/>
      <w:marBottom w:val="0"/>
      <w:divBdr>
        <w:top w:val="none" w:sz="0" w:space="0" w:color="auto"/>
        <w:left w:val="none" w:sz="0" w:space="0" w:color="auto"/>
        <w:bottom w:val="none" w:sz="0" w:space="0" w:color="auto"/>
        <w:right w:val="none" w:sz="0" w:space="0" w:color="auto"/>
      </w:divBdr>
    </w:div>
    <w:div w:id="1637174222">
      <w:bodyDiv w:val="1"/>
      <w:marLeft w:val="0"/>
      <w:marRight w:val="0"/>
      <w:marTop w:val="0"/>
      <w:marBottom w:val="0"/>
      <w:divBdr>
        <w:top w:val="none" w:sz="0" w:space="0" w:color="auto"/>
        <w:left w:val="none" w:sz="0" w:space="0" w:color="auto"/>
        <w:bottom w:val="none" w:sz="0" w:space="0" w:color="auto"/>
        <w:right w:val="none" w:sz="0" w:space="0" w:color="auto"/>
      </w:divBdr>
    </w:div>
    <w:div w:id="1702828034">
      <w:bodyDiv w:val="1"/>
      <w:marLeft w:val="0"/>
      <w:marRight w:val="0"/>
      <w:marTop w:val="0"/>
      <w:marBottom w:val="0"/>
      <w:divBdr>
        <w:top w:val="none" w:sz="0" w:space="0" w:color="auto"/>
        <w:left w:val="none" w:sz="0" w:space="0" w:color="auto"/>
        <w:bottom w:val="none" w:sz="0" w:space="0" w:color="auto"/>
        <w:right w:val="none" w:sz="0" w:space="0" w:color="auto"/>
      </w:divBdr>
    </w:div>
    <w:div w:id="1778477315">
      <w:bodyDiv w:val="1"/>
      <w:marLeft w:val="0"/>
      <w:marRight w:val="0"/>
      <w:marTop w:val="0"/>
      <w:marBottom w:val="0"/>
      <w:divBdr>
        <w:top w:val="none" w:sz="0" w:space="0" w:color="auto"/>
        <w:left w:val="none" w:sz="0" w:space="0" w:color="auto"/>
        <w:bottom w:val="none" w:sz="0" w:space="0" w:color="auto"/>
        <w:right w:val="none" w:sz="0" w:space="0" w:color="auto"/>
      </w:divBdr>
    </w:div>
    <w:div w:id="1878008442">
      <w:bodyDiv w:val="1"/>
      <w:marLeft w:val="0"/>
      <w:marRight w:val="0"/>
      <w:marTop w:val="0"/>
      <w:marBottom w:val="0"/>
      <w:divBdr>
        <w:top w:val="none" w:sz="0" w:space="0" w:color="auto"/>
        <w:left w:val="none" w:sz="0" w:space="0" w:color="auto"/>
        <w:bottom w:val="none" w:sz="0" w:space="0" w:color="auto"/>
        <w:right w:val="none" w:sz="0" w:space="0" w:color="auto"/>
      </w:divBdr>
    </w:div>
    <w:div w:id="1881473459">
      <w:bodyDiv w:val="1"/>
      <w:marLeft w:val="0"/>
      <w:marRight w:val="0"/>
      <w:marTop w:val="0"/>
      <w:marBottom w:val="0"/>
      <w:divBdr>
        <w:top w:val="none" w:sz="0" w:space="0" w:color="auto"/>
        <w:left w:val="none" w:sz="0" w:space="0" w:color="auto"/>
        <w:bottom w:val="none" w:sz="0" w:space="0" w:color="auto"/>
        <w:right w:val="none" w:sz="0" w:space="0" w:color="auto"/>
      </w:divBdr>
    </w:div>
    <w:div w:id="1883248633">
      <w:bodyDiv w:val="1"/>
      <w:marLeft w:val="0"/>
      <w:marRight w:val="0"/>
      <w:marTop w:val="0"/>
      <w:marBottom w:val="0"/>
      <w:divBdr>
        <w:top w:val="none" w:sz="0" w:space="0" w:color="auto"/>
        <w:left w:val="none" w:sz="0" w:space="0" w:color="auto"/>
        <w:bottom w:val="none" w:sz="0" w:space="0" w:color="auto"/>
        <w:right w:val="none" w:sz="0" w:space="0" w:color="auto"/>
      </w:divBdr>
    </w:div>
    <w:div w:id="1902253404">
      <w:bodyDiv w:val="1"/>
      <w:marLeft w:val="0"/>
      <w:marRight w:val="0"/>
      <w:marTop w:val="0"/>
      <w:marBottom w:val="0"/>
      <w:divBdr>
        <w:top w:val="none" w:sz="0" w:space="0" w:color="auto"/>
        <w:left w:val="none" w:sz="0" w:space="0" w:color="auto"/>
        <w:bottom w:val="none" w:sz="0" w:space="0" w:color="auto"/>
        <w:right w:val="none" w:sz="0" w:space="0" w:color="auto"/>
      </w:divBdr>
    </w:div>
    <w:div w:id="1922637674">
      <w:bodyDiv w:val="1"/>
      <w:marLeft w:val="0"/>
      <w:marRight w:val="0"/>
      <w:marTop w:val="0"/>
      <w:marBottom w:val="0"/>
      <w:divBdr>
        <w:top w:val="none" w:sz="0" w:space="0" w:color="auto"/>
        <w:left w:val="none" w:sz="0" w:space="0" w:color="auto"/>
        <w:bottom w:val="none" w:sz="0" w:space="0" w:color="auto"/>
        <w:right w:val="none" w:sz="0" w:space="0" w:color="auto"/>
      </w:divBdr>
    </w:div>
    <w:div w:id="1951428481">
      <w:bodyDiv w:val="1"/>
      <w:marLeft w:val="0"/>
      <w:marRight w:val="0"/>
      <w:marTop w:val="0"/>
      <w:marBottom w:val="0"/>
      <w:divBdr>
        <w:top w:val="none" w:sz="0" w:space="0" w:color="auto"/>
        <w:left w:val="none" w:sz="0" w:space="0" w:color="auto"/>
        <w:bottom w:val="none" w:sz="0" w:space="0" w:color="auto"/>
        <w:right w:val="none" w:sz="0" w:space="0" w:color="auto"/>
      </w:divBdr>
    </w:div>
    <w:div w:id="1993412624">
      <w:bodyDiv w:val="1"/>
      <w:marLeft w:val="0"/>
      <w:marRight w:val="0"/>
      <w:marTop w:val="0"/>
      <w:marBottom w:val="0"/>
      <w:divBdr>
        <w:top w:val="none" w:sz="0" w:space="0" w:color="auto"/>
        <w:left w:val="none" w:sz="0" w:space="0" w:color="auto"/>
        <w:bottom w:val="none" w:sz="0" w:space="0" w:color="auto"/>
        <w:right w:val="none" w:sz="0" w:space="0" w:color="auto"/>
      </w:divBdr>
    </w:div>
    <w:div w:id="1996102938">
      <w:bodyDiv w:val="1"/>
      <w:marLeft w:val="0"/>
      <w:marRight w:val="0"/>
      <w:marTop w:val="0"/>
      <w:marBottom w:val="0"/>
      <w:divBdr>
        <w:top w:val="none" w:sz="0" w:space="0" w:color="auto"/>
        <w:left w:val="none" w:sz="0" w:space="0" w:color="auto"/>
        <w:bottom w:val="none" w:sz="0" w:space="0" w:color="auto"/>
        <w:right w:val="none" w:sz="0" w:space="0" w:color="auto"/>
      </w:divBdr>
    </w:div>
    <w:div w:id="2001495536">
      <w:bodyDiv w:val="1"/>
      <w:marLeft w:val="0"/>
      <w:marRight w:val="0"/>
      <w:marTop w:val="0"/>
      <w:marBottom w:val="0"/>
      <w:divBdr>
        <w:top w:val="none" w:sz="0" w:space="0" w:color="auto"/>
        <w:left w:val="none" w:sz="0" w:space="0" w:color="auto"/>
        <w:bottom w:val="none" w:sz="0" w:space="0" w:color="auto"/>
        <w:right w:val="none" w:sz="0" w:space="0" w:color="auto"/>
      </w:divBdr>
    </w:div>
    <w:div w:id="2001882328">
      <w:bodyDiv w:val="1"/>
      <w:marLeft w:val="0"/>
      <w:marRight w:val="0"/>
      <w:marTop w:val="0"/>
      <w:marBottom w:val="0"/>
      <w:divBdr>
        <w:top w:val="none" w:sz="0" w:space="0" w:color="auto"/>
        <w:left w:val="none" w:sz="0" w:space="0" w:color="auto"/>
        <w:bottom w:val="none" w:sz="0" w:space="0" w:color="auto"/>
        <w:right w:val="none" w:sz="0" w:space="0" w:color="auto"/>
      </w:divBdr>
    </w:div>
    <w:div w:id="2036887366">
      <w:bodyDiv w:val="1"/>
      <w:marLeft w:val="0"/>
      <w:marRight w:val="0"/>
      <w:marTop w:val="0"/>
      <w:marBottom w:val="0"/>
      <w:divBdr>
        <w:top w:val="none" w:sz="0" w:space="0" w:color="auto"/>
        <w:left w:val="none" w:sz="0" w:space="0" w:color="auto"/>
        <w:bottom w:val="none" w:sz="0" w:space="0" w:color="auto"/>
        <w:right w:val="none" w:sz="0" w:space="0" w:color="auto"/>
      </w:divBdr>
    </w:div>
    <w:div w:id="2051684761">
      <w:bodyDiv w:val="1"/>
      <w:marLeft w:val="0"/>
      <w:marRight w:val="0"/>
      <w:marTop w:val="0"/>
      <w:marBottom w:val="0"/>
      <w:divBdr>
        <w:top w:val="none" w:sz="0" w:space="0" w:color="auto"/>
        <w:left w:val="none" w:sz="0" w:space="0" w:color="auto"/>
        <w:bottom w:val="none" w:sz="0" w:space="0" w:color="auto"/>
        <w:right w:val="none" w:sz="0" w:space="0" w:color="auto"/>
      </w:divBdr>
    </w:div>
    <w:div w:id="2092770924">
      <w:bodyDiv w:val="1"/>
      <w:marLeft w:val="0"/>
      <w:marRight w:val="0"/>
      <w:marTop w:val="0"/>
      <w:marBottom w:val="0"/>
      <w:divBdr>
        <w:top w:val="none" w:sz="0" w:space="0" w:color="auto"/>
        <w:left w:val="none" w:sz="0" w:space="0" w:color="auto"/>
        <w:bottom w:val="none" w:sz="0" w:space="0" w:color="auto"/>
        <w:right w:val="none" w:sz="0" w:space="0" w:color="auto"/>
      </w:divBdr>
    </w:div>
    <w:div w:id="2107730745">
      <w:bodyDiv w:val="1"/>
      <w:marLeft w:val="0"/>
      <w:marRight w:val="0"/>
      <w:marTop w:val="0"/>
      <w:marBottom w:val="0"/>
      <w:divBdr>
        <w:top w:val="none" w:sz="0" w:space="0" w:color="auto"/>
        <w:left w:val="none" w:sz="0" w:space="0" w:color="auto"/>
        <w:bottom w:val="none" w:sz="0" w:space="0" w:color="auto"/>
        <w:right w:val="none" w:sz="0" w:space="0" w:color="auto"/>
      </w:divBdr>
    </w:div>
    <w:div w:id="2120754009">
      <w:bodyDiv w:val="1"/>
      <w:marLeft w:val="0"/>
      <w:marRight w:val="0"/>
      <w:marTop w:val="0"/>
      <w:marBottom w:val="0"/>
      <w:divBdr>
        <w:top w:val="none" w:sz="0" w:space="0" w:color="auto"/>
        <w:left w:val="none" w:sz="0" w:space="0" w:color="auto"/>
        <w:bottom w:val="none" w:sz="0" w:space="0" w:color="auto"/>
        <w:right w:val="none" w:sz="0" w:space="0" w:color="auto"/>
      </w:divBdr>
      <w:divsChild>
        <w:div w:id="281107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12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128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ynMrJustice\AppData\Roaming\Judgment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35C3184EBAA64DADA3644A2891BD9D" ma:contentTypeVersion="18" ma:contentTypeDescription="Create a new document." ma:contentTypeScope="" ma:versionID="e8e0c4620245ed13e9e5236844696ffa">
  <xsd:schema xmlns:xsd="http://www.w3.org/2001/XMLSchema" xmlns:xs="http://www.w3.org/2001/XMLSchema" xmlns:p="http://schemas.microsoft.com/office/2006/metadata/properties" xmlns:ns1="http://schemas.microsoft.com/sharepoint/v3" xmlns:ns3="5b756425-0877-4487-a047-83f9c2760c3f" xmlns:ns4="17da0648-6199-4a08-bc3a-06164c0922de" targetNamespace="http://schemas.microsoft.com/office/2006/metadata/properties" ma:root="true" ma:fieldsID="0303a7618a7ac31337b631b0b27e794a" ns1:_="" ns3:_="" ns4:_="">
    <xsd:import namespace="http://schemas.microsoft.com/sharepoint/v3"/>
    <xsd:import namespace="5b756425-0877-4487-a047-83f9c2760c3f"/>
    <xsd:import namespace="17da0648-6199-4a08-bc3a-06164c0922d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56425-0877-4487-a047-83f9c2760c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7da0648-6199-4a08-bc3a-06164c0922d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E45E08A-A648-485B-A4D4-EBF2E9C89A07}">
  <ds:schemaRefs>
    <ds:schemaRef ds:uri="http://schemas.openxmlformats.org/officeDocument/2006/bibliography"/>
  </ds:schemaRefs>
</ds:datastoreItem>
</file>

<file path=customXml/itemProps2.xml><?xml version="1.0" encoding="utf-8"?>
<ds:datastoreItem xmlns:ds="http://schemas.openxmlformats.org/officeDocument/2006/customXml" ds:itemID="{540542C5-0210-49BD-9806-86EEE4B5B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756425-0877-4487-a047-83f9c2760c3f"/>
    <ds:schemaRef ds:uri="17da0648-6199-4a08-bc3a-06164c092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029C53-E911-466D-BB43-1749141A6C7F}">
  <ds:schemaRefs>
    <ds:schemaRef ds:uri="http://schemas.microsoft.com/sharepoint/v3/contenttype/forms"/>
  </ds:schemaRefs>
</ds:datastoreItem>
</file>

<file path=customXml/itemProps4.xml><?xml version="1.0" encoding="utf-8"?>
<ds:datastoreItem xmlns:ds="http://schemas.openxmlformats.org/officeDocument/2006/customXml" ds:itemID="{2303A72C-833B-470A-B206-0557081B71F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hc_judg2k</Template>
  <TotalTime>1</TotalTime>
  <Pages>8</Pages>
  <Words>7551</Words>
  <Characters>43043</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50494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Mr Justice Mostyn</dc:creator>
  <cp:keywords/>
  <dc:description/>
  <cp:lastModifiedBy>Stokes, Lucinda (LNG-HBE)</cp:lastModifiedBy>
  <cp:revision>2</cp:revision>
  <cp:lastPrinted>2003-02-01T12:12:00Z</cp:lastPrinted>
  <dcterms:created xsi:type="dcterms:W3CDTF">2022-07-07T11:13:00Z</dcterms:created>
  <dcterms:modified xsi:type="dcterms:W3CDTF">2022-07-07T11:13:00Z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StA</vt:lpwstr>
  </property>
  <property fmtid="{D5CDD505-2E9C-101B-9397-08002B2CF9AE}" pid="7" name="NCDiv">
    <vt:lpwstr>Fam</vt:lpwstr>
  </property>
  <property fmtid="{D5CDD505-2E9C-101B-9397-08002B2CF9AE}" pid="8" name="NCCaseTitle">
    <vt:lpwstr>Gallagher v Gallagher</vt:lpwstr>
  </property>
  <property fmtid="{D5CDD505-2E9C-101B-9397-08002B2CF9AE}" pid="9" name="NCJudge">
    <vt:lpwstr>MR JUSTICE MOSTYN</vt:lpwstr>
  </property>
  <property fmtid="{D5CDD505-2E9C-101B-9397-08002B2CF9AE}" pid="10" name="ContentTypeId">
    <vt:lpwstr>0x0101003935C3184EBAA64DADA3644A2891BD9D</vt:lpwstr>
  </property>
</Properties>
</file>