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831573" w:rsidRDefault="00014566" w:rsidP="00831573">
      <w:pPr>
        <w:jc w:val="center"/>
        <w:rPr>
          <w:lang w:val="en-GB"/>
        </w:rPr>
      </w:pPr>
      <w:bookmarkStart w:id="0" w:name="_GoBack"/>
      <w:bookmarkEnd w:id="0"/>
    </w:p>
    <w:p w:rsidR="00F87D13" w:rsidRPr="00831573" w:rsidRDefault="00F87D13" w:rsidP="00831573">
      <w:pPr>
        <w:jc w:val="center"/>
        <w:rPr>
          <w:lang w:val="en-GB"/>
        </w:rPr>
      </w:pPr>
    </w:p>
    <w:p w:rsidR="00F87D13" w:rsidRPr="00831573" w:rsidRDefault="00F87D13" w:rsidP="00831573">
      <w:pPr>
        <w:jc w:val="center"/>
        <w:rPr>
          <w:lang w:val="en-GB"/>
        </w:rPr>
      </w:pPr>
    </w:p>
    <w:p w:rsidR="00014566" w:rsidRPr="00831573" w:rsidRDefault="00330BD6" w:rsidP="00831573">
      <w:pPr>
        <w:jc w:val="center"/>
        <w:rPr>
          <w:lang w:val="en-GB"/>
        </w:rPr>
      </w:pPr>
      <w:r w:rsidRPr="00831573">
        <w:rPr>
          <w:lang w:val="en-GB"/>
        </w:rPr>
        <w:t xml:space="preserve">FIRST </w:t>
      </w:r>
      <w:r w:rsidR="00316838" w:rsidRPr="00831573">
        <w:rPr>
          <w:lang w:val="en-GB"/>
        </w:rPr>
        <w:t>SECTION</w:t>
      </w:r>
    </w:p>
    <w:p w:rsidR="00014566" w:rsidRPr="00831573" w:rsidRDefault="00014566"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p>
    <w:p w:rsidR="00014566" w:rsidRPr="00831573" w:rsidRDefault="00014566" w:rsidP="00831573">
      <w:pPr>
        <w:jc w:val="center"/>
        <w:rPr>
          <w:b/>
          <w:lang w:val="en-GB"/>
        </w:rPr>
      </w:pPr>
      <w:r w:rsidRPr="00831573">
        <w:rPr>
          <w:b/>
          <w:lang w:val="en-GB"/>
        </w:rPr>
        <w:t xml:space="preserve">CASE OF </w:t>
      </w:r>
      <w:r w:rsidR="00316838" w:rsidRPr="00831573">
        <w:rPr>
          <w:b/>
          <w:lang w:val="en-GB"/>
        </w:rPr>
        <w:t>HAMMERTON v. THE UNITED KINGDOM</w:t>
      </w:r>
    </w:p>
    <w:p w:rsidR="00014566" w:rsidRPr="00831573" w:rsidRDefault="00014566" w:rsidP="00831573">
      <w:pPr>
        <w:jc w:val="center"/>
        <w:rPr>
          <w:lang w:val="en-GB"/>
        </w:rPr>
      </w:pPr>
    </w:p>
    <w:p w:rsidR="00014566" w:rsidRPr="00831573" w:rsidRDefault="00014566" w:rsidP="00831573">
      <w:pPr>
        <w:jc w:val="center"/>
        <w:rPr>
          <w:i/>
          <w:lang w:val="en-GB"/>
        </w:rPr>
      </w:pPr>
      <w:r w:rsidRPr="00831573">
        <w:rPr>
          <w:i/>
          <w:lang w:val="en-GB"/>
        </w:rPr>
        <w:t>(</w:t>
      </w:r>
      <w:r w:rsidR="00316838" w:rsidRPr="00831573">
        <w:rPr>
          <w:i/>
          <w:lang w:val="en-GB"/>
        </w:rPr>
        <w:t>Application no. 6287/10</w:t>
      </w:r>
      <w:r w:rsidRPr="00831573">
        <w:rPr>
          <w:i/>
          <w:lang w:val="en-GB"/>
        </w:rPr>
        <w:t>)</w:t>
      </w:r>
    </w:p>
    <w:p w:rsidR="00014566" w:rsidRPr="00831573" w:rsidRDefault="00014566" w:rsidP="00831573">
      <w:pPr>
        <w:jc w:val="center"/>
        <w:rPr>
          <w:lang w:val="en-GB"/>
        </w:rPr>
      </w:pPr>
    </w:p>
    <w:p w:rsidR="00014566" w:rsidRPr="00831573" w:rsidRDefault="00014566" w:rsidP="00831573">
      <w:pPr>
        <w:jc w:val="center"/>
        <w:rPr>
          <w:lang w:val="en-GB"/>
        </w:rPr>
      </w:pPr>
    </w:p>
    <w:p w:rsidR="00014566" w:rsidRPr="00831573" w:rsidRDefault="00014566" w:rsidP="00831573">
      <w:pPr>
        <w:jc w:val="center"/>
        <w:rPr>
          <w:lang w:val="en-GB"/>
        </w:rPr>
      </w:pPr>
    </w:p>
    <w:p w:rsidR="00014566" w:rsidRPr="00831573" w:rsidRDefault="00014566" w:rsidP="00831573">
      <w:pPr>
        <w:jc w:val="center"/>
        <w:rPr>
          <w:lang w:val="en-GB"/>
        </w:rPr>
      </w:pPr>
    </w:p>
    <w:p w:rsidR="00014566" w:rsidRPr="00831573" w:rsidRDefault="00014566" w:rsidP="00831573">
      <w:pPr>
        <w:jc w:val="center"/>
        <w:rPr>
          <w:lang w:val="en-GB"/>
        </w:rPr>
      </w:pPr>
    </w:p>
    <w:p w:rsidR="00014566" w:rsidRPr="00831573" w:rsidRDefault="00014566" w:rsidP="00831573">
      <w:pPr>
        <w:jc w:val="center"/>
        <w:rPr>
          <w:lang w:val="en-GB"/>
        </w:rPr>
      </w:pPr>
    </w:p>
    <w:p w:rsidR="00891140" w:rsidRPr="00831573" w:rsidRDefault="00891140" w:rsidP="00831573">
      <w:pPr>
        <w:jc w:val="center"/>
        <w:rPr>
          <w:lang w:val="en-GB"/>
        </w:rPr>
      </w:pPr>
    </w:p>
    <w:p w:rsidR="00891140" w:rsidRPr="00831573" w:rsidRDefault="00891140" w:rsidP="00831573">
      <w:pPr>
        <w:jc w:val="center"/>
        <w:rPr>
          <w:lang w:val="en-GB"/>
        </w:rPr>
      </w:pPr>
    </w:p>
    <w:p w:rsidR="00891140" w:rsidRPr="00831573" w:rsidRDefault="00891140" w:rsidP="00831573">
      <w:pPr>
        <w:jc w:val="center"/>
        <w:rPr>
          <w:lang w:val="en-GB"/>
        </w:rPr>
      </w:pPr>
    </w:p>
    <w:p w:rsidR="00831573" w:rsidRPr="00831573" w:rsidRDefault="00831573" w:rsidP="00831573">
      <w:pPr>
        <w:jc w:val="center"/>
        <w:rPr>
          <w:lang w:val="en-GB"/>
        </w:rPr>
      </w:pPr>
    </w:p>
    <w:p w:rsidR="00831573" w:rsidRPr="00831573" w:rsidRDefault="00831573" w:rsidP="00831573">
      <w:pPr>
        <w:jc w:val="center"/>
        <w:rPr>
          <w:lang w:val="en-GB"/>
        </w:rPr>
      </w:pPr>
    </w:p>
    <w:p w:rsidR="00831573" w:rsidRPr="00831573" w:rsidRDefault="00831573" w:rsidP="00831573">
      <w:pPr>
        <w:jc w:val="center"/>
        <w:rPr>
          <w:lang w:val="en-GB"/>
        </w:rPr>
      </w:pPr>
    </w:p>
    <w:p w:rsidR="00831573" w:rsidRPr="00831573" w:rsidRDefault="00831573" w:rsidP="00831573">
      <w:pPr>
        <w:jc w:val="center"/>
        <w:rPr>
          <w:lang w:val="en-GB"/>
        </w:rPr>
      </w:pPr>
    </w:p>
    <w:p w:rsidR="00014566" w:rsidRPr="00831573" w:rsidRDefault="00F87D13" w:rsidP="00831573">
      <w:pPr>
        <w:jc w:val="center"/>
        <w:rPr>
          <w:szCs w:val="24"/>
          <w:lang w:val="en-GB"/>
        </w:rPr>
      </w:pPr>
      <w:r w:rsidRPr="00831573">
        <w:rPr>
          <w:szCs w:val="24"/>
          <w:lang w:val="en-GB"/>
        </w:rPr>
        <w:t>JUDGMENT</w:t>
      </w:r>
    </w:p>
    <w:p w:rsidR="00014566" w:rsidRPr="00831573" w:rsidRDefault="00014566"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p>
    <w:p w:rsidR="00F87D13" w:rsidRPr="00831573" w:rsidRDefault="00F87D13" w:rsidP="00831573">
      <w:pPr>
        <w:jc w:val="center"/>
        <w:rPr>
          <w:lang w:val="en-GB"/>
        </w:rPr>
      </w:pPr>
      <w:r w:rsidRPr="00831573">
        <w:rPr>
          <w:lang w:val="en-GB"/>
        </w:rPr>
        <w:t>STRASBOURG</w:t>
      </w:r>
    </w:p>
    <w:p w:rsidR="00F87D13" w:rsidRPr="00831573" w:rsidRDefault="00F87D13" w:rsidP="00831573">
      <w:pPr>
        <w:jc w:val="center"/>
        <w:rPr>
          <w:lang w:val="en-GB"/>
        </w:rPr>
      </w:pPr>
    </w:p>
    <w:p w:rsidR="00F87D13" w:rsidRPr="00831573" w:rsidRDefault="004C74FC" w:rsidP="00831573">
      <w:pPr>
        <w:jc w:val="center"/>
        <w:rPr>
          <w:lang w:val="en-GB"/>
        </w:rPr>
      </w:pPr>
      <w:r w:rsidRPr="00831573">
        <w:rPr>
          <w:lang w:val="en-GB"/>
        </w:rPr>
        <w:t>17 March 2016</w:t>
      </w:r>
    </w:p>
    <w:p w:rsidR="00F87D13" w:rsidRPr="00831573" w:rsidRDefault="00F87D13" w:rsidP="00831573">
      <w:pPr>
        <w:jc w:val="center"/>
        <w:rPr>
          <w:lang w:val="en-GB"/>
        </w:rPr>
      </w:pPr>
    </w:p>
    <w:p w:rsidR="00F92024" w:rsidRPr="00831573" w:rsidRDefault="00F92024" w:rsidP="00831573">
      <w:pPr>
        <w:jc w:val="center"/>
        <w:rPr>
          <w:lang w:val="en-GB"/>
        </w:rPr>
      </w:pPr>
    </w:p>
    <w:p w:rsidR="00B90F93" w:rsidRPr="00831573" w:rsidRDefault="00B90F93" w:rsidP="00831573">
      <w:pPr>
        <w:jc w:val="center"/>
        <w:rPr>
          <w:lang w:val="en-GB"/>
        </w:rPr>
      </w:pPr>
    </w:p>
    <w:p w:rsidR="00F87D13" w:rsidRPr="00831573" w:rsidRDefault="00F87D13" w:rsidP="00831573">
      <w:pPr>
        <w:jc w:val="left"/>
        <w:rPr>
          <w:i/>
          <w:lang w:val="en-GB"/>
        </w:rPr>
      </w:pPr>
      <w:r w:rsidRPr="00831573">
        <w:rPr>
          <w:i/>
          <w:lang w:val="en-GB"/>
        </w:rPr>
        <w:t>This judgment will become final in the circumstances set out in Article 44 § 2 of the Convention. It may be</w:t>
      </w:r>
      <w:r w:rsidR="004C74FC" w:rsidRPr="00831573">
        <w:rPr>
          <w:i/>
          <w:lang w:val="en-GB"/>
        </w:rPr>
        <w:t xml:space="preserve"> subject to editorial revision.</w:t>
      </w:r>
    </w:p>
    <w:p w:rsidR="00831573" w:rsidRPr="00831573" w:rsidRDefault="00831573" w:rsidP="00831573">
      <w:pPr>
        <w:pStyle w:val="ECHRPara"/>
        <w:rPr>
          <w:lang w:val="en-GB"/>
        </w:rPr>
        <w:sectPr w:rsidR="00831573" w:rsidRPr="00831573" w:rsidSect="00F87D13">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014566" w:rsidRPr="00831573" w:rsidRDefault="00014566" w:rsidP="00831573">
      <w:pPr>
        <w:pStyle w:val="JuCase"/>
        <w:rPr>
          <w:bCs/>
          <w:lang w:val="en-GB"/>
        </w:rPr>
      </w:pPr>
      <w:r w:rsidRPr="00831573">
        <w:rPr>
          <w:lang w:val="en-GB"/>
        </w:rPr>
        <w:t xml:space="preserve">In the case of </w:t>
      </w:r>
      <w:r w:rsidR="00316838" w:rsidRPr="00831573">
        <w:rPr>
          <w:lang w:val="en-GB"/>
        </w:rPr>
        <w:t>Hammerton v. the United Kingdom</w:t>
      </w:r>
      <w:r w:rsidRPr="00831573">
        <w:rPr>
          <w:lang w:val="en-GB"/>
        </w:rPr>
        <w:t>,</w:t>
      </w:r>
    </w:p>
    <w:p w:rsidR="00014566" w:rsidRPr="00831573" w:rsidRDefault="00014566" w:rsidP="00831573">
      <w:pPr>
        <w:pStyle w:val="ECHRPara"/>
        <w:rPr>
          <w:lang w:val="en-GB"/>
        </w:rPr>
      </w:pPr>
      <w:r w:rsidRPr="00831573">
        <w:rPr>
          <w:lang w:val="en-GB"/>
        </w:rPr>
        <w:t>The European Court of Human Rights (</w:t>
      </w:r>
      <w:r w:rsidR="00F27DB2" w:rsidRPr="00831573">
        <w:rPr>
          <w:lang w:val="en-GB"/>
        </w:rPr>
        <w:t xml:space="preserve">First </w:t>
      </w:r>
      <w:r w:rsidR="00316838" w:rsidRPr="00831573">
        <w:rPr>
          <w:lang w:val="en-GB"/>
        </w:rPr>
        <w:t>Section</w:t>
      </w:r>
      <w:r w:rsidRPr="00831573">
        <w:rPr>
          <w:lang w:val="en-GB"/>
        </w:rPr>
        <w:t xml:space="preserve">), sitting as a </w:t>
      </w:r>
      <w:r w:rsidR="00316838" w:rsidRPr="00831573">
        <w:rPr>
          <w:lang w:val="en-GB"/>
        </w:rPr>
        <w:t>Chamber</w:t>
      </w:r>
      <w:r w:rsidRPr="00831573">
        <w:rPr>
          <w:lang w:val="en-GB"/>
        </w:rPr>
        <w:t xml:space="preserve"> composed of:</w:t>
      </w:r>
    </w:p>
    <w:p w:rsidR="00014566" w:rsidRPr="00831573" w:rsidRDefault="00910FF8" w:rsidP="00831573">
      <w:pPr>
        <w:pStyle w:val="ECHRDecisionBody"/>
        <w:rPr>
          <w:lang w:val="en-GB"/>
        </w:rPr>
      </w:pPr>
      <w:r w:rsidRPr="00831573">
        <w:rPr>
          <w:lang w:val="en-GB"/>
        </w:rPr>
        <w:tab/>
        <w:t>Mirjana Lazarova Trajkovska,</w:t>
      </w:r>
      <w:r w:rsidRPr="00831573">
        <w:rPr>
          <w:i/>
          <w:lang w:val="en-GB"/>
        </w:rPr>
        <w:t xml:space="preserve"> President,</w:t>
      </w:r>
      <w:r w:rsidRPr="00831573">
        <w:rPr>
          <w:i/>
          <w:lang w:val="en-GB"/>
        </w:rPr>
        <w:br/>
      </w:r>
      <w:r w:rsidRPr="00831573">
        <w:rPr>
          <w:lang w:val="en-GB"/>
        </w:rPr>
        <w:tab/>
        <w:t>Linos-Alexandre Sicilianos,</w:t>
      </w:r>
      <w:r w:rsidRPr="00831573">
        <w:rPr>
          <w:i/>
          <w:lang w:val="en-GB"/>
        </w:rPr>
        <w:br/>
      </w:r>
      <w:r w:rsidRPr="00831573">
        <w:rPr>
          <w:lang w:val="en-GB"/>
        </w:rPr>
        <w:tab/>
        <w:t>Paul Mahoney,</w:t>
      </w:r>
      <w:r w:rsidRPr="00831573">
        <w:rPr>
          <w:i/>
          <w:lang w:val="en-GB"/>
        </w:rPr>
        <w:br/>
      </w:r>
      <w:r w:rsidRPr="00831573">
        <w:rPr>
          <w:lang w:val="en-GB"/>
        </w:rPr>
        <w:tab/>
        <w:t>Aleš Pejchal,</w:t>
      </w:r>
      <w:r w:rsidRPr="00831573">
        <w:rPr>
          <w:i/>
          <w:lang w:val="en-GB"/>
        </w:rPr>
        <w:br/>
      </w:r>
      <w:r w:rsidRPr="00831573">
        <w:rPr>
          <w:lang w:val="en-GB"/>
        </w:rPr>
        <w:tab/>
        <w:t>Robert Spano,</w:t>
      </w:r>
      <w:r w:rsidRPr="00831573">
        <w:rPr>
          <w:i/>
          <w:lang w:val="en-GB"/>
        </w:rPr>
        <w:br/>
      </w:r>
      <w:r w:rsidRPr="00831573">
        <w:rPr>
          <w:lang w:val="en-GB"/>
        </w:rPr>
        <w:tab/>
        <w:t>Armen Harutyunyan,</w:t>
      </w:r>
      <w:r w:rsidRPr="00831573">
        <w:rPr>
          <w:i/>
          <w:lang w:val="en-GB"/>
        </w:rPr>
        <w:br/>
      </w:r>
      <w:r w:rsidRPr="00831573">
        <w:rPr>
          <w:lang w:val="en-GB"/>
        </w:rPr>
        <w:tab/>
        <w:t>Pauliine Koskelo,</w:t>
      </w:r>
      <w:r w:rsidRPr="00831573">
        <w:rPr>
          <w:i/>
          <w:lang w:val="en-GB"/>
        </w:rPr>
        <w:t xml:space="preserve"> judges,</w:t>
      </w:r>
      <w:r w:rsidR="00014566" w:rsidRPr="00831573">
        <w:rPr>
          <w:szCs w:val="24"/>
          <w:lang w:val="en-GB"/>
        </w:rPr>
        <w:br/>
      </w:r>
      <w:r w:rsidR="00014566" w:rsidRPr="00831573">
        <w:rPr>
          <w:lang w:val="en-GB"/>
        </w:rPr>
        <w:t xml:space="preserve">and </w:t>
      </w:r>
      <w:r w:rsidR="00F27578" w:rsidRPr="00831573">
        <w:rPr>
          <w:lang w:val="en-GB"/>
        </w:rPr>
        <w:t>André Wampach</w:t>
      </w:r>
      <w:r w:rsidR="00014566" w:rsidRPr="00831573">
        <w:rPr>
          <w:lang w:val="en-GB"/>
        </w:rPr>
        <w:t xml:space="preserve">, </w:t>
      </w:r>
      <w:r w:rsidR="00F27DB2" w:rsidRPr="00831573">
        <w:rPr>
          <w:i/>
          <w:lang w:val="en-GB"/>
        </w:rPr>
        <w:t xml:space="preserve">Deputy </w:t>
      </w:r>
      <w:r w:rsidR="00316838" w:rsidRPr="00831573">
        <w:rPr>
          <w:i/>
          <w:lang w:val="en-GB"/>
        </w:rPr>
        <w:t xml:space="preserve">Section </w:t>
      </w:r>
      <w:r w:rsidR="00316838" w:rsidRPr="00831573">
        <w:rPr>
          <w:i/>
          <w:iCs/>
          <w:lang w:val="en-GB"/>
        </w:rPr>
        <w:t>Registrar</w:t>
      </w:r>
      <w:r w:rsidR="00014566" w:rsidRPr="00831573">
        <w:rPr>
          <w:i/>
          <w:lang w:val="en-GB"/>
        </w:rPr>
        <w:t>,</w:t>
      </w:r>
    </w:p>
    <w:p w:rsidR="00014566" w:rsidRPr="00831573" w:rsidRDefault="00014566" w:rsidP="00831573">
      <w:pPr>
        <w:pStyle w:val="ECHRPara"/>
        <w:rPr>
          <w:lang w:val="en-GB"/>
        </w:rPr>
      </w:pPr>
      <w:r w:rsidRPr="00831573">
        <w:rPr>
          <w:lang w:val="en-GB"/>
        </w:rPr>
        <w:t xml:space="preserve">Having deliberated in private on </w:t>
      </w:r>
      <w:r w:rsidR="00910FF8" w:rsidRPr="00831573">
        <w:rPr>
          <w:lang w:val="en-GB"/>
        </w:rPr>
        <w:t>23 February 2016</w:t>
      </w:r>
      <w:r w:rsidRPr="00831573">
        <w:rPr>
          <w:lang w:val="en-GB"/>
        </w:rPr>
        <w:t>,</w:t>
      </w:r>
    </w:p>
    <w:p w:rsidR="00014566" w:rsidRPr="00831573" w:rsidRDefault="00014566" w:rsidP="00831573">
      <w:pPr>
        <w:pStyle w:val="ECHRPara"/>
        <w:rPr>
          <w:lang w:val="en-GB"/>
        </w:rPr>
      </w:pPr>
      <w:r w:rsidRPr="00831573">
        <w:rPr>
          <w:lang w:val="en-GB"/>
        </w:rPr>
        <w:t>Delivers the following judgment, which was adopted on that date:</w:t>
      </w:r>
    </w:p>
    <w:p w:rsidR="00014566" w:rsidRPr="00831573" w:rsidRDefault="00014566" w:rsidP="00831573">
      <w:pPr>
        <w:pStyle w:val="ECHRTitle1"/>
        <w:rPr>
          <w:lang w:val="en-GB"/>
        </w:rPr>
      </w:pPr>
      <w:r w:rsidRPr="00831573">
        <w:rPr>
          <w:lang w:val="en-GB"/>
        </w:rPr>
        <w:t>PROCEDURE</w:t>
      </w:r>
    </w:p>
    <w:p w:rsidR="00316838" w:rsidRPr="00831573" w:rsidRDefault="0031683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w:t>
      </w:r>
      <w:r w:rsidRPr="00831573">
        <w:rPr>
          <w:lang w:val="en-GB"/>
        </w:rPr>
        <w:fldChar w:fldCharType="end"/>
      </w:r>
      <w:r w:rsidR="00014566" w:rsidRPr="00831573">
        <w:rPr>
          <w:lang w:val="en-GB"/>
        </w:rPr>
        <w:t>. </w:t>
      </w:r>
      <w:r w:rsidR="00434924" w:rsidRPr="00831573">
        <w:rPr>
          <w:lang w:val="en-GB"/>
        </w:rPr>
        <w:t> </w:t>
      </w:r>
      <w:r w:rsidR="00762B48" w:rsidRPr="00831573">
        <w:rPr>
          <w:lang w:val="en-GB"/>
        </w:rPr>
        <w:t>The case originated in an application (no. 6287/10) against the United</w:t>
      </w:r>
      <w:r w:rsidR="006E49AD" w:rsidRPr="00831573">
        <w:rPr>
          <w:lang w:val="en-GB"/>
        </w:rPr>
        <w:t> </w:t>
      </w:r>
      <w:r w:rsidR="00762B48" w:rsidRPr="00831573">
        <w:rPr>
          <w:lang w:val="en-GB"/>
        </w:rPr>
        <w:t>Kingdom</w:t>
      </w:r>
      <w:r w:rsidR="00770D79" w:rsidRPr="00831573">
        <w:rPr>
          <w:lang w:val="en-GB"/>
        </w:rPr>
        <w:t xml:space="preserve"> </w:t>
      </w:r>
      <w:r w:rsidR="00762B48" w:rsidRPr="00831573">
        <w:rPr>
          <w:lang w:val="en-GB"/>
        </w:rPr>
        <w:t>of</w:t>
      </w:r>
      <w:r w:rsidR="00770D79" w:rsidRPr="00831573">
        <w:rPr>
          <w:lang w:val="en-GB"/>
        </w:rPr>
        <w:t xml:space="preserve"> </w:t>
      </w:r>
      <w:r w:rsidR="00762B48" w:rsidRPr="00831573">
        <w:rPr>
          <w:lang w:val="en-GB"/>
        </w:rPr>
        <w:t>Great</w:t>
      </w:r>
      <w:r w:rsidR="00770D79" w:rsidRPr="00831573">
        <w:rPr>
          <w:lang w:val="en-GB"/>
        </w:rPr>
        <w:t xml:space="preserve"> </w:t>
      </w:r>
      <w:r w:rsidR="00762B48" w:rsidRPr="00831573">
        <w:rPr>
          <w:lang w:val="en-GB"/>
        </w:rPr>
        <w:t>Britain</w:t>
      </w:r>
      <w:r w:rsidR="00770D79" w:rsidRPr="00831573">
        <w:rPr>
          <w:lang w:val="en-GB"/>
        </w:rPr>
        <w:t xml:space="preserve"> </w:t>
      </w:r>
      <w:r w:rsidR="00762B48" w:rsidRPr="00831573">
        <w:rPr>
          <w:lang w:val="en-GB"/>
        </w:rPr>
        <w:t>and</w:t>
      </w:r>
      <w:r w:rsidR="00770D79" w:rsidRPr="00831573">
        <w:rPr>
          <w:lang w:val="en-GB"/>
        </w:rPr>
        <w:t xml:space="preserve"> </w:t>
      </w:r>
      <w:r w:rsidR="00762B48" w:rsidRPr="00831573">
        <w:rPr>
          <w:lang w:val="en-GB"/>
        </w:rPr>
        <w:t>Northern</w:t>
      </w:r>
      <w:r w:rsidR="00770D79" w:rsidRPr="00831573">
        <w:rPr>
          <w:lang w:val="en-GB"/>
        </w:rPr>
        <w:t xml:space="preserve"> </w:t>
      </w:r>
      <w:r w:rsidR="00762B48" w:rsidRPr="00831573">
        <w:rPr>
          <w:lang w:val="en-GB"/>
        </w:rPr>
        <w:t>Ireland lodged with the Court under Article 34 of the Convention for the Protection of Human Rights and Fundamental Freedoms (“the Convention”) by a British national, Mr William Hammerton (“the applicant”), on 15 December 2009.</w:t>
      </w:r>
    </w:p>
    <w:p w:rsidR="00762B48" w:rsidRPr="00831573" w:rsidRDefault="0031683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w:t>
      </w:r>
      <w:r w:rsidRPr="00831573">
        <w:rPr>
          <w:lang w:val="en-GB"/>
        </w:rPr>
        <w:fldChar w:fldCharType="end"/>
      </w:r>
      <w:r w:rsidR="00014566" w:rsidRPr="00831573">
        <w:rPr>
          <w:lang w:val="en-GB"/>
        </w:rPr>
        <w:t>. </w:t>
      </w:r>
      <w:r w:rsidR="00434924" w:rsidRPr="00831573">
        <w:rPr>
          <w:lang w:val="en-GB"/>
        </w:rPr>
        <w:t> </w:t>
      </w:r>
      <w:r w:rsidR="00762B48" w:rsidRPr="00831573">
        <w:rPr>
          <w:lang w:val="en-GB"/>
        </w:rPr>
        <w:t>The applicant was represented by Mr</w:t>
      </w:r>
      <w:r w:rsidR="00770D79" w:rsidRPr="00831573">
        <w:rPr>
          <w:lang w:val="en-GB"/>
        </w:rPr>
        <w:t xml:space="preserve"> </w:t>
      </w:r>
      <w:r w:rsidR="00762B48" w:rsidRPr="00831573">
        <w:rPr>
          <w:lang w:val="en-GB"/>
        </w:rPr>
        <w:t>A</w:t>
      </w:r>
      <w:r w:rsidR="00533831" w:rsidRPr="00831573">
        <w:rPr>
          <w:lang w:val="en-GB"/>
        </w:rPr>
        <w:t>.</w:t>
      </w:r>
      <w:r w:rsidR="00770D79" w:rsidRPr="00831573">
        <w:rPr>
          <w:lang w:val="en-GB"/>
        </w:rPr>
        <w:t xml:space="preserve"> </w:t>
      </w:r>
      <w:r w:rsidR="00762B48" w:rsidRPr="00831573">
        <w:rPr>
          <w:lang w:val="en-GB"/>
        </w:rPr>
        <w:t>Guile, a lawyer practising in London. The United Kingdom Government (“the Government”) were represented by their Agent</w:t>
      </w:r>
      <w:r w:rsidR="00160667" w:rsidRPr="00831573">
        <w:rPr>
          <w:lang w:val="en-GB"/>
        </w:rPr>
        <w:t>s</w:t>
      </w:r>
      <w:r w:rsidR="00762B48" w:rsidRPr="00831573">
        <w:rPr>
          <w:lang w:val="en-GB"/>
        </w:rPr>
        <w:t>, Ms</w:t>
      </w:r>
      <w:r w:rsidR="00770D79" w:rsidRPr="00831573">
        <w:rPr>
          <w:lang w:val="en-GB"/>
        </w:rPr>
        <w:t xml:space="preserve"> </w:t>
      </w:r>
      <w:r w:rsidR="00160667" w:rsidRPr="00831573">
        <w:rPr>
          <w:lang w:val="en-GB"/>
        </w:rPr>
        <w:t>A</w:t>
      </w:r>
      <w:r w:rsidR="00533831" w:rsidRPr="00831573">
        <w:rPr>
          <w:lang w:val="en-GB"/>
        </w:rPr>
        <w:t>.</w:t>
      </w:r>
      <w:r w:rsidR="00770D79" w:rsidRPr="00831573">
        <w:rPr>
          <w:lang w:val="en-GB"/>
        </w:rPr>
        <w:t xml:space="preserve"> </w:t>
      </w:r>
      <w:r w:rsidR="00160667" w:rsidRPr="00831573">
        <w:rPr>
          <w:lang w:val="en-GB"/>
        </w:rPr>
        <w:t>Sornarajah</w:t>
      </w:r>
      <w:r w:rsidR="00770D79" w:rsidRPr="00831573">
        <w:rPr>
          <w:lang w:val="en-GB"/>
        </w:rPr>
        <w:t xml:space="preserve"> </w:t>
      </w:r>
      <w:r w:rsidR="00160667" w:rsidRPr="00831573">
        <w:rPr>
          <w:lang w:val="en-GB"/>
        </w:rPr>
        <w:t>and Ms</w:t>
      </w:r>
      <w:r w:rsidR="00770D79" w:rsidRPr="00831573">
        <w:rPr>
          <w:lang w:val="en-GB"/>
        </w:rPr>
        <w:t xml:space="preserve"> </w:t>
      </w:r>
      <w:r w:rsidR="00160667" w:rsidRPr="00831573">
        <w:rPr>
          <w:lang w:val="en-GB"/>
        </w:rPr>
        <w:t>R</w:t>
      </w:r>
      <w:r w:rsidR="00533831" w:rsidRPr="00831573">
        <w:rPr>
          <w:lang w:val="en-GB"/>
        </w:rPr>
        <w:t>.</w:t>
      </w:r>
      <w:r w:rsidR="00770D79" w:rsidRPr="00831573">
        <w:rPr>
          <w:lang w:val="en-GB"/>
        </w:rPr>
        <w:t xml:space="preserve"> </w:t>
      </w:r>
      <w:r w:rsidR="00160667" w:rsidRPr="00831573">
        <w:rPr>
          <w:lang w:val="en-GB"/>
        </w:rPr>
        <w:t>Tomlinson of the Foreign and Commonwealth Office</w:t>
      </w:r>
      <w:r w:rsidR="00762B48" w:rsidRPr="00831573">
        <w:rPr>
          <w:lang w:val="en-GB"/>
        </w:rPr>
        <w:t>.</w:t>
      </w:r>
    </w:p>
    <w:p w:rsidR="00014566" w:rsidRPr="00831573" w:rsidRDefault="0031683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w:t>
      </w:r>
      <w:r w:rsidRPr="00831573">
        <w:rPr>
          <w:lang w:val="en-GB"/>
        </w:rPr>
        <w:fldChar w:fldCharType="end"/>
      </w:r>
      <w:r w:rsidRPr="00831573">
        <w:rPr>
          <w:lang w:val="en-GB"/>
        </w:rPr>
        <w:t>. </w:t>
      </w:r>
      <w:r w:rsidR="00434924" w:rsidRPr="00831573">
        <w:rPr>
          <w:lang w:val="en-GB"/>
        </w:rPr>
        <w:t> </w:t>
      </w:r>
      <w:r w:rsidR="00762B48" w:rsidRPr="00831573">
        <w:rPr>
          <w:lang w:val="en-GB"/>
        </w:rPr>
        <w:t>The applicant alleged, in particular, that his committal</w:t>
      </w:r>
      <w:r w:rsidR="00E80933" w:rsidRPr="00831573">
        <w:rPr>
          <w:lang w:val="en-GB"/>
        </w:rPr>
        <w:t xml:space="preserve"> to prison for civil contempt, and the subsequent civil proceedings by which he sought to obtain redress,</w:t>
      </w:r>
      <w:r w:rsidR="00762B48" w:rsidRPr="00831573">
        <w:rPr>
          <w:lang w:val="en-GB"/>
        </w:rPr>
        <w:t xml:space="preserve"> violated his rights under Articles 5</w:t>
      </w:r>
      <w:r w:rsidR="00533831" w:rsidRPr="00831573">
        <w:rPr>
          <w:lang w:val="en-GB"/>
        </w:rPr>
        <w:t xml:space="preserve"> and</w:t>
      </w:r>
      <w:r w:rsidR="00762B48" w:rsidRPr="00831573">
        <w:rPr>
          <w:lang w:val="en-GB"/>
        </w:rPr>
        <w:t xml:space="preserve"> 6</w:t>
      </w:r>
      <w:r w:rsidR="00533831" w:rsidRPr="00831573">
        <w:rPr>
          <w:lang w:val="en-GB"/>
        </w:rPr>
        <w:t xml:space="preserve"> of the Convention</w:t>
      </w:r>
      <w:r w:rsidR="00762B48" w:rsidRPr="00831573">
        <w:rPr>
          <w:lang w:val="en-GB"/>
        </w:rPr>
        <w:t>.</w:t>
      </w:r>
    </w:p>
    <w:p w:rsidR="00014566" w:rsidRPr="00831573" w:rsidRDefault="0031683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w:t>
      </w:r>
      <w:r w:rsidRPr="00831573">
        <w:rPr>
          <w:lang w:val="en-GB"/>
        </w:rPr>
        <w:fldChar w:fldCharType="end"/>
      </w:r>
      <w:r w:rsidR="00014566" w:rsidRPr="00831573">
        <w:rPr>
          <w:lang w:val="en-GB"/>
        </w:rPr>
        <w:t>.  </w:t>
      </w:r>
      <w:r w:rsidRPr="00831573">
        <w:rPr>
          <w:lang w:val="en-GB"/>
        </w:rPr>
        <w:t xml:space="preserve">On </w:t>
      </w:r>
      <w:r w:rsidRPr="00831573">
        <w:rPr>
          <w:szCs w:val="24"/>
          <w:lang w:val="en-GB"/>
        </w:rPr>
        <w:t>15 March 2012</w:t>
      </w:r>
      <w:r w:rsidR="00014566" w:rsidRPr="00831573">
        <w:rPr>
          <w:lang w:val="en-GB"/>
        </w:rPr>
        <w:t xml:space="preserve"> the </w:t>
      </w:r>
      <w:r w:rsidRPr="00831573">
        <w:rPr>
          <w:lang w:val="en-GB"/>
        </w:rPr>
        <w:t>application was communicated to the Government</w:t>
      </w:r>
      <w:r w:rsidR="00014566" w:rsidRPr="00831573">
        <w:rPr>
          <w:lang w:val="en-GB"/>
        </w:rPr>
        <w:t>.</w:t>
      </w:r>
    </w:p>
    <w:p w:rsidR="00014566" w:rsidRPr="00831573" w:rsidRDefault="00014566" w:rsidP="00831573">
      <w:pPr>
        <w:pStyle w:val="ECHRTitle1"/>
        <w:rPr>
          <w:lang w:val="en-GB"/>
        </w:rPr>
      </w:pPr>
      <w:r w:rsidRPr="00831573">
        <w:rPr>
          <w:lang w:val="en-GB"/>
        </w:rPr>
        <w:t>THE FACTS</w:t>
      </w:r>
    </w:p>
    <w:p w:rsidR="00014566" w:rsidRPr="00831573" w:rsidRDefault="00014566" w:rsidP="00831573">
      <w:pPr>
        <w:pStyle w:val="ECHRHeading1"/>
        <w:rPr>
          <w:lang w:val="en-GB"/>
        </w:rPr>
      </w:pPr>
      <w:r w:rsidRPr="00831573">
        <w:rPr>
          <w:lang w:val="en-GB"/>
        </w:rPr>
        <w:t>I.  THE CIRCUMSTANCES OF THE CASE</w:t>
      </w:r>
    </w:p>
    <w:p w:rsidR="00014566" w:rsidRPr="00831573" w:rsidRDefault="0031683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w:t>
      </w:r>
      <w:r w:rsidRPr="00831573">
        <w:rPr>
          <w:lang w:val="en-GB"/>
        </w:rPr>
        <w:fldChar w:fldCharType="end"/>
      </w:r>
      <w:r w:rsidR="00014566" w:rsidRPr="00831573">
        <w:rPr>
          <w:lang w:val="en-GB"/>
        </w:rPr>
        <w:t xml:space="preserve">.  The </w:t>
      </w:r>
      <w:r w:rsidRPr="00831573">
        <w:rPr>
          <w:lang w:val="en-GB"/>
        </w:rPr>
        <w:t>applicant was born in 1954 and lives</w:t>
      </w:r>
      <w:r w:rsidR="00014566" w:rsidRPr="00831573">
        <w:rPr>
          <w:lang w:val="en-GB"/>
        </w:rPr>
        <w:t xml:space="preserve"> in </w:t>
      </w:r>
      <w:r w:rsidRPr="00831573">
        <w:rPr>
          <w:lang w:val="en-GB"/>
        </w:rPr>
        <w:t>London</w:t>
      </w:r>
      <w:r w:rsidR="00014566" w:rsidRPr="00831573">
        <w:rPr>
          <w:lang w:val="en-GB"/>
        </w:rPr>
        <w:t>.</w:t>
      </w:r>
    </w:p>
    <w:p w:rsidR="00762B48" w:rsidRPr="00831573" w:rsidRDefault="00762B48" w:rsidP="00831573">
      <w:pPr>
        <w:pStyle w:val="ECHRHeading2"/>
        <w:rPr>
          <w:lang w:val="en-GB"/>
        </w:rPr>
      </w:pPr>
      <w:r w:rsidRPr="00831573">
        <w:rPr>
          <w:lang w:val="en-GB"/>
        </w:rPr>
        <w:t>A.</w:t>
      </w:r>
      <w:r w:rsidR="002D7A6D" w:rsidRPr="00831573">
        <w:rPr>
          <w:lang w:val="en-GB"/>
        </w:rPr>
        <w:t>  </w:t>
      </w:r>
      <w:r w:rsidR="009555A5" w:rsidRPr="00831573">
        <w:rPr>
          <w:lang w:val="en-GB"/>
        </w:rPr>
        <w:t>The contempt</w:t>
      </w:r>
    </w:p>
    <w:p w:rsidR="009555A5" w:rsidRPr="00831573" w:rsidRDefault="00250A09" w:rsidP="00831573">
      <w:pPr>
        <w:pStyle w:val="ECHRHeading3"/>
        <w:rPr>
          <w:lang w:val="en-GB"/>
        </w:rPr>
      </w:pPr>
      <w:r w:rsidRPr="00831573">
        <w:rPr>
          <w:lang w:val="en-GB"/>
        </w:rPr>
        <w:t>1.  </w:t>
      </w:r>
      <w:r w:rsidR="009555A5" w:rsidRPr="00831573">
        <w:rPr>
          <w:lang w:val="en-GB"/>
        </w:rPr>
        <w:t>The contempt finding</w:t>
      </w:r>
    </w:p>
    <w:p w:rsidR="00E80933"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w:t>
      </w:r>
      <w:r w:rsidRPr="00831573">
        <w:rPr>
          <w:lang w:val="en-GB"/>
        </w:rPr>
        <w:fldChar w:fldCharType="end"/>
      </w:r>
      <w:r w:rsidR="00762B48" w:rsidRPr="00831573">
        <w:rPr>
          <w:lang w:val="en-GB"/>
        </w:rPr>
        <w:t xml:space="preserve">.  The applicant married in 1977. He separated from his wife in 2002. On 9 January 2004 he issued an application </w:t>
      </w:r>
      <w:r w:rsidR="009555A5" w:rsidRPr="00831573">
        <w:rPr>
          <w:lang w:val="en-GB"/>
        </w:rPr>
        <w:t xml:space="preserve">in the County Court </w:t>
      </w:r>
      <w:r w:rsidR="00762B48" w:rsidRPr="00831573">
        <w:rPr>
          <w:lang w:val="en-GB"/>
        </w:rPr>
        <w:t>for contact with two of his five children.</w:t>
      </w:r>
    </w:p>
    <w:p w:rsidR="00E80933" w:rsidRPr="00831573" w:rsidRDefault="00E8093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w:t>
      </w:r>
      <w:r w:rsidRPr="00831573">
        <w:rPr>
          <w:lang w:val="en-GB"/>
        </w:rPr>
        <w:fldChar w:fldCharType="end"/>
      </w:r>
      <w:r w:rsidRPr="00831573">
        <w:rPr>
          <w:lang w:val="en-GB"/>
        </w:rPr>
        <w:t>.</w:t>
      </w:r>
      <w:r w:rsidR="00063ECA" w:rsidRPr="00831573">
        <w:rPr>
          <w:lang w:val="en-GB"/>
        </w:rPr>
        <w:t>  </w:t>
      </w:r>
      <w:r w:rsidR="00762B48" w:rsidRPr="00831573">
        <w:rPr>
          <w:lang w:val="en-GB"/>
        </w:rPr>
        <w:t>The applicant and his wife divorced on 27</w:t>
      </w:r>
      <w:r w:rsidR="00063ECA" w:rsidRPr="00831573">
        <w:rPr>
          <w:lang w:val="en-GB"/>
        </w:rPr>
        <w:t xml:space="preserve"> </w:t>
      </w:r>
      <w:r w:rsidR="00762B48" w:rsidRPr="00831573">
        <w:rPr>
          <w:lang w:val="en-GB"/>
        </w:rPr>
        <w:t>August</w:t>
      </w:r>
      <w:r w:rsidR="00063ECA" w:rsidRPr="00831573">
        <w:rPr>
          <w:lang w:val="en-GB"/>
        </w:rPr>
        <w:t xml:space="preserve"> </w:t>
      </w:r>
      <w:r w:rsidR="00762B48" w:rsidRPr="00831573">
        <w:rPr>
          <w:lang w:val="en-GB"/>
        </w:rPr>
        <w:t>2004.</w:t>
      </w:r>
      <w:r w:rsidR="004501C5" w:rsidRPr="00831573">
        <w:rPr>
          <w:lang w:val="en-GB"/>
        </w:rPr>
        <w:t xml:space="preserve"> </w:t>
      </w:r>
      <w:r w:rsidR="004501C5" w:rsidRPr="00831573">
        <w:rPr>
          <w:rFonts w:ascii="Times New Roman" w:eastAsiaTheme="minorHAnsi" w:hAnsi="Times New Roman" w:cs="Times New Roman"/>
          <w:szCs w:val="24"/>
          <w:lang w:val="en-GB"/>
        </w:rPr>
        <w:t xml:space="preserve">His legal aid certificate was withdrawn following a financial award made </w:t>
      </w:r>
      <w:r w:rsidR="00841F58" w:rsidRPr="00831573">
        <w:rPr>
          <w:rFonts w:ascii="Times New Roman" w:eastAsiaTheme="minorHAnsi" w:hAnsi="Times New Roman" w:cs="Times New Roman"/>
          <w:szCs w:val="24"/>
          <w:lang w:val="en-GB"/>
        </w:rPr>
        <w:t>as part of the divorce</w:t>
      </w:r>
      <w:r w:rsidR="004501C5" w:rsidRPr="00831573">
        <w:rPr>
          <w:rFonts w:ascii="Times New Roman" w:eastAsiaTheme="minorHAnsi" w:hAnsi="Times New Roman" w:cs="Times New Roman"/>
          <w:szCs w:val="24"/>
          <w:lang w:val="en-GB"/>
        </w:rPr>
        <w:t>.</w:t>
      </w:r>
    </w:p>
    <w:p w:rsidR="004501C5" w:rsidRPr="00831573" w:rsidRDefault="00E8093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w:t>
      </w:r>
      <w:r w:rsidRPr="00831573">
        <w:rPr>
          <w:lang w:val="en-GB"/>
        </w:rPr>
        <w:fldChar w:fldCharType="end"/>
      </w:r>
      <w:r w:rsidR="00444A84" w:rsidRPr="00831573">
        <w:rPr>
          <w:lang w:val="en-GB"/>
        </w:rPr>
        <w:t>.  </w:t>
      </w:r>
      <w:r w:rsidR="009555A5" w:rsidRPr="00831573">
        <w:rPr>
          <w:lang w:val="en-GB"/>
        </w:rPr>
        <w:t>Meanwhile</w:t>
      </w:r>
      <w:r w:rsidRPr="00831573">
        <w:rPr>
          <w:lang w:val="en-GB"/>
        </w:rPr>
        <w:t xml:space="preserve"> the contact proceedings continued. The applicant</w:t>
      </w:r>
      <w:r w:rsidR="00831573" w:rsidRPr="00831573">
        <w:rPr>
          <w:lang w:val="en-GB"/>
        </w:rPr>
        <w:t>’</w:t>
      </w:r>
      <w:r w:rsidRPr="00831573">
        <w:rPr>
          <w:lang w:val="en-GB"/>
        </w:rPr>
        <w:t xml:space="preserve">s former wife alleged that he had harassed her and applied to the County Court for protection. On 21 December 2004 </w:t>
      </w:r>
      <w:r w:rsidR="009555A5" w:rsidRPr="00831573">
        <w:rPr>
          <w:lang w:val="en-GB"/>
        </w:rPr>
        <w:t>t</w:t>
      </w:r>
      <w:r w:rsidRPr="00831573">
        <w:rPr>
          <w:lang w:val="en-GB"/>
        </w:rPr>
        <w:t xml:space="preserve">he </w:t>
      </w:r>
      <w:r w:rsidR="009555A5" w:rsidRPr="00831573">
        <w:rPr>
          <w:lang w:val="en-GB"/>
        </w:rPr>
        <w:t xml:space="preserve">applicant </w:t>
      </w:r>
      <w:r w:rsidRPr="00831573">
        <w:rPr>
          <w:lang w:val="en-GB"/>
        </w:rPr>
        <w:t xml:space="preserve">gave an undertaking to Wandsworth County </w:t>
      </w:r>
      <w:r w:rsidR="004501C5" w:rsidRPr="00831573">
        <w:rPr>
          <w:lang w:val="en-GB"/>
        </w:rPr>
        <w:t>Court:</w:t>
      </w:r>
    </w:p>
    <w:p w:rsidR="004501C5" w:rsidRPr="00831573" w:rsidRDefault="004501C5" w:rsidP="00831573">
      <w:pPr>
        <w:pStyle w:val="ECHRParaQuote"/>
        <w:rPr>
          <w:lang w:val="en-GB"/>
        </w:rPr>
      </w:pPr>
      <w:r w:rsidRPr="00831573">
        <w:rPr>
          <w:lang w:val="en-GB"/>
        </w:rPr>
        <w:t xml:space="preserve">“Not to contact, or communicate with, [his former wife], [her] mother or father, nor her solicitors in any way whatsoever </w:t>
      </w:r>
      <w:r w:rsidR="00F87D13" w:rsidRPr="00831573">
        <w:rPr>
          <w:lang w:val="en-GB"/>
        </w:rPr>
        <w:t>...</w:t>
      </w:r>
      <w:r w:rsidRPr="00831573">
        <w:rPr>
          <w:lang w:val="en-GB"/>
        </w:rPr>
        <w:t xml:space="preserve"> except through his own solicitors</w:t>
      </w:r>
      <w:r w:rsidR="006A279A" w:rsidRPr="00831573">
        <w:rPr>
          <w:lang w:val="en-GB"/>
        </w:rPr>
        <w:t>.</w:t>
      </w:r>
      <w:r w:rsidRPr="00831573">
        <w:rPr>
          <w:lang w:val="en-GB"/>
        </w:rPr>
        <w:t>”</w:t>
      </w:r>
    </w:p>
    <w:p w:rsidR="004501C5" w:rsidRPr="00831573" w:rsidRDefault="004501C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w:t>
      </w:r>
      <w:r w:rsidRPr="00831573">
        <w:rPr>
          <w:lang w:val="en-GB"/>
        </w:rPr>
        <w:fldChar w:fldCharType="end"/>
      </w:r>
      <w:r w:rsidR="00444A84" w:rsidRPr="00831573">
        <w:rPr>
          <w:lang w:val="en-GB"/>
        </w:rPr>
        <w:t>.  </w:t>
      </w:r>
      <w:r w:rsidRPr="00831573">
        <w:rPr>
          <w:lang w:val="en-GB"/>
        </w:rPr>
        <w:t>On 23 February 2005 Woolwich County Court granted the applicant</w:t>
      </w:r>
      <w:r w:rsidR="00831573" w:rsidRPr="00831573">
        <w:rPr>
          <w:lang w:val="en-GB"/>
        </w:rPr>
        <w:t>’</w:t>
      </w:r>
      <w:r w:rsidRPr="00831573">
        <w:rPr>
          <w:lang w:val="en-GB"/>
        </w:rPr>
        <w:t xml:space="preserve">s former wife an injunction </w:t>
      </w:r>
      <w:r w:rsidR="00F12EA7" w:rsidRPr="00831573">
        <w:rPr>
          <w:lang w:val="en-GB"/>
        </w:rPr>
        <w:t xml:space="preserve">which </w:t>
      </w:r>
      <w:r w:rsidR="00AD6618" w:rsidRPr="00831573">
        <w:rPr>
          <w:i/>
          <w:lang w:val="en-GB"/>
        </w:rPr>
        <w:t xml:space="preserve">inter alia </w:t>
      </w:r>
      <w:r w:rsidRPr="00831573">
        <w:rPr>
          <w:lang w:val="en-GB"/>
        </w:rPr>
        <w:t>prevent</w:t>
      </w:r>
      <w:r w:rsidR="00F12EA7" w:rsidRPr="00831573">
        <w:rPr>
          <w:lang w:val="en-GB"/>
        </w:rPr>
        <w:t>ed</w:t>
      </w:r>
      <w:r w:rsidRPr="00831573">
        <w:rPr>
          <w:lang w:val="en-GB"/>
        </w:rPr>
        <w:t xml:space="preserve"> him from using or threatening violence </w:t>
      </w:r>
      <w:r w:rsidR="00AD6618" w:rsidRPr="00831573">
        <w:rPr>
          <w:lang w:val="en-GB"/>
        </w:rPr>
        <w:t>towards her</w:t>
      </w:r>
      <w:r w:rsidR="00581020" w:rsidRPr="00831573">
        <w:rPr>
          <w:lang w:val="en-GB"/>
        </w:rPr>
        <w:t>.</w:t>
      </w:r>
    </w:p>
    <w:p w:rsidR="00762B48" w:rsidRPr="00831573" w:rsidRDefault="004501C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w:t>
      </w:r>
      <w:r w:rsidRPr="00831573">
        <w:rPr>
          <w:lang w:val="en-GB"/>
        </w:rPr>
        <w:fldChar w:fldCharType="end"/>
      </w:r>
      <w:r w:rsidR="00444A84" w:rsidRPr="00831573">
        <w:rPr>
          <w:lang w:val="en-GB"/>
        </w:rPr>
        <w:t>.  </w:t>
      </w:r>
      <w:r w:rsidRPr="00831573">
        <w:rPr>
          <w:lang w:val="en-GB"/>
        </w:rPr>
        <w:t>On 6 July 2005 t</w:t>
      </w:r>
      <w:r w:rsidR="00762B48" w:rsidRPr="00831573">
        <w:rPr>
          <w:lang w:val="en-GB"/>
        </w:rPr>
        <w:t>he applicant</w:t>
      </w:r>
      <w:r w:rsidR="00831573" w:rsidRPr="00831573">
        <w:rPr>
          <w:lang w:val="en-GB"/>
        </w:rPr>
        <w:t>’</w:t>
      </w:r>
      <w:r w:rsidR="00762B48" w:rsidRPr="00831573">
        <w:rPr>
          <w:lang w:val="en-GB"/>
        </w:rPr>
        <w:t xml:space="preserve">s </w:t>
      </w:r>
      <w:r w:rsidRPr="00831573">
        <w:rPr>
          <w:lang w:val="en-GB"/>
        </w:rPr>
        <w:t xml:space="preserve">former </w:t>
      </w:r>
      <w:r w:rsidR="00762B48" w:rsidRPr="00831573">
        <w:rPr>
          <w:lang w:val="en-GB"/>
        </w:rPr>
        <w:t xml:space="preserve">wife issued an </w:t>
      </w:r>
      <w:r w:rsidR="00762B48" w:rsidRPr="00831573">
        <w:rPr>
          <w:rFonts w:ascii="Times New Roman" w:eastAsiaTheme="minorHAnsi" w:hAnsi="Times New Roman" w:cs="Times New Roman"/>
          <w:szCs w:val="24"/>
          <w:lang w:val="en-GB"/>
        </w:rPr>
        <w:t xml:space="preserve">application for him to be committed to prison for breach of </w:t>
      </w:r>
      <w:r w:rsidRPr="00831573">
        <w:rPr>
          <w:rFonts w:ascii="Times New Roman" w:eastAsiaTheme="minorHAnsi" w:hAnsi="Times New Roman" w:cs="Times New Roman"/>
          <w:szCs w:val="24"/>
          <w:lang w:val="en-GB"/>
        </w:rPr>
        <w:t>the undertaking and injunction</w:t>
      </w:r>
      <w:r w:rsidR="00762B48" w:rsidRPr="00831573">
        <w:rPr>
          <w:rFonts w:ascii="Times New Roman" w:eastAsiaTheme="minorHAnsi" w:hAnsi="Times New Roman" w:cs="Times New Roman"/>
          <w:szCs w:val="24"/>
          <w:lang w:val="en-GB"/>
        </w:rPr>
        <w:t>.</w:t>
      </w:r>
    </w:p>
    <w:p w:rsidR="00831573" w:rsidRPr="00831573" w:rsidRDefault="00AE1F98" w:rsidP="00831573">
      <w:pPr>
        <w:pStyle w:val="ECHRPara"/>
        <w:rPr>
          <w:rFonts w:ascii="Times New Roman" w:eastAsiaTheme="minorHAnsi" w:hAnsi="Times New Roman" w:cs="Times New Roman"/>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w:t>
      </w:r>
      <w:r w:rsidRPr="00831573">
        <w:rPr>
          <w:lang w:val="en-GB"/>
        </w:rPr>
        <w:fldChar w:fldCharType="end"/>
      </w:r>
      <w:r w:rsidR="00444A84" w:rsidRPr="00831573">
        <w:rPr>
          <w:lang w:val="en-GB"/>
        </w:rPr>
        <w:t>.  </w:t>
      </w:r>
      <w:r w:rsidR="00762B48" w:rsidRPr="00831573">
        <w:rPr>
          <w:rFonts w:ascii="Times New Roman" w:eastAsiaTheme="minorHAnsi" w:hAnsi="Times New Roman" w:cs="Times New Roman"/>
          <w:szCs w:val="24"/>
          <w:lang w:val="en-GB"/>
        </w:rPr>
        <w:t xml:space="preserve">His Honour Judge Collins, sitting in the Central London Civil Justice Centre, chose to hear the </w:t>
      </w:r>
      <w:r w:rsidR="004501C5" w:rsidRPr="00831573">
        <w:rPr>
          <w:rFonts w:ascii="Times New Roman" w:eastAsiaTheme="minorHAnsi" w:hAnsi="Times New Roman" w:cs="Times New Roman"/>
          <w:szCs w:val="24"/>
          <w:lang w:val="en-GB"/>
        </w:rPr>
        <w:t>applicant</w:t>
      </w:r>
      <w:r w:rsidR="00831573" w:rsidRPr="00831573">
        <w:rPr>
          <w:rFonts w:ascii="Times New Roman" w:eastAsiaTheme="minorHAnsi" w:hAnsi="Times New Roman" w:cs="Times New Roman"/>
          <w:szCs w:val="24"/>
          <w:lang w:val="en-GB"/>
        </w:rPr>
        <w:t>’</w:t>
      </w:r>
      <w:r w:rsidR="004501C5" w:rsidRPr="00831573">
        <w:rPr>
          <w:rFonts w:ascii="Times New Roman" w:eastAsiaTheme="minorHAnsi" w:hAnsi="Times New Roman" w:cs="Times New Roman"/>
          <w:szCs w:val="24"/>
          <w:lang w:val="en-GB"/>
        </w:rPr>
        <w:t xml:space="preserve">s </w:t>
      </w:r>
      <w:r w:rsidR="00762B48" w:rsidRPr="00831573">
        <w:rPr>
          <w:rFonts w:ascii="Times New Roman" w:eastAsiaTheme="minorHAnsi" w:hAnsi="Times New Roman" w:cs="Times New Roman"/>
          <w:szCs w:val="24"/>
          <w:lang w:val="en-GB"/>
        </w:rPr>
        <w:t>application</w:t>
      </w:r>
      <w:r w:rsidR="004501C5" w:rsidRPr="00831573">
        <w:rPr>
          <w:rFonts w:ascii="Times New Roman" w:eastAsiaTheme="minorHAnsi" w:hAnsi="Times New Roman" w:cs="Times New Roman"/>
          <w:szCs w:val="24"/>
          <w:lang w:val="en-GB"/>
        </w:rPr>
        <w:t xml:space="preserve"> for contact and his former wife</w:t>
      </w:r>
      <w:r w:rsidR="00831573" w:rsidRPr="00831573">
        <w:rPr>
          <w:rFonts w:ascii="Times New Roman" w:eastAsiaTheme="minorHAnsi" w:hAnsi="Times New Roman" w:cs="Times New Roman"/>
          <w:szCs w:val="24"/>
          <w:lang w:val="en-GB"/>
        </w:rPr>
        <w:t>’</w:t>
      </w:r>
      <w:r w:rsidR="004501C5" w:rsidRPr="00831573">
        <w:rPr>
          <w:rFonts w:ascii="Times New Roman" w:eastAsiaTheme="minorHAnsi" w:hAnsi="Times New Roman" w:cs="Times New Roman"/>
          <w:szCs w:val="24"/>
          <w:lang w:val="en-GB"/>
        </w:rPr>
        <w:t>s application for him to be committed for contempt</w:t>
      </w:r>
      <w:r w:rsidR="00762B48" w:rsidRPr="00831573">
        <w:rPr>
          <w:rFonts w:ascii="Times New Roman" w:eastAsiaTheme="minorHAnsi" w:hAnsi="Times New Roman" w:cs="Times New Roman"/>
          <w:szCs w:val="24"/>
          <w:lang w:val="en-GB"/>
        </w:rPr>
        <w:t xml:space="preserve"> at the same time. He heard the</w:t>
      </w:r>
      <w:r w:rsidR="004501C5" w:rsidRPr="00831573">
        <w:rPr>
          <w:rFonts w:ascii="Times New Roman" w:eastAsiaTheme="minorHAnsi" w:hAnsi="Times New Roman" w:cs="Times New Roman"/>
          <w:szCs w:val="24"/>
          <w:lang w:val="en-GB"/>
        </w:rPr>
        <w:t xml:space="preserve"> applications</w:t>
      </w:r>
      <w:r w:rsidR="00762B48" w:rsidRPr="00831573">
        <w:rPr>
          <w:rFonts w:ascii="Times New Roman" w:eastAsiaTheme="minorHAnsi" w:hAnsi="Times New Roman" w:cs="Times New Roman"/>
          <w:szCs w:val="24"/>
          <w:lang w:val="en-GB"/>
        </w:rPr>
        <w:t xml:space="preserve"> on 26</w:t>
      </w:r>
      <w:r w:rsidR="00D5619D" w:rsidRPr="00831573">
        <w:rPr>
          <w:rFonts w:ascii="Times New Roman" w:eastAsiaTheme="minorHAnsi" w:hAnsi="Times New Roman" w:cs="Times New Roman"/>
          <w:szCs w:val="24"/>
          <w:lang w:val="en-GB"/>
        </w:rPr>
        <w:t xml:space="preserve"> </w:t>
      </w:r>
      <w:r w:rsidR="00762B48" w:rsidRPr="00831573">
        <w:rPr>
          <w:rFonts w:ascii="Times New Roman" w:eastAsiaTheme="minorHAnsi" w:hAnsi="Times New Roman" w:cs="Times New Roman"/>
          <w:szCs w:val="24"/>
          <w:lang w:val="en-GB"/>
        </w:rPr>
        <w:t>and 27 July 2005.</w:t>
      </w:r>
    </w:p>
    <w:p w:rsidR="00762B48" w:rsidRPr="00831573" w:rsidRDefault="00AE1F98" w:rsidP="00831573">
      <w:pPr>
        <w:pStyle w:val="ECHRPara"/>
        <w:rPr>
          <w:rFonts w:ascii="Times New Roman" w:eastAsiaTheme="minorHAnsi" w:hAnsi="Times New Roman" w:cs="Times New Roman"/>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w:t>
      </w:r>
      <w:r w:rsidRPr="00831573">
        <w:rPr>
          <w:lang w:val="en-GB"/>
        </w:rPr>
        <w:fldChar w:fldCharType="end"/>
      </w:r>
      <w:r w:rsidR="00762B48" w:rsidRPr="00831573">
        <w:rPr>
          <w:lang w:val="en-GB"/>
        </w:rPr>
        <w:t>.  </w:t>
      </w:r>
      <w:r w:rsidR="00762B48" w:rsidRPr="00831573">
        <w:rPr>
          <w:rFonts w:ascii="Times New Roman" w:eastAsiaTheme="minorHAnsi" w:hAnsi="Times New Roman" w:cs="Times New Roman"/>
          <w:szCs w:val="24"/>
          <w:lang w:val="en-GB"/>
        </w:rPr>
        <w:t>The applicant was unrepresented during the proceedings before Judge</w:t>
      </w:r>
      <w:r w:rsidR="006E49AD" w:rsidRPr="00831573">
        <w:rPr>
          <w:rFonts w:ascii="Times New Roman" w:eastAsiaTheme="minorHAnsi" w:hAnsi="Times New Roman" w:cs="Times New Roman"/>
          <w:szCs w:val="24"/>
          <w:lang w:val="en-GB"/>
        </w:rPr>
        <w:t> </w:t>
      </w:r>
      <w:r w:rsidR="00762B48" w:rsidRPr="00831573">
        <w:rPr>
          <w:rFonts w:ascii="Times New Roman" w:eastAsiaTheme="minorHAnsi" w:hAnsi="Times New Roman" w:cs="Times New Roman"/>
          <w:szCs w:val="24"/>
          <w:lang w:val="en-GB"/>
        </w:rPr>
        <w:t>Collins. His position as regards legal aid was due to be reviewed shortly after the hearing. The judge made no inquiries into why the applicant was unrepresented or whether he wanted representation.</w:t>
      </w:r>
    </w:p>
    <w:p w:rsidR="00762B48" w:rsidRPr="00831573" w:rsidRDefault="00AE1F98" w:rsidP="00831573">
      <w:pPr>
        <w:pStyle w:val="ECHRPara"/>
        <w:rPr>
          <w:rFonts w:ascii="Times New Roman" w:eastAsiaTheme="minorHAnsi" w:hAnsi="Times New Roman" w:cs="Times New Roman"/>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w:t>
      </w:r>
      <w:r w:rsidRPr="00831573">
        <w:rPr>
          <w:lang w:val="en-GB"/>
        </w:rPr>
        <w:fldChar w:fldCharType="end"/>
      </w:r>
      <w:r w:rsidR="00762B48" w:rsidRPr="00831573">
        <w:rPr>
          <w:lang w:val="en-GB"/>
        </w:rPr>
        <w:t>.  </w:t>
      </w:r>
      <w:r w:rsidR="00762B48" w:rsidRPr="00831573">
        <w:rPr>
          <w:rFonts w:ascii="Times New Roman" w:eastAsiaTheme="minorHAnsi" w:hAnsi="Times New Roman" w:cs="Times New Roman"/>
          <w:szCs w:val="24"/>
          <w:lang w:val="en-GB"/>
        </w:rPr>
        <w:t>On 27 July 2005 the judge made an order for indirect contact. He also committed the applicant to prison for three months</w:t>
      </w:r>
      <w:r w:rsidR="00AD6618" w:rsidRPr="00831573">
        <w:rPr>
          <w:rFonts w:ascii="Times New Roman" w:eastAsiaTheme="minorHAnsi" w:hAnsi="Times New Roman" w:cs="Times New Roman"/>
          <w:szCs w:val="24"/>
          <w:lang w:val="en-GB"/>
        </w:rPr>
        <w:t xml:space="preserve"> because</w:t>
      </w:r>
      <w:r w:rsidR="00762B48" w:rsidRPr="00831573">
        <w:rPr>
          <w:rFonts w:ascii="Times New Roman" w:eastAsiaTheme="minorHAnsi" w:hAnsi="Times New Roman" w:cs="Times New Roman"/>
          <w:szCs w:val="24"/>
          <w:lang w:val="en-GB"/>
        </w:rPr>
        <w:t xml:space="preserve"> he had breached the undertaking and the order and was therefore in contempt of court.</w:t>
      </w:r>
    </w:p>
    <w:bookmarkStart w:id="1" w:name="CompensationLawyer"/>
    <w:p w:rsidR="00762B48" w:rsidRPr="00831573" w:rsidRDefault="00AE1F98" w:rsidP="00831573">
      <w:pPr>
        <w:pStyle w:val="ECHRPara"/>
        <w:rPr>
          <w:rFonts w:eastAsiaTheme="minorHAns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w:t>
      </w:r>
      <w:r w:rsidRPr="00831573">
        <w:rPr>
          <w:lang w:val="en-GB"/>
        </w:rPr>
        <w:fldChar w:fldCharType="end"/>
      </w:r>
      <w:bookmarkEnd w:id="1"/>
      <w:r w:rsidR="00762B48" w:rsidRPr="00831573">
        <w:rPr>
          <w:lang w:val="en-GB"/>
        </w:rPr>
        <w:t>.</w:t>
      </w:r>
      <w:r w:rsidR="00444A84" w:rsidRPr="00831573">
        <w:rPr>
          <w:rFonts w:eastAsiaTheme="minorHAnsi"/>
          <w:lang w:val="en-GB"/>
        </w:rPr>
        <w:t>  </w:t>
      </w:r>
      <w:r w:rsidR="00762B48" w:rsidRPr="00831573">
        <w:rPr>
          <w:rFonts w:eastAsiaTheme="minorHAnsi"/>
          <w:lang w:val="en-GB"/>
        </w:rPr>
        <w:t xml:space="preserve">The applicant contacted lawyers from prison in order to appeal his committal but, having accepted instructions, they failed to assist him. He subsequently lodged a complaint against them and received </w:t>
      </w:r>
      <w:r w:rsidR="006A279A" w:rsidRPr="00831573">
        <w:rPr>
          <w:rFonts w:eastAsiaTheme="minorHAnsi"/>
          <w:lang w:val="en-GB"/>
        </w:rPr>
        <w:t xml:space="preserve">five hundred </w:t>
      </w:r>
      <w:r w:rsidR="00762B48" w:rsidRPr="00831573">
        <w:rPr>
          <w:rFonts w:eastAsiaTheme="minorHAnsi"/>
          <w:lang w:val="en-GB"/>
        </w:rPr>
        <w:t>pounds sterling (“GBP”) in compensation.</w:t>
      </w:r>
    </w:p>
    <w:p w:rsidR="00762B48" w:rsidRPr="00831573" w:rsidRDefault="00AE1F98" w:rsidP="00831573">
      <w:pPr>
        <w:pStyle w:val="ECHRPara"/>
        <w:rPr>
          <w:rFonts w:ascii="Times New Roman" w:eastAsiaTheme="minorHAnsi" w:hAnsi="Times New Roman" w:cs="Times New Roman"/>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w:t>
      </w:r>
      <w:r w:rsidRPr="00831573">
        <w:rPr>
          <w:lang w:val="en-GB"/>
        </w:rPr>
        <w:fldChar w:fldCharType="end"/>
      </w:r>
      <w:r w:rsidR="00444A84" w:rsidRPr="00831573">
        <w:rPr>
          <w:lang w:val="en-GB"/>
        </w:rPr>
        <w:t>.  </w:t>
      </w:r>
      <w:r w:rsidR="00762B48" w:rsidRPr="00831573">
        <w:rPr>
          <w:rFonts w:ascii="Times New Roman" w:eastAsiaTheme="minorHAnsi" w:hAnsi="Times New Roman" w:cs="Times New Roman"/>
          <w:szCs w:val="24"/>
          <w:lang w:val="en-GB"/>
        </w:rPr>
        <w:t>The applicant was released on 9 September 2005</w:t>
      </w:r>
      <w:r w:rsidR="006410AC" w:rsidRPr="00831573">
        <w:rPr>
          <w:rFonts w:ascii="Times New Roman" w:eastAsiaTheme="minorHAnsi" w:hAnsi="Times New Roman" w:cs="Times New Roman"/>
          <w:szCs w:val="24"/>
          <w:lang w:val="en-GB"/>
        </w:rPr>
        <w:t>,</w:t>
      </w:r>
      <w:r w:rsidR="00762B48" w:rsidRPr="00831573">
        <w:rPr>
          <w:rFonts w:ascii="Times New Roman" w:eastAsiaTheme="minorHAnsi" w:hAnsi="Times New Roman" w:cs="Times New Roman"/>
          <w:szCs w:val="24"/>
          <w:lang w:val="en-GB"/>
        </w:rPr>
        <w:t xml:space="preserve"> </w:t>
      </w:r>
      <w:r w:rsidR="006530E3" w:rsidRPr="00831573">
        <w:rPr>
          <w:rFonts w:ascii="Times New Roman" w:eastAsiaTheme="minorHAnsi" w:hAnsi="Times New Roman" w:cs="Times New Roman"/>
          <w:szCs w:val="24"/>
          <w:lang w:val="en-GB"/>
        </w:rPr>
        <w:t>after</w:t>
      </w:r>
      <w:r w:rsidR="00BD5B07" w:rsidRPr="00831573">
        <w:rPr>
          <w:rFonts w:ascii="Times New Roman" w:eastAsiaTheme="minorHAnsi" w:hAnsi="Times New Roman" w:cs="Times New Roman"/>
          <w:szCs w:val="24"/>
          <w:lang w:val="en-GB"/>
        </w:rPr>
        <w:t xml:space="preserve"> approximately </w:t>
      </w:r>
      <w:r w:rsidR="006530E3" w:rsidRPr="00831573">
        <w:rPr>
          <w:rFonts w:ascii="Times New Roman" w:eastAsiaTheme="minorHAnsi" w:hAnsi="Times New Roman" w:cs="Times New Roman"/>
          <w:szCs w:val="24"/>
          <w:lang w:val="en-GB"/>
        </w:rPr>
        <w:t>six and a half weeks</w:t>
      </w:r>
      <w:r w:rsidR="00831573" w:rsidRPr="00831573">
        <w:rPr>
          <w:rFonts w:ascii="Times New Roman" w:eastAsiaTheme="minorHAnsi" w:hAnsi="Times New Roman" w:cs="Times New Roman"/>
          <w:szCs w:val="24"/>
          <w:lang w:val="en-GB"/>
        </w:rPr>
        <w:t>’</w:t>
      </w:r>
      <w:r w:rsidR="006530E3" w:rsidRPr="00831573">
        <w:rPr>
          <w:rFonts w:ascii="Times New Roman" w:eastAsiaTheme="minorHAnsi" w:hAnsi="Times New Roman" w:cs="Times New Roman"/>
          <w:szCs w:val="24"/>
          <w:lang w:val="en-GB"/>
        </w:rPr>
        <w:t xml:space="preserve"> imprisonment</w:t>
      </w:r>
      <w:r w:rsidR="006410AC" w:rsidRPr="00831573">
        <w:rPr>
          <w:rFonts w:ascii="Times New Roman" w:eastAsiaTheme="minorHAnsi" w:hAnsi="Times New Roman" w:cs="Times New Roman"/>
          <w:szCs w:val="24"/>
          <w:lang w:val="en-GB"/>
        </w:rPr>
        <w:t>,</w:t>
      </w:r>
      <w:r w:rsidR="006530E3" w:rsidRPr="00831573">
        <w:rPr>
          <w:rFonts w:ascii="Times New Roman" w:eastAsiaTheme="minorHAnsi" w:hAnsi="Times New Roman" w:cs="Times New Roman"/>
          <w:szCs w:val="24"/>
          <w:lang w:val="en-GB"/>
        </w:rPr>
        <w:t xml:space="preserve"> </w:t>
      </w:r>
      <w:r w:rsidR="00762B48" w:rsidRPr="00831573">
        <w:rPr>
          <w:rFonts w:ascii="Times New Roman" w:eastAsiaTheme="minorHAnsi" w:hAnsi="Times New Roman" w:cs="Times New Roman"/>
          <w:szCs w:val="24"/>
          <w:lang w:val="en-GB"/>
        </w:rPr>
        <w:t>pursuant to provisions permitting early release.</w:t>
      </w:r>
    </w:p>
    <w:p w:rsidR="00762B48" w:rsidRPr="00831573" w:rsidRDefault="006A279A" w:rsidP="00831573">
      <w:pPr>
        <w:pStyle w:val="ECHRHeading3"/>
        <w:rPr>
          <w:lang w:val="en-GB"/>
        </w:rPr>
      </w:pPr>
      <w:r w:rsidRPr="00831573">
        <w:rPr>
          <w:lang w:val="en-GB"/>
        </w:rPr>
        <w:t>2</w:t>
      </w:r>
      <w:r w:rsidR="00444A84" w:rsidRPr="00831573">
        <w:rPr>
          <w:lang w:val="en-GB"/>
        </w:rPr>
        <w:t>.  </w:t>
      </w:r>
      <w:r w:rsidR="00762B48" w:rsidRPr="00831573">
        <w:rPr>
          <w:lang w:val="en-GB"/>
        </w:rPr>
        <w:t>Appeal against the contempt finding</w:t>
      </w:r>
    </w:p>
    <w:bookmarkStart w:id="2" w:name="CALodgingOfAppeal"/>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w:t>
      </w:r>
      <w:r w:rsidRPr="00831573">
        <w:rPr>
          <w:lang w:val="en-GB"/>
        </w:rPr>
        <w:fldChar w:fldCharType="end"/>
      </w:r>
      <w:bookmarkEnd w:id="2"/>
      <w:r w:rsidR="00444A84" w:rsidRPr="00831573">
        <w:rPr>
          <w:lang w:val="en-GB"/>
        </w:rPr>
        <w:t>.  </w:t>
      </w:r>
      <w:r w:rsidR="006A279A" w:rsidRPr="00831573">
        <w:rPr>
          <w:lang w:val="en-GB"/>
        </w:rPr>
        <w:t>O</w:t>
      </w:r>
      <w:r w:rsidR="00762B48" w:rsidRPr="00831573">
        <w:rPr>
          <w:lang w:val="en-GB"/>
        </w:rPr>
        <w:t>n around 14 September 2005 the applicant lodged an appeal out of time against the finding that he had been in contempt of court. He subsequently obtained legal aid and legal representation to pursue those proceedings.</w:t>
      </w:r>
    </w:p>
    <w:bookmarkStart w:id="3" w:name="CofACivConPunishment1"/>
    <w:p w:rsidR="00831573"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17</w:t>
      </w:r>
      <w:r w:rsidRPr="00831573">
        <w:rPr>
          <w:lang w:val="en-GB"/>
        </w:rPr>
        <w:fldChar w:fldCharType="end"/>
      </w:r>
      <w:bookmarkEnd w:id="3"/>
      <w:r w:rsidR="00444A84" w:rsidRPr="00831573">
        <w:rPr>
          <w:lang w:val="en-GB"/>
        </w:rPr>
        <w:t>.  </w:t>
      </w:r>
      <w:r w:rsidR="00762B48" w:rsidRPr="00831573">
        <w:rPr>
          <w:lang w:val="en-GB"/>
        </w:rPr>
        <w:t xml:space="preserve">On 23 March 2007 the Court of Appeal </w:t>
      </w:r>
      <w:r w:rsidR="000736FF" w:rsidRPr="00831573">
        <w:rPr>
          <w:lang w:val="en-GB"/>
        </w:rPr>
        <w:t>quashed both</w:t>
      </w:r>
      <w:r w:rsidR="00762B48" w:rsidRPr="00831573">
        <w:rPr>
          <w:lang w:val="en-GB"/>
        </w:rPr>
        <w:t xml:space="preserve"> the finding of contempt and the sentence imposed.</w:t>
      </w:r>
      <w:r w:rsidR="00891BAB" w:rsidRPr="00831573">
        <w:rPr>
          <w:lang w:val="en-GB"/>
        </w:rPr>
        <w:t xml:space="preserve"> It found that the County Court</w:t>
      </w:r>
      <w:r w:rsidR="00831573" w:rsidRPr="00831573">
        <w:rPr>
          <w:lang w:val="en-GB"/>
        </w:rPr>
        <w:t>’</w:t>
      </w:r>
      <w:r w:rsidR="00891BAB" w:rsidRPr="00831573">
        <w:rPr>
          <w:lang w:val="en-GB"/>
        </w:rPr>
        <w:t>s errors of procedure were grave ones.</w:t>
      </w:r>
      <w:r w:rsidR="00762B48" w:rsidRPr="00831573">
        <w:rPr>
          <w:lang w:val="en-GB"/>
        </w:rPr>
        <w:t xml:space="preserve"> Lord Justice Moses</w:t>
      </w:r>
      <w:r w:rsidR="005E2BE1" w:rsidRPr="00831573">
        <w:rPr>
          <w:lang w:val="en-GB"/>
        </w:rPr>
        <w:t>, delivering the first judgment,</w:t>
      </w:r>
      <w:r w:rsidR="00762B48" w:rsidRPr="00831573">
        <w:rPr>
          <w:lang w:val="en-GB"/>
        </w:rPr>
        <w:t xml:space="preserve"> began by setting out a number of well-established principles relevant to committal hearings. </w:t>
      </w:r>
      <w:r w:rsidR="009907B7" w:rsidRPr="00831573">
        <w:rPr>
          <w:lang w:val="en-GB"/>
        </w:rPr>
        <w:t>T</w:t>
      </w:r>
      <w:r w:rsidR="00762B48" w:rsidRPr="00831573">
        <w:rPr>
          <w:lang w:val="en-GB"/>
        </w:rPr>
        <w:t xml:space="preserve">he need to observe the Human Rights Act 1998 </w:t>
      </w:r>
      <w:r w:rsidR="006A279A" w:rsidRPr="00831573">
        <w:rPr>
          <w:lang w:val="en-GB"/>
        </w:rPr>
        <w:t xml:space="preserve">(see paragraphs </w:t>
      </w:r>
      <w:r w:rsidR="006A279A" w:rsidRPr="00831573">
        <w:rPr>
          <w:lang w:val="en-GB"/>
        </w:rPr>
        <w:fldChar w:fldCharType="begin"/>
      </w:r>
      <w:r w:rsidR="006A279A" w:rsidRPr="00831573">
        <w:rPr>
          <w:lang w:val="en-GB"/>
        </w:rPr>
        <w:instrText xml:space="preserve"> REF HRAstart \h </w:instrText>
      </w:r>
      <w:r w:rsidR="006A279A" w:rsidRPr="00831573">
        <w:rPr>
          <w:lang w:val="en-GB"/>
        </w:rPr>
      </w:r>
      <w:r w:rsidR="006A279A" w:rsidRPr="00831573">
        <w:rPr>
          <w:lang w:val="en-GB"/>
        </w:rPr>
        <w:fldChar w:fldCharType="separate"/>
      </w:r>
      <w:r w:rsidR="00831573" w:rsidRPr="00831573">
        <w:rPr>
          <w:noProof/>
          <w:lang w:val="en-GB"/>
        </w:rPr>
        <w:t>50</w:t>
      </w:r>
      <w:r w:rsidR="006A279A" w:rsidRPr="00831573">
        <w:rPr>
          <w:lang w:val="en-GB"/>
        </w:rPr>
        <w:fldChar w:fldCharType="end"/>
      </w:r>
      <w:r w:rsidR="006A279A" w:rsidRPr="00831573">
        <w:rPr>
          <w:lang w:val="en-GB"/>
        </w:rPr>
        <w:t xml:space="preserve"> to </w:t>
      </w:r>
      <w:r w:rsidR="00C73BCB" w:rsidRPr="00831573">
        <w:rPr>
          <w:lang w:val="en-GB"/>
        </w:rPr>
        <w:fldChar w:fldCharType="begin"/>
      </w:r>
      <w:r w:rsidR="00C73BCB" w:rsidRPr="00831573">
        <w:rPr>
          <w:lang w:val="en-GB"/>
        </w:rPr>
        <w:instrText xml:space="preserve"> REF HRAend \h </w:instrText>
      </w:r>
      <w:r w:rsidR="00C73BCB" w:rsidRPr="00831573">
        <w:rPr>
          <w:lang w:val="en-GB"/>
        </w:rPr>
      </w:r>
      <w:r w:rsidR="00C73BCB" w:rsidRPr="00831573">
        <w:rPr>
          <w:lang w:val="en-GB"/>
        </w:rPr>
        <w:fldChar w:fldCharType="separate"/>
      </w:r>
      <w:r w:rsidR="00831573" w:rsidRPr="00831573">
        <w:rPr>
          <w:noProof/>
          <w:lang w:val="en-GB"/>
        </w:rPr>
        <w:t>55</w:t>
      </w:r>
      <w:r w:rsidR="00C73BCB" w:rsidRPr="00831573">
        <w:rPr>
          <w:lang w:val="en-GB"/>
        </w:rPr>
        <w:fldChar w:fldCharType="end"/>
      </w:r>
      <w:r w:rsidR="006A279A" w:rsidRPr="00831573">
        <w:rPr>
          <w:lang w:val="en-GB"/>
        </w:rPr>
        <w:t xml:space="preserve"> below) </w:t>
      </w:r>
      <w:r w:rsidR="00762B48" w:rsidRPr="00831573">
        <w:rPr>
          <w:lang w:val="en-GB"/>
        </w:rPr>
        <w:t xml:space="preserve">was central to the practice direction on committal proceedings, which </w:t>
      </w:r>
      <w:r w:rsidR="005E2BE1" w:rsidRPr="00831573">
        <w:rPr>
          <w:lang w:val="en-GB"/>
        </w:rPr>
        <w:t xml:space="preserve">had </w:t>
      </w:r>
      <w:r w:rsidR="00762B48" w:rsidRPr="00831573">
        <w:rPr>
          <w:lang w:val="en-GB"/>
        </w:rPr>
        <w:t xml:space="preserve">applied to the proceedings before the County Court (see </w:t>
      </w:r>
      <w:r w:rsidR="005E2BE1" w:rsidRPr="00831573">
        <w:rPr>
          <w:lang w:val="en-GB"/>
        </w:rPr>
        <w:t xml:space="preserve">paragraph </w:t>
      </w:r>
      <w:r w:rsidR="00E2618F" w:rsidRPr="00831573">
        <w:rPr>
          <w:lang w:val="en-GB"/>
        </w:rPr>
        <w:fldChar w:fldCharType="begin"/>
      </w:r>
      <w:r w:rsidR="00E2618F" w:rsidRPr="00831573">
        <w:rPr>
          <w:lang w:val="en-GB"/>
        </w:rPr>
        <w:instrText xml:space="preserve"> REF PDFamilyHR \h </w:instrText>
      </w:r>
      <w:r w:rsidR="00E36332" w:rsidRPr="00831573">
        <w:rPr>
          <w:lang w:val="en-GB"/>
        </w:rPr>
        <w:instrText xml:space="preserve"> \* MERGEFORMAT </w:instrText>
      </w:r>
      <w:r w:rsidR="00E2618F" w:rsidRPr="00831573">
        <w:rPr>
          <w:lang w:val="en-GB"/>
        </w:rPr>
      </w:r>
      <w:r w:rsidR="00E2618F" w:rsidRPr="00831573">
        <w:rPr>
          <w:lang w:val="en-GB"/>
        </w:rPr>
        <w:fldChar w:fldCharType="separate"/>
      </w:r>
      <w:r w:rsidR="00831573" w:rsidRPr="00831573">
        <w:rPr>
          <w:lang w:val="en-GB"/>
        </w:rPr>
        <w:t>41</w:t>
      </w:r>
      <w:r w:rsidR="00E2618F" w:rsidRPr="00831573">
        <w:rPr>
          <w:lang w:val="en-GB"/>
        </w:rPr>
        <w:fldChar w:fldCharType="end"/>
      </w:r>
      <w:r w:rsidR="00762B48" w:rsidRPr="00831573">
        <w:rPr>
          <w:lang w:val="en-GB"/>
        </w:rPr>
        <w:t xml:space="preserve"> below). </w:t>
      </w:r>
      <w:r w:rsidR="009907B7" w:rsidRPr="00831573">
        <w:rPr>
          <w:lang w:val="en-GB"/>
        </w:rPr>
        <w:t>S</w:t>
      </w:r>
      <w:r w:rsidR="00762B48" w:rsidRPr="00831573">
        <w:rPr>
          <w:lang w:val="en-GB"/>
        </w:rPr>
        <w:t>uch proceedings concerned a “criminal charge” for the purpose of Article 6 of the Convention and the defendant therefore benefited from the right to legal assistance set out in Article</w:t>
      </w:r>
      <w:r w:rsidR="006E49AD" w:rsidRPr="00831573">
        <w:rPr>
          <w:lang w:val="en-GB"/>
        </w:rPr>
        <w:t> </w:t>
      </w:r>
      <w:r w:rsidR="00762B48" w:rsidRPr="00831573">
        <w:rPr>
          <w:lang w:val="en-GB"/>
        </w:rPr>
        <w:t>6</w:t>
      </w:r>
      <w:r w:rsidR="00831573" w:rsidRPr="00831573">
        <w:rPr>
          <w:lang w:val="en-GB"/>
        </w:rPr>
        <w:t xml:space="preserve"> </w:t>
      </w:r>
      <w:r w:rsidR="00762B48" w:rsidRPr="00831573">
        <w:rPr>
          <w:lang w:val="en-GB"/>
        </w:rPr>
        <w:t>§</w:t>
      </w:r>
      <w:r w:rsidR="006E49AD" w:rsidRPr="00831573">
        <w:rPr>
          <w:lang w:val="en-GB"/>
        </w:rPr>
        <w:t> </w:t>
      </w:r>
      <w:r w:rsidR="00762B48" w:rsidRPr="00831573">
        <w:rPr>
          <w:lang w:val="en-GB"/>
        </w:rPr>
        <w:t>3</w:t>
      </w:r>
      <w:r w:rsidR="006E49AD" w:rsidRPr="00831573">
        <w:rPr>
          <w:lang w:val="en-GB"/>
        </w:rPr>
        <w:t> </w:t>
      </w:r>
      <w:r w:rsidR="00762B48" w:rsidRPr="00831573">
        <w:rPr>
          <w:lang w:val="en-GB"/>
        </w:rPr>
        <w:t xml:space="preserve">(c). </w:t>
      </w:r>
      <w:r w:rsidR="009907B7" w:rsidRPr="00831573">
        <w:rPr>
          <w:lang w:val="en-GB"/>
        </w:rPr>
        <w:t>A</w:t>
      </w:r>
      <w:r w:rsidR="009B4635" w:rsidRPr="00831573">
        <w:rPr>
          <w:lang w:val="en-GB"/>
        </w:rPr>
        <w:t xml:space="preserve"> defendant to committal proceedings was not obliged to give evidence a</w:t>
      </w:r>
      <w:r w:rsidR="006E49AD" w:rsidRPr="00831573">
        <w:rPr>
          <w:lang w:val="en-GB"/>
        </w:rPr>
        <w:t>nd enjoyed a right against self</w:t>
      </w:r>
      <w:r w:rsidR="006E49AD" w:rsidRPr="00831573">
        <w:rPr>
          <w:lang w:val="en-GB"/>
        </w:rPr>
        <w:noBreakHyphen/>
        <w:t>i</w:t>
      </w:r>
      <w:r w:rsidR="009B4635" w:rsidRPr="00831573">
        <w:rPr>
          <w:lang w:val="en-GB"/>
        </w:rPr>
        <w:t>ncrimination and</w:t>
      </w:r>
      <w:r w:rsidR="00762B48" w:rsidRPr="00831573">
        <w:rPr>
          <w:lang w:val="en-GB"/>
        </w:rPr>
        <w:t>, referring to Article 6 § 2, the burden of proving guilt lay on the person seeking committal.</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18</w:t>
      </w:r>
      <w:r w:rsidRPr="00831573">
        <w:rPr>
          <w:lang w:val="en-GB"/>
        </w:rPr>
        <w:fldChar w:fldCharType="end"/>
      </w:r>
      <w:r w:rsidR="00762B48" w:rsidRPr="00831573">
        <w:rPr>
          <w:lang w:val="en-GB"/>
        </w:rPr>
        <w:t>.</w:t>
      </w:r>
      <w:r w:rsidR="004B6B6E" w:rsidRPr="00831573">
        <w:rPr>
          <w:lang w:val="en-GB"/>
        </w:rPr>
        <w:t>  </w:t>
      </w:r>
      <w:r w:rsidR="00762B48" w:rsidRPr="00831573">
        <w:rPr>
          <w:lang w:val="en-GB"/>
        </w:rPr>
        <w:t>In the applicant</w:t>
      </w:r>
      <w:r w:rsidR="00831573" w:rsidRPr="00831573">
        <w:rPr>
          <w:lang w:val="en-GB"/>
        </w:rPr>
        <w:t>’</w:t>
      </w:r>
      <w:r w:rsidR="00762B48" w:rsidRPr="00831573">
        <w:rPr>
          <w:lang w:val="en-GB"/>
        </w:rPr>
        <w:t xml:space="preserve">s case, Moses LJ observed that these matters </w:t>
      </w:r>
      <w:r w:rsidR="00902484" w:rsidRPr="00831573">
        <w:rPr>
          <w:lang w:val="en-GB"/>
        </w:rPr>
        <w:t>had</w:t>
      </w:r>
      <w:r w:rsidR="00762B48" w:rsidRPr="00831573">
        <w:rPr>
          <w:lang w:val="en-GB"/>
        </w:rPr>
        <w:t xml:space="preserve"> not</w:t>
      </w:r>
      <w:r w:rsidR="00902484" w:rsidRPr="00831573">
        <w:rPr>
          <w:lang w:val="en-GB"/>
        </w:rPr>
        <w:t xml:space="preserve"> been</w:t>
      </w:r>
      <w:r w:rsidR="00762B48" w:rsidRPr="00831573">
        <w:rPr>
          <w:lang w:val="en-GB"/>
        </w:rPr>
        <w:t xml:space="preserve"> drawn to the attention of the judge. He continued:</w:t>
      </w:r>
    </w:p>
    <w:p w:rsidR="00762B48" w:rsidRPr="00831573" w:rsidRDefault="00581020" w:rsidP="00831573">
      <w:pPr>
        <w:pStyle w:val="ECHRParaQuote"/>
        <w:rPr>
          <w:lang w:val="en-GB"/>
        </w:rPr>
      </w:pPr>
      <w:r w:rsidRPr="00831573">
        <w:rPr>
          <w:lang w:val="en-GB"/>
        </w:rPr>
        <w:t>“11. </w:t>
      </w:r>
      <w:r w:rsidR="00762B48" w:rsidRPr="00831573">
        <w:rPr>
          <w:lang w:val="en-GB"/>
        </w:rPr>
        <w:t>Untutored and unassisted as the judge was, matters went wrong from the beginning. The judge noted, at the outset, that Mr Hammerton was acting in person. He made no comment about it whatever. In particular, he did not ask anything as to the circumstances in which he was unrepresented. Had he done so, he would have learnt that earlier legal representation had been withdrawn by the Legal Services Commission after he received a sum of money on his divorce ... That was the subject matter of a review panel which was due to sit two weeks later. This emerged at the outset of the cross-examination by counsel for Mrs Hammerton on the second day of the hearing.”</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19</w:t>
      </w:r>
      <w:r w:rsidRPr="00831573">
        <w:rPr>
          <w:lang w:val="en-GB"/>
        </w:rPr>
        <w:fldChar w:fldCharType="end"/>
      </w:r>
      <w:r w:rsidR="00762B48" w:rsidRPr="00831573">
        <w:rPr>
          <w:lang w:val="en-GB"/>
        </w:rPr>
        <w:t>.</w:t>
      </w:r>
      <w:r w:rsidR="004B6B6E" w:rsidRPr="00831573">
        <w:rPr>
          <w:rFonts w:ascii="Times New Roman" w:eastAsiaTheme="minorHAnsi" w:hAnsi="Times New Roman" w:cs="Times New Roman"/>
          <w:szCs w:val="24"/>
          <w:lang w:val="en-GB"/>
        </w:rPr>
        <w:t>  </w:t>
      </w:r>
      <w:r w:rsidR="006A279A" w:rsidRPr="00831573">
        <w:rPr>
          <w:lang w:val="en-GB"/>
        </w:rPr>
        <w:t xml:space="preserve">Moses LJ </w:t>
      </w:r>
      <w:r w:rsidR="00762B48" w:rsidRPr="00831573">
        <w:rPr>
          <w:lang w:val="en-GB"/>
        </w:rPr>
        <w:t>considered that once the judge had learnt that the issue of legal aid was the subject of a</w:t>
      </w:r>
      <w:r w:rsidR="006A279A" w:rsidRPr="00831573">
        <w:rPr>
          <w:lang w:val="en-GB"/>
        </w:rPr>
        <w:t>n imminent</w:t>
      </w:r>
      <w:r w:rsidR="00762B48" w:rsidRPr="00831573">
        <w:rPr>
          <w:lang w:val="en-GB"/>
        </w:rPr>
        <w:t xml:space="preserve"> review panel</w:t>
      </w:r>
      <w:r w:rsidR="000736FF" w:rsidRPr="00831573">
        <w:rPr>
          <w:lang w:val="en-GB"/>
        </w:rPr>
        <w:t>,</w:t>
      </w:r>
      <w:r w:rsidR="00762B48" w:rsidRPr="00831573">
        <w:rPr>
          <w:lang w:val="en-GB"/>
        </w:rPr>
        <w:t xml:space="preserve"> there was no reason why the committal hearing should not have been adjourned until the issue of legal representation had been resolved. He was of the view that the judge </w:t>
      </w:r>
      <w:r w:rsidR="00902484" w:rsidRPr="00831573">
        <w:rPr>
          <w:lang w:val="en-GB"/>
        </w:rPr>
        <w:t>had been</w:t>
      </w:r>
      <w:r w:rsidR="00762B48" w:rsidRPr="00831573">
        <w:rPr>
          <w:lang w:val="en-GB"/>
        </w:rPr>
        <w:t xml:space="preserve"> obliged to ask appropriate questions and to consider, at the very outset of the hearing, whether there should be an adjournment so as to enable the defendant to be represented. In the absence of evidence of intransigence on the part of the applicant, and he noted that there was none, there was no reason why the applicant should not be represented.</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20</w:t>
      </w:r>
      <w:r w:rsidRPr="00831573">
        <w:rPr>
          <w:lang w:val="en-GB"/>
        </w:rPr>
        <w:fldChar w:fldCharType="end"/>
      </w:r>
      <w:r w:rsidR="00762B48" w:rsidRPr="00831573">
        <w:rPr>
          <w:lang w:val="en-GB"/>
        </w:rPr>
        <w:t>.</w:t>
      </w:r>
      <w:r w:rsidR="004B6B6E" w:rsidRPr="00831573">
        <w:rPr>
          <w:rFonts w:ascii="Times New Roman" w:eastAsiaTheme="minorHAnsi" w:hAnsi="Times New Roman" w:cs="Times New Roman"/>
          <w:szCs w:val="24"/>
          <w:lang w:val="en-GB"/>
        </w:rPr>
        <w:t>  </w:t>
      </w:r>
      <w:r w:rsidR="00762B48" w:rsidRPr="00831573">
        <w:rPr>
          <w:lang w:val="en-GB"/>
        </w:rPr>
        <w:t xml:space="preserve">Moses LJ further found that the decision to hear </w:t>
      </w:r>
      <w:r w:rsidR="006A279A" w:rsidRPr="00831573">
        <w:rPr>
          <w:lang w:val="en-GB"/>
        </w:rPr>
        <w:t xml:space="preserve">the </w:t>
      </w:r>
      <w:r w:rsidR="00762B48" w:rsidRPr="00831573">
        <w:rPr>
          <w:lang w:val="en-GB"/>
        </w:rPr>
        <w:t xml:space="preserve">application </w:t>
      </w:r>
      <w:r w:rsidR="006A279A" w:rsidRPr="00831573">
        <w:rPr>
          <w:lang w:val="en-GB"/>
        </w:rPr>
        <w:t>for committal at the same time as the application for contact</w:t>
      </w:r>
      <w:r w:rsidR="00762B48" w:rsidRPr="00831573">
        <w:rPr>
          <w:lang w:val="en-GB"/>
        </w:rPr>
        <w:t xml:space="preserve"> led to inescapable errors in procedure. He noted that it was for the applicant to establish his claim for contact, and for his former wife to prove breaches of the undertaking and the court order. The applicant should have been warned that he did not need to give evidenc</w:t>
      </w:r>
      <w:r w:rsidR="00581020" w:rsidRPr="00831573">
        <w:rPr>
          <w:lang w:val="en-GB"/>
        </w:rPr>
        <w:t>e; he received no such warning.</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21</w:t>
      </w:r>
      <w:r w:rsidRPr="00831573">
        <w:rPr>
          <w:lang w:val="en-GB"/>
        </w:rPr>
        <w:fldChar w:fldCharType="end"/>
      </w:r>
      <w:r w:rsidR="00762B48" w:rsidRPr="00831573">
        <w:rPr>
          <w:lang w:val="en-GB"/>
        </w:rPr>
        <w:t>.</w:t>
      </w:r>
      <w:r w:rsidR="004B6B6E" w:rsidRPr="00831573">
        <w:rPr>
          <w:lang w:val="en-GB"/>
        </w:rPr>
        <w:t>  </w:t>
      </w:r>
      <w:r w:rsidR="006A279A" w:rsidRPr="00831573">
        <w:rPr>
          <w:lang w:val="en-GB"/>
        </w:rPr>
        <w:t xml:space="preserve">Moses LJ </w:t>
      </w:r>
      <w:r w:rsidR="00762B48" w:rsidRPr="00831573">
        <w:rPr>
          <w:lang w:val="en-GB"/>
        </w:rPr>
        <w:t>concluded that the decision of the judge to hear both applications at the same time had placed the applicant in an impossible position, noting that there was no hint at any stage in the transcript of the proceedings of anyone advising the applicant of his rights in respect of the committal proceedings, nor of the judge reminding himself of the different burden and standard of proof in the two applications. Further, the judge had given no explanation as to why he considered it essential to deal with both applications at the same time.</w:t>
      </w:r>
    </w:p>
    <w:bookmarkStart w:id="4" w:name="CofACivConPunishment2"/>
    <w:p w:rsidR="00762B48" w:rsidRPr="00831573" w:rsidRDefault="008B592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22</w:t>
      </w:r>
      <w:r w:rsidRPr="00831573">
        <w:rPr>
          <w:lang w:val="en-GB"/>
        </w:rPr>
        <w:fldChar w:fldCharType="end"/>
      </w:r>
      <w:r w:rsidRPr="00831573">
        <w:rPr>
          <w:lang w:val="en-GB"/>
        </w:rPr>
        <w:t>.</w:t>
      </w:r>
      <w:bookmarkEnd w:id="4"/>
      <w:r w:rsidR="004B6B6E" w:rsidRPr="00831573">
        <w:rPr>
          <w:lang w:val="en-GB"/>
        </w:rPr>
        <w:t>  </w:t>
      </w:r>
      <w:r w:rsidR="00762B48" w:rsidRPr="00831573">
        <w:rPr>
          <w:lang w:val="en-GB"/>
        </w:rPr>
        <w:t xml:space="preserve">Finally, Moses LJ considered that the judge again fell into error at the sentencing stage. He noted that the judge never paused, even at that stage, to consider whether the applicant should have legal representation or to remind himself of the relevant principles. </w:t>
      </w:r>
      <w:r w:rsidR="009907B7" w:rsidRPr="00831573">
        <w:rPr>
          <w:lang w:val="en-GB"/>
        </w:rPr>
        <w:t>He observed that the judge had paid no heed to the purpose of punishment in contempt proceedings.</w:t>
      </w:r>
      <w:r w:rsidR="00D51F66" w:rsidRPr="00831573">
        <w:rPr>
          <w:lang w:val="en-GB"/>
        </w:rPr>
        <w:t xml:space="preserve"> Since he had not been represented and had never been given an opportunity to mitigate</w:t>
      </w:r>
      <w:r w:rsidR="00872BAA" w:rsidRPr="00831573">
        <w:rPr>
          <w:lang w:val="en-GB"/>
        </w:rPr>
        <w:t>,</w:t>
      </w:r>
      <w:r w:rsidR="00D51F66" w:rsidRPr="00831573">
        <w:rPr>
          <w:lang w:val="en-GB"/>
        </w:rPr>
        <w:t xml:space="preserve"> the sentencing phase of the committal was “fatally flawed”.</w:t>
      </w:r>
    </w:p>
    <w:bookmarkStart w:id="5" w:name="CASentencingError"/>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23</w:t>
      </w:r>
      <w:r w:rsidRPr="00831573">
        <w:rPr>
          <w:lang w:val="en-GB"/>
        </w:rPr>
        <w:fldChar w:fldCharType="end"/>
      </w:r>
      <w:bookmarkEnd w:id="5"/>
      <w:r w:rsidR="004B6B6E" w:rsidRPr="00831573">
        <w:rPr>
          <w:lang w:val="en-GB"/>
        </w:rPr>
        <w:t>.  </w:t>
      </w:r>
      <w:r w:rsidR="00762B48" w:rsidRPr="00831573">
        <w:rPr>
          <w:lang w:val="en-GB"/>
        </w:rPr>
        <w:t xml:space="preserve">Moses LJ then </w:t>
      </w:r>
      <w:r w:rsidR="008B5924" w:rsidRPr="00831573">
        <w:rPr>
          <w:lang w:val="en-GB"/>
        </w:rPr>
        <w:t>assessed</w:t>
      </w:r>
      <w:r w:rsidR="00762B48" w:rsidRPr="00831573">
        <w:rPr>
          <w:lang w:val="en-GB"/>
        </w:rPr>
        <w:t xml:space="preserve"> whether it was necessary for the court to consider whether legal representation would have made a difference in the applicant</w:t>
      </w:r>
      <w:r w:rsidR="00831573" w:rsidRPr="00831573">
        <w:rPr>
          <w:lang w:val="en-GB"/>
        </w:rPr>
        <w:t>’</w:t>
      </w:r>
      <w:r w:rsidR="00762B48" w:rsidRPr="00831573">
        <w:rPr>
          <w:lang w:val="en-GB"/>
        </w:rPr>
        <w:t xml:space="preserve">s case. He commented that it was almost impossible to envisage a case where such representation would not be needed, if only, as this case demonstrated, to remind a judge of the principles which applied. </w:t>
      </w:r>
      <w:r w:rsidR="008B5924" w:rsidRPr="00831573">
        <w:rPr>
          <w:lang w:val="en-GB"/>
        </w:rPr>
        <w:t>E</w:t>
      </w:r>
      <w:r w:rsidR="00762B48" w:rsidRPr="00831573">
        <w:rPr>
          <w:lang w:val="en-GB"/>
        </w:rPr>
        <w:t xml:space="preserve">ven in a case where a defendant admitted every breach alleged, representation would be needed so as to assist the judge in considering the appropriate disposal. </w:t>
      </w:r>
      <w:r w:rsidR="00B32840" w:rsidRPr="00831573">
        <w:rPr>
          <w:lang w:val="en-GB"/>
        </w:rPr>
        <w:t xml:space="preserve">The case was certainly not one where the court would decline to take action despite a violation of Article 6. </w:t>
      </w:r>
      <w:r w:rsidR="003F1AE8" w:rsidRPr="00831573">
        <w:rPr>
          <w:lang w:val="en-GB"/>
        </w:rPr>
        <w:t>T</w:t>
      </w:r>
      <w:r w:rsidR="00762B48" w:rsidRPr="00831573">
        <w:rPr>
          <w:lang w:val="en-GB"/>
        </w:rPr>
        <w:t xml:space="preserve">here was ample material to suggest that </w:t>
      </w:r>
      <w:r w:rsidR="003F1AE8" w:rsidRPr="00831573">
        <w:rPr>
          <w:lang w:val="en-GB"/>
        </w:rPr>
        <w:t xml:space="preserve">legal representation </w:t>
      </w:r>
      <w:r w:rsidR="00144CBA" w:rsidRPr="00831573">
        <w:rPr>
          <w:lang w:val="en-GB"/>
        </w:rPr>
        <w:t>would have</w:t>
      </w:r>
      <w:r w:rsidR="003F1AE8" w:rsidRPr="00831573">
        <w:rPr>
          <w:lang w:val="en-GB"/>
        </w:rPr>
        <w:t xml:space="preserve"> made a difference</w:t>
      </w:r>
      <w:r w:rsidR="00762B48" w:rsidRPr="00831573">
        <w:rPr>
          <w:lang w:val="en-GB"/>
        </w:rPr>
        <w:t xml:space="preserve">. </w:t>
      </w:r>
      <w:r w:rsidR="003F1AE8" w:rsidRPr="00831573">
        <w:rPr>
          <w:lang w:val="en-GB"/>
        </w:rPr>
        <w:t>Q</w:t>
      </w:r>
      <w:r w:rsidR="00762B48" w:rsidRPr="00831573">
        <w:rPr>
          <w:lang w:val="en-GB"/>
        </w:rPr>
        <w:t>uite apart from the question of the appropriate sentence, there was material relevant to the facts of the breaches to which the judge</w:t>
      </w:r>
      <w:r w:rsidR="00831573" w:rsidRPr="00831573">
        <w:rPr>
          <w:lang w:val="en-GB"/>
        </w:rPr>
        <w:t>’</w:t>
      </w:r>
      <w:r w:rsidR="00762B48" w:rsidRPr="00831573">
        <w:rPr>
          <w:lang w:val="en-GB"/>
        </w:rPr>
        <w:t>s attention ought to have been drawn.</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24</w:t>
      </w:r>
      <w:r w:rsidRPr="00831573">
        <w:rPr>
          <w:lang w:val="en-GB"/>
        </w:rPr>
        <w:fldChar w:fldCharType="end"/>
      </w:r>
      <w:r w:rsidR="004B6B6E" w:rsidRPr="00831573">
        <w:rPr>
          <w:lang w:val="en-GB"/>
        </w:rPr>
        <w:t>.  </w:t>
      </w:r>
      <w:r w:rsidR="00762B48" w:rsidRPr="00831573">
        <w:rPr>
          <w:lang w:val="en-GB"/>
        </w:rPr>
        <w:t>Lord Justice Wall fully agreed with Moses LJ, noting:</w:t>
      </w:r>
    </w:p>
    <w:p w:rsidR="00762B48" w:rsidRPr="00831573" w:rsidRDefault="00581020" w:rsidP="00831573">
      <w:pPr>
        <w:pStyle w:val="ECHRParaQuote"/>
        <w:rPr>
          <w:lang w:val="en-GB"/>
        </w:rPr>
      </w:pPr>
      <w:r w:rsidRPr="00831573">
        <w:rPr>
          <w:lang w:val="en-GB"/>
        </w:rPr>
        <w:t>“35. </w:t>
      </w:r>
      <w:r w:rsidR="00762B48" w:rsidRPr="00831573">
        <w:rPr>
          <w:lang w:val="en-GB"/>
        </w:rPr>
        <w:t>There are, of course, many cases in the books in which this court has upheld committal orders even although they have been made in proceedings which were procedurally flawed ... Provided the contemnor has had a fair trial and the order has been made on valid grounds, the existence of a defect in the committal application or in the order served will not result in it being set aside except in so far as the interests of justice require that to be done ...</w:t>
      </w:r>
    </w:p>
    <w:p w:rsidR="00762B48" w:rsidRPr="00831573" w:rsidRDefault="00581020" w:rsidP="00831573">
      <w:pPr>
        <w:pStyle w:val="ECHRParaQuote"/>
        <w:rPr>
          <w:lang w:val="en-GB"/>
        </w:rPr>
      </w:pPr>
      <w:r w:rsidRPr="00831573">
        <w:rPr>
          <w:lang w:val="en-GB"/>
        </w:rPr>
        <w:t>36. </w:t>
      </w:r>
      <w:r w:rsidR="00762B48" w:rsidRPr="00831573">
        <w:rPr>
          <w:lang w:val="en-GB"/>
        </w:rPr>
        <w:t>The instant case, however, is plainly not in that category, and I am in complete agreement with Moses LJ that the defects in the process in the instant case are so serious that the interests of justice plainly require both the committal order and the consequential sentence of imprisonment to be set aside.”</w:t>
      </w:r>
    </w:p>
    <w:p w:rsidR="00762B48" w:rsidRPr="00831573" w:rsidRDefault="0090248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25</w:t>
      </w:r>
      <w:r w:rsidRPr="00831573">
        <w:rPr>
          <w:lang w:val="en-GB"/>
        </w:rPr>
        <w:fldChar w:fldCharType="end"/>
      </w:r>
      <w:r w:rsidR="006851D9" w:rsidRPr="00831573">
        <w:rPr>
          <w:lang w:val="en-GB"/>
        </w:rPr>
        <w:t>.  </w:t>
      </w:r>
      <w:r w:rsidR="00762B48" w:rsidRPr="00831573">
        <w:rPr>
          <w:lang w:val="en-GB"/>
        </w:rPr>
        <w:t>Specifically on the question of access to legal advice, he added:</w:t>
      </w:r>
    </w:p>
    <w:p w:rsidR="00762B48" w:rsidRPr="00831573" w:rsidRDefault="00762B48" w:rsidP="00831573">
      <w:pPr>
        <w:pStyle w:val="ECHRParaQuote"/>
        <w:rPr>
          <w:lang w:val="en-GB"/>
        </w:rPr>
      </w:pPr>
      <w:r w:rsidRPr="00831573">
        <w:rPr>
          <w:lang w:val="en-GB"/>
        </w:rPr>
        <w:t>“52.  ... Even more important, however, in my view is the proposition that in the absence of exceptional circumstances, it is a breach of a party</w:t>
      </w:r>
      <w:r w:rsidR="00831573" w:rsidRPr="00831573">
        <w:rPr>
          <w:lang w:val="en-GB"/>
        </w:rPr>
        <w:t>’</w:t>
      </w:r>
      <w:r w:rsidRPr="00831573">
        <w:rPr>
          <w:lang w:val="en-GB"/>
        </w:rPr>
        <w:t>s ECHR Article 6 rights to be sent to prison for contempt of court without the benefit of legal representation. No magistrates</w:t>
      </w:r>
      <w:r w:rsidR="00831573" w:rsidRPr="00831573">
        <w:rPr>
          <w:lang w:val="en-GB"/>
        </w:rPr>
        <w:t>’</w:t>
      </w:r>
      <w:r w:rsidRPr="00831573">
        <w:rPr>
          <w:lang w:val="en-GB"/>
        </w:rPr>
        <w:t xml:space="preserve"> court would impose a custodial sentence on an unrepresented defendant, and in my judgment, no family court should send a litigant in person to prison for contempt without first making arrangements for that litigant to be legally represented.”</w:t>
      </w:r>
    </w:p>
    <w:p w:rsidR="00762B48" w:rsidRPr="00831573" w:rsidRDefault="00144CBA" w:rsidP="00831573">
      <w:pPr>
        <w:pStyle w:val="ECHRHeading2"/>
        <w:rPr>
          <w:lang w:val="en-GB"/>
        </w:rPr>
      </w:pPr>
      <w:r w:rsidRPr="00831573">
        <w:rPr>
          <w:lang w:val="en-GB"/>
        </w:rPr>
        <w:t>B</w:t>
      </w:r>
      <w:r w:rsidR="002A1E0B" w:rsidRPr="00831573">
        <w:rPr>
          <w:lang w:val="en-GB"/>
        </w:rPr>
        <w:t>.  </w:t>
      </w:r>
      <w:r w:rsidR="00762B48" w:rsidRPr="00831573">
        <w:rPr>
          <w:lang w:val="en-GB"/>
        </w:rPr>
        <w:t>The claim for damages</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26</w:t>
      </w:r>
      <w:r w:rsidRPr="00831573">
        <w:rPr>
          <w:lang w:val="en-GB"/>
        </w:rPr>
        <w:fldChar w:fldCharType="end"/>
      </w:r>
      <w:r w:rsidR="00A829C4" w:rsidRPr="00831573">
        <w:rPr>
          <w:lang w:val="en-GB"/>
        </w:rPr>
        <w:t>.  </w:t>
      </w:r>
      <w:r w:rsidR="00762B48" w:rsidRPr="00831573">
        <w:rPr>
          <w:lang w:val="en-GB"/>
        </w:rPr>
        <w:t xml:space="preserve">On 20 March 2008 the applicant commenced proceedings for damages under common law for the tort of wrongful imprisonment and under the Human Rights Act 1998 (see </w:t>
      </w:r>
      <w:r w:rsidR="00902484" w:rsidRPr="00831573">
        <w:rPr>
          <w:lang w:val="en-GB"/>
        </w:rPr>
        <w:t xml:space="preserve">paragraphs </w:t>
      </w:r>
      <w:r w:rsidR="00902484" w:rsidRPr="00831573">
        <w:rPr>
          <w:lang w:val="en-GB"/>
        </w:rPr>
        <w:fldChar w:fldCharType="begin"/>
      </w:r>
      <w:r w:rsidR="00902484" w:rsidRPr="00831573">
        <w:rPr>
          <w:lang w:val="en-GB"/>
        </w:rPr>
        <w:instrText xml:space="preserve"> REF HRAstart \h </w:instrText>
      </w:r>
      <w:r w:rsidR="00E36332" w:rsidRPr="00831573">
        <w:rPr>
          <w:lang w:val="en-GB"/>
        </w:rPr>
        <w:instrText xml:space="preserve"> \* MERGEFORMAT </w:instrText>
      </w:r>
      <w:r w:rsidR="00902484" w:rsidRPr="00831573">
        <w:rPr>
          <w:lang w:val="en-GB"/>
        </w:rPr>
      </w:r>
      <w:r w:rsidR="00902484" w:rsidRPr="00831573">
        <w:rPr>
          <w:lang w:val="en-GB"/>
        </w:rPr>
        <w:fldChar w:fldCharType="separate"/>
      </w:r>
      <w:r w:rsidR="00831573" w:rsidRPr="00831573">
        <w:rPr>
          <w:lang w:val="en-GB"/>
        </w:rPr>
        <w:t>50</w:t>
      </w:r>
      <w:r w:rsidR="00902484" w:rsidRPr="00831573">
        <w:rPr>
          <w:lang w:val="en-GB"/>
        </w:rPr>
        <w:fldChar w:fldCharType="end"/>
      </w:r>
      <w:r w:rsidR="00902484" w:rsidRPr="00831573">
        <w:rPr>
          <w:lang w:val="en-GB"/>
        </w:rPr>
        <w:t>-</w:t>
      </w:r>
      <w:r w:rsidR="000C6FD3" w:rsidRPr="00831573">
        <w:rPr>
          <w:lang w:val="en-GB"/>
        </w:rPr>
        <w:fldChar w:fldCharType="begin"/>
      </w:r>
      <w:r w:rsidR="000C6FD3" w:rsidRPr="00831573">
        <w:rPr>
          <w:lang w:val="en-GB"/>
        </w:rPr>
        <w:instrText xml:space="preserve"> REF HRAend \h </w:instrText>
      </w:r>
      <w:r w:rsidR="000C6FD3" w:rsidRPr="00831573">
        <w:rPr>
          <w:lang w:val="en-GB"/>
        </w:rPr>
      </w:r>
      <w:r w:rsidR="000C6FD3" w:rsidRPr="00831573">
        <w:rPr>
          <w:lang w:val="en-GB"/>
        </w:rPr>
        <w:fldChar w:fldCharType="separate"/>
      </w:r>
      <w:r w:rsidR="00831573" w:rsidRPr="00831573">
        <w:rPr>
          <w:noProof/>
          <w:lang w:val="en-GB"/>
        </w:rPr>
        <w:t>55</w:t>
      </w:r>
      <w:r w:rsidR="000C6FD3" w:rsidRPr="00831573">
        <w:rPr>
          <w:lang w:val="en-GB"/>
        </w:rPr>
        <w:fldChar w:fldCharType="end"/>
      </w:r>
      <w:r w:rsidR="00762B48" w:rsidRPr="00831573">
        <w:rPr>
          <w:lang w:val="en-GB"/>
        </w:rPr>
        <w:t xml:space="preserve"> below), relying on Articles 5 and 6 of the Convention. He sought an extension of time for lodging his claim.</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27</w:t>
      </w:r>
      <w:r w:rsidRPr="00831573">
        <w:rPr>
          <w:lang w:val="en-GB"/>
        </w:rPr>
        <w:fldChar w:fldCharType="end"/>
      </w:r>
      <w:r w:rsidR="00A829C4" w:rsidRPr="00831573">
        <w:rPr>
          <w:lang w:val="en-GB"/>
        </w:rPr>
        <w:t>.  </w:t>
      </w:r>
      <w:r w:rsidR="00762B48" w:rsidRPr="00831573">
        <w:rPr>
          <w:lang w:val="en-GB"/>
        </w:rPr>
        <w:t xml:space="preserve">On 25 February 2009 </w:t>
      </w:r>
      <w:r w:rsidR="003F1AE8" w:rsidRPr="00831573">
        <w:rPr>
          <w:lang w:val="en-GB"/>
        </w:rPr>
        <w:t xml:space="preserve">the High Court dismissed </w:t>
      </w:r>
      <w:r w:rsidR="00762B48" w:rsidRPr="00831573">
        <w:rPr>
          <w:lang w:val="en-GB"/>
        </w:rPr>
        <w:t xml:space="preserve">his claim and </w:t>
      </w:r>
      <w:r w:rsidR="003F1AE8" w:rsidRPr="00831573">
        <w:rPr>
          <w:lang w:val="en-GB"/>
        </w:rPr>
        <w:t xml:space="preserve">refused </w:t>
      </w:r>
      <w:r w:rsidR="00762B48" w:rsidRPr="00831573">
        <w:rPr>
          <w:lang w:val="en-GB"/>
        </w:rPr>
        <w:t xml:space="preserve">the extension of time. However, </w:t>
      </w:r>
      <w:r w:rsidR="006530E3" w:rsidRPr="00831573">
        <w:rPr>
          <w:lang w:val="en-GB"/>
        </w:rPr>
        <w:t>Mr Justice Blake</w:t>
      </w:r>
      <w:r w:rsidR="00762B48" w:rsidRPr="00831573">
        <w:rPr>
          <w:lang w:val="en-GB"/>
        </w:rPr>
        <w:t xml:space="preserve"> made it clear that had he considered there to be merit in the claim, he would have extended time. He </w:t>
      </w:r>
      <w:r w:rsidR="000C6FD3" w:rsidRPr="00831573">
        <w:rPr>
          <w:lang w:val="en-GB"/>
        </w:rPr>
        <w:t xml:space="preserve">had </w:t>
      </w:r>
      <w:r w:rsidR="00762B48" w:rsidRPr="00831573">
        <w:rPr>
          <w:lang w:val="en-GB"/>
        </w:rPr>
        <w:t>therefore considered the merits of the applicant</w:t>
      </w:r>
      <w:r w:rsidR="00831573" w:rsidRPr="00831573">
        <w:rPr>
          <w:lang w:val="en-GB"/>
        </w:rPr>
        <w:t>’</w:t>
      </w:r>
      <w:r w:rsidR="00762B48" w:rsidRPr="00831573">
        <w:rPr>
          <w:lang w:val="en-GB"/>
        </w:rPr>
        <w:t>s claim.</w:t>
      </w:r>
    </w:p>
    <w:bookmarkStart w:id="6" w:name="HCCAMadeDec"/>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28</w:t>
      </w:r>
      <w:r w:rsidRPr="00831573">
        <w:rPr>
          <w:lang w:val="en-GB"/>
        </w:rPr>
        <w:fldChar w:fldCharType="end"/>
      </w:r>
      <w:bookmarkEnd w:id="6"/>
      <w:r w:rsidR="00A829C4" w:rsidRPr="00831573">
        <w:rPr>
          <w:lang w:val="en-GB"/>
        </w:rPr>
        <w:t>.  </w:t>
      </w:r>
      <w:r w:rsidR="006E49AD" w:rsidRPr="00831573">
        <w:rPr>
          <w:lang w:val="en-GB"/>
        </w:rPr>
        <w:t>Blake J</w:t>
      </w:r>
      <w:r w:rsidR="00762B48" w:rsidRPr="00831573">
        <w:rPr>
          <w:lang w:val="en-GB"/>
        </w:rPr>
        <w:t xml:space="preserve"> noted at the outset that the Court of Appeal had identified three main errors in the applicant</w:t>
      </w:r>
      <w:r w:rsidR="00831573" w:rsidRPr="00831573">
        <w:rPr>
          <w:lang w:val="en-GB"/>
        </w:rPr>
        <w:t>’</w:t>
      </w:r>
      <w:r w:rsidR="00762B48" w:rsidRPr="00831573">
        <w:rPr>
          <w:lang w:val="en-GB"/>
        </w:rPr>
        <w:t>s case: the failure to inquire into why he was not represented and to consider whether to adjourn the committal proceedings to enable him to obtain representation; the joinder of the committal proceedings and the contact order application, which undermined the burden of proof and the applicant</w:t>
      </w:r>
      <w:r w:rsidR="00831573" w:rsidRPr="00831573">
        <w:rPr>
          <w:lang w:val="en-GB"/>
        </w:rPr>
        <w:t>’</w:t>
      </w:r>
      <w:r w:rsidR="00762B48" w:rsidRPr="00831573">
        <w:rPr>
          <w:lang w:val="en-GB"/>
        </w:rPr>
        <w:t xml:space="preserve">s right not to give evidence in the committal proceedings; and the fact </w:t>
      </w:r>
      <w:r w:rsidR="00144CBA" w:rsidRPr="00831573">
        <w:rPr>
          <w:lang w:val="en-GB"/>
        </w:rPr>
        <w:t>that he</w:t>
      </w:r>
      <w:r w:rsidR="00762B48" w:rsidRPr="00831573">
        <w:rPr>
          <w:lang w:val="en-GB"/>
        </w:rPr>
        <w:t xml:space="preserve"> was not given the opportunity to mitigate before sentence was passed. </w:t>
      </w:r>
      <w:r w:rsidR="00144CBA" w:rsidRPr="00831573">
        <w:rPr>
          <w:lang w:val="en-GB"/>
        </w:rPr>
        <w:t xml:space="preserve">Blake J </w:t>
      </w:r>
      <w:r w:rsidR="00762B48" w:rsidRPr="00831573">
        <w:rPr>
          <w:lang w:val="en-GB"/>
        </w:rPr>
        <w:t xml:space="preserve">considered it plain from the judgment of the Court of Appeal that although it </w:t>
      </w:r>
      <w:r w:rsidR="00902484" w:rsidRPr="00831573">
        <w:rPr>
          <w:lang w:val="en-GB"/>
        </w:rPr>
        <w:t xml:space="preserve">had </w:t>
      </w:r>
      <w:r w:rsidR="00762B48" w:rsidRPr="00831573">
        <w:rPr>
          <w:lang w:val="en-GB"/>
        </w:rPr>
        <w:t>granted no formal declaration that the committal hearing had breached the applicant</w:t>
      </w:r>
      <w:r w:rsidR="00831573" w:rsidRPr="00831573">
        <w:rPr>
          <w:lang w:val="en-GB"/>
        </w:rPr>
        <w:t>’</w:t>
      </w:r>
      <w:r w:rsidR="00762B48" w:rsidRPr="00831573">
        <w:rPr>
          <w:lang w:val="en-GB"/>
        </w:rPr>
        <w:t xml:space="preserve">s human rights, it </w:t>
      </w:r>
      <w:r w:rsidR="00902484" w:rsidRPr="00831573">
        <w:rPr>
          <w:lang w:val="en-GB"/>
        </w:rPr>
        <w:t>had been of the view</w:t>
      </w:r>
      <w:r w:rsidR="00762B48" w:rsidRPr="00831573">
        <w:rPr>
          <w:lang w:val="en-GB"/>
        </w:rPr>
        <w:t xml:space="preserve"> that it </w:t>
      </w:r>
      <w:r w:rsidR="00902484" w:rsidRPr="00831573">
        <w:rPr>
          <w:lang w:val="en-GB"/>
        </w:rPr>
        <w:t>had</w:t>
      </w:r>
      <w:r w:rsidR="00762B48" w:rsidRPr="00831573">
        <w:rPr>
          <w:lang w:val="en-GB"/>
        </w:rPr>
        <w:t xml:space="preserve"> and that </w:t>
      </w:r>
      <w:r w:rsidR="00902484" w:rsidRPr="00831573">
        <w:rPr>
          <w:lang w:val="en-GB"/>
        </w:rPr>
        <w:t>had been</w:t>
      </w:r>
      <w:r w:rsidR="00762B48" w:rsidRPr="00831573">
        <w:rPr>
          <w:lang w:val="en-GB"/>
        </w:rPr>
        <w:t xml:space="preserve"> the tenor of its findings.</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29</w:t>
      </w:r>
      <w:r w:rsidRPr="00831573">
        <w:rPr>
          <w:lang w:val="en-GB"/>
        </w:rPr>
        <w:fldChar w:fldCharType="end"/>
      </w:r>
      <w:r w:rsidR="00272223" w:rsidRPr="00831573">
        <w:rPr>
          <w:lang w:val="en-GB"/>
        </w:rPr>
        <w:t>.  </w:t>
      </w:r>
      <w:r w:rsidR="00762B48" w:rsidRPr="00831573">
        <w:rPr>
          <w:lang w:val="en-GB"/>
        </w:rPr>
        <w:t xml:space="preserve">As to the false imprisonment claim, </w:t>
      </w:r>
      <w:r w:rsidR="006410AC" w:rsidRPr="00831573">
        <w:rPr>
          <w:lang w:val="en-GB"/>
        </w:rPr>
        <w:t>Blake</w:t>
      </w:r>
      <w:r w:rsidR="00762B48" w:rsidRPr="00831573">
        <w:rPr>
          <w:lang w:val="en-GB"/>
        </w:rPr>
        <w:t xml:space="preserve"> </w:t>
      </w:r>
      <w:r w:rsidR="006E49AD" w:rsidRPr="00831573">
        <w:rPr>
          <w:lang w:val="en-GB"/>
        </w:rPr>
        <w:t>J referred to the long</w:t>
      </w:r>
      <w:r w:rsidR="006E49AD" w:rsidRPr="00831573">
        <w:rPr>
          <w:lang w:val="en-GB"/>
        </w:rPr>
        <w:noBreakHyphen/>
        <w:t>s</w:t>
      </w:r>
      <w:r w:rsidR="00762B48" w:rsidRPr="00831573">
        <w:rPr>
          <w:lang w:val="en-GB"/>
        </w:rPr>
        <w:t xml:space="preserve">tanding recognition in the case-law that there was immunity from suit for a claim based on alleged errors of a circuit judge of competent jurisdiction that resulted in detention, in the absence of malice. The </w:t>
      </w:r>
      <w:r w:rsidR="00B926C8" w:rsidRPr="00831573">
        <w:rPr>
          <w:lang w:val="en-GB"/>
        </w:rPr>
        <w:t>applicant</w:t>
      </w:r>
      <w:r w:rsidR="00831573" w:rsidRPr="00831573">
        <w:rPr>
          <w:lang w:val="en-GB"/>
        </w:rPr>
        <w:t>’</w:t>
      </w:r>
      <w:r w:rsidR="00B926C8" w:rsidRPr="00831573">
        <w:rPr>
          <w:lang w:val="en-GB"/>
        </w:rPr>
        <w:t xml:space="preserve">s </w:t>
      </w:r>
      <w:r w:rsidR="00762B48" w:rsidRPr="00831573">
        <w:rPr>
          <w:lang w:val="en-GB"/>
        </w:rPr>
        <w:t>claim accordingly failed.</w:t>
      </w:r>
    </w:p>
    <w:p w:rsidR="00762B48" w:rsidRPr="00831573" w:rsidRDefault="00AF62A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30</w:t>
      </w:r>
      <w:r w:rsidRPr="00831573">
        <w:rPr>
          <w:lang w:val="en-GB"/>
        </w:rPr>
        <w:fldChar w:fldCharType="end"/>
      </w:r>
      <w:r w:rsidRPr="00831573">
        <w:rPr>
          <w:lang w:val="en-GB"/>
        </w:rPr>
        <w:t>.  </w:t>
      </w:r>
      <w:r w:rsidR="006410AC" w:rsidRPr="00831573">
        <w:rPr>
          <w:lang w:val="en-GB"/>
        </w:rPr>
        <w:t>He</w:t>
      </w:r>
      <w:r w:rsidR="00762B48" w:rsidRPr="00831573">
        <w:rPr>
          <w:lang w:val="en-GB"/>
        </w:rPr>
        <w:t xml:space="preserve"> considered equally hopeless the applicant</w:t>
      </w:r>
      <w:r w:rsidR="00831573" w:rsidRPr="00831573">
        <w:rPr>
          <w:lang w:val="en-GB"/>
        </w:rPr>
        <w:t>’</w:t>
      </w:r>
      <w:r w:rsidR="00762B48" w:rsidRPr="00831573">
        <w:rPr>
          <w:lang w:val="en-GB"/>
        </w:rPr>
        <w:t xml:space="preserve">s claim that any violation of an Article 6 § 1 right </w:t>
      </w:r>
      <w:r w:rsidR="00B926C8" w:rsidRPr="00831573">
        <w:rPr>
          <w:lang w:val="en-GB"/>
        </w:rPr>
        <w:t>gave rise to a right to</w:t>
      </w:r>
      <w:r w:rsidR="00762B48" w:rsidRPr="00831573">
        <w:rPr>
          <w:lang w:val="en-GB"/>
        </w:rPr>
        <w:t xml:space="preserve"> damages under the Human Rights Act 1998. He found that section 9(3) of the Act, which precludes damages in respect of a judicial act done in good faith, with the exception of damages required by Article 5 § 5 of the Convention (see </w:t>
      </w:r>
      <w:r w:rsidR="00902484" w:rsidRPr="00831573">
        <w:rPr>
          <w:lang w:val="en-GB"/>
        </w:rPr>
        <w:t>paragraph</w:t>
      </w:r>
      <w:r w:rsidR="000A3558" w:rsidRPr="00831573">
        <w:rPr>
          <w:lang w:val="en-GB"/>
        </w:rPr>
        <w:t> </w:t>
      </w:r>
      <w:r w:rsidR="00902484" w:rsidRPr="00831573">
        <w:rPr>
          <w:lang w:val="en-GB"/>
        </w:rPr>
        <w:fldChar w:fldCharType="begin"/>
      </w:r>
      <w:r w:rsidR="00902484" w:rsidRPr="00831573">
        <w:rPr>
          <w:lang w:val="en-GB"/>
        </w:rPr>
        <w:instrText xml:space="preserve"> REF HRA9sub3 \h </w:instrText>
      </w:r>
      <w:r w:rsidR="00E36332" w:rsidRPr="00831573">
        <w:rPr>
          <w:lang w:val="en-GB"/>
        </w:rPr>
        <w:instrText xml:space="preserve"> \* MERGEFORMAT </w:instrText>
      </w:r>
      <w:r w:rsidR="00902484" w:rsidRPr="00831573">
        <w:rPr>
          <w:lang w:val="en-GB"/>
        </w:rPr>
      </w:r>
      <w:r w:rsidR="00902484" w:rsidRPr="00831573">
        <w:rPr>
          <w:lang w:val="en-GB"/>
        </w:rPr>
        <w:fldChar w:fldCharType="separate"/>
      </w:r>
      <w:r w:rsidR="00831573" w:rsidRPr="00831573">
        <w:rPr>
          <w:lang w:val="en-GB"/>
        </w:rPr>
        <w:t>55</w:t>
      </w:r>
      <w:r w:rsidR="00902484" w:rsidRPr="00831573">
        <w:rPr>
          <w:lang w:val="en-GB"/>
        </w:rPr>
        <w:fldChar w:fldCharType="end"/>
      </w:r>
      <w:r w:rsidR="00762B48" w:rsidRPr="00831573">
        <w:rPr>
          <w:lang w:val="en-GB"/>
        </w:rPr>
        <w:t xml:space="preserve"> below), was inconsistent with the applicant</w:t>
      </w:r>
      <w:r w:rsidR="00831573" w:rsidRPr="00831573">
        <w:rPr>
          <w:lang w:val="en-GB"/>
        </w:rPr>
        <w:t>’</w:t>
      </w:r>
      <w:r w:rsidR="00762B48" w:rsidRPr="00831573">
        <w:rPr>
          <w:lang w:val="en-GB"/>
        </w:rPr>
        <w:t>s claim. He also referred to the fact that just satisfaction under the Convention was a matter of discretion.</w:t>
      </w:r>
    </w:p>
    <w:bookmarkStart w:id="7" w:name="HCGaOPICaseLaw"/>
    <w:p w:rsidR="00762B48" w:rsidRPr="00831573" w:rsidRDefault="00B56AD4"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31</w:t>
      </w:r>
      <w:r w:rsidRPr="00831573">
        <w:rPr>
          <w:lang w:val="en-GB"/>
        </w:rPr>
        <w:fldChar w:fldCharType="end"/>
      </w:r>
      <w:bookmarkEnd w:id="7"/>
      <w:r w:rsidRPr="00831573">
        <w:rPr>
          <w:lang w:val="en-GB"/>
        </w:rPr>
        <w:t>.  </w:t>
      </w:r>
      <w:r w:rsidR="00762B48" w:rsidRPr="00831573">
        <w:rPr>
          <w:lang w:val="en-GB"/>
        </w:rPr>
        <w:t xml:space="preserve">As to the claim under Article 5 of the Convention, </w:t>
      </w:r>
      <w:r w:rsidR="006410AC" w:rsidRPr="00831573">
        <w:rPr>
          <w:lang w:val="en-GB"/>
        </w:rPr>
        <w:t>Blake</w:t>
      </w:r>
      <w:r w:rsidR="00762B48" w:rsidRPr="00831573">
        <w:rPr>
          <w:lang w:val="en-GB"/>
        </w:rPr>
        <w:t xml:space="preserve"> </w:t>
      </w:r>
      <w:r w:rsidR="006E49AD" w:rsidRPr="00831573">
        <w:rPr>
          <w:lang w:val="en-GB"/>
        </w:rPr>
        <w:t xml:space="preserve">J </w:t>
      </w:r>
      <w:r w:rsidR="00762B48" w:rsidRPr="00831573">
        <w:rPr>
          <w:lang w:val="en-GB"/>
        </w:rPr>
        <w:t>referred to this Court</w:t>
      </w:r>
      <w:r w:rsidR="00831573" w:rsidRPr="00831573">
        <w:rPr>
          <w:lang w:val="en-GB"/>
        </w:rPr>
        <w:t>’</w:t>
      </w:r>
      <w:r w:rsidR="00762B48" w:rsidRPr="00831573">
        <w:rPr>
          <w:lang w:val="en-GB"/>
        </w:rPr>
        <w:t xml:space="preserve">s judgments in the cases of </w:t>
      </w:r>
      <w:r w:rsidR="00762B48" w:rsidRPr="00831573">
        <w:rPr>
          <w:i/>
          <w:lang w:val="en-GB"/>
        </w:rPr>
        <w:t xml:space="preserve">Benham v. the United Kingdom </w:t>
      </w:r>
      <w:r w:rsidR="00762B48" w:rsidRPr="00831573">
        <w:rPr>
          <w:lang w:val="en-GB"/>
        </w:rPr>
        <w:t>[GC]</w:t>
      </w:r>
      <w:r w:rsidR="00495E94" w:rsidRPr="00831573">
        <w:rPr>
          <w:lang w:val="en-GB"/>
        </w:rPr>
        <w:t>,</w:t>
      </w:r>
      <w:r w:rsidR="00762B48" w:rsidRPr="00831573">
        <w:rPr>
          <w:lang w:val="en-GB"/>
        </w:rPr>
        <w:t xml:space="preserve"> 10 June 1996, </w:t>
      </w:r>
      <w:r w:rsidR="00762B48" w:rsidRPr="00831573">
        <w:rPr>
          <w:i/>
          <w:lang w:val="en-GB"/>
        </w:rPr>
        <w:t>Reports of Judgments and Decisions</w:t>
      </w:r>
      <w:r w:rsidR="00762B48" w:rsidRPr="00831573">
        <w:rPr>
          <w:lang w:val="en-GB"/>
        </w:rPr>
        <w:t xml:space="preserve"> 1996</w:t>
      </w:r>
      <w:r w:rsidR="00762B48" w:rsidRPr="00831573">
        <w:rPr>
          <w:lang w:val="en-GB"/>
        </w:rPr>
        <w:noBreakHyphen/>
        <w:t xml:space="preserve">III, </w:t>
      </w:r>
      <w:r w:rsidR="00762B48" w:rsidRPr="00831573">
        <w:rPr>
          <w:i/>
          <w:lang w:val="en-GB"/>
        </w:rPr>
        <w:t>Perks and Others v. the United Kingdom</w:t>
      </w:r>
      <w:r w:rsidR="00495E94" w:rsidRPr="00831573">
        <w:rPr>
          <w:lang w:val="en-GB"/>
        </w:rPr>
        <w:t>,</w:t>
      </w:r>
      <w:r w:rsidR="00762B48" w:rsidRPr="00831573">
        <w:rPr>
          <w:lang w:val="en-GB"/>
        </w:rPr>
        <w:t xml:space="preserve"> nos. 25277/94</w:t>
      </w:r>
      <w:r w:rsidR="00A55628" w:rsidRPr="00831573">
        <w:rPr>
          <w:lang w:val="en-GB"/>
        </w:rPr>
        <w:t xml:space="preserve"> and others</w:t>
      </w:r>
      <w:r w:rsidR="00762B48" w:rsidRPr="00831573">
        <w:rPr>
          <w:lang w:val="en-GB"/>
        </w:rPr>
        <w:t xml:space="preserve">, 12 October 1999 and </w:t>
      </w:r>
      <w:r w:rsidR="00762B48" w:rsidRPr="00831573">
        <w:rPr>
          <w:i/>
          <w:szCs w:val="24"/>
          <w:lang w:val="en-GB"/>
        </w:rPr>
        <w:t>Lloyd and Others v. the United Kingdom</w:t>
      </w:r>
      <w:r w:rsidR="00495E94" w:rsidRPr="00831573">
        <w:rPr>
          <w:szCs w:val="24"/>
          <w:lang w:val="en-GB"/>
        </w:rPr>
        <w:t>,</w:t>
      </w:r>
      <w:r w:rsidR="00762B48" w:rsidRPr="00831573">
        <w:rPr>
          <w:szCs w:val="24"/>
          <w:lang w:val="en-GB"/>
        </w:rPr>
        <w:t xml:space="preserve"> nos. 29798/96</w:t>
      </w:r>
      <w:r w:rsidR="00C31F86" w:rsidRPr="00831573">
        <w:rPr>
          <w:szCs w:val="24"/>
          <w:lang w:val="en-GB"/>
        </w:rPr>
        <w:t xml:space="preserve"> and others</w:t>
      </w:r>
      <w:r w:rsidR="00762B48" w:rsidRPr="00831573">
        <w:rPr>
          <w:szCs w:val="24"/>
          <w:lang w:val="en-GB"/>
        </w:rPr>
        <w:t xml:space="preserve">, 1 March 2005. He </w:t>
      </w:r>
      <w:r w:rsidR="00F625F8" w:rsidRPr="00831573">
        <w:rPr>
          <w:szCs w:val="24"/>
          <w:lang w:val="en-GB"/>
        </w:rPr>
        <w:t>decided</w:t>
      </w:r>
      <w:r w:rsidR="00762B48" w:rsidRPr="00831573">
        <w:rPr>
          <w:szCs w:val="24"/>
          <w:lang w:val="en-GB"/>
        </w:rPr>
        <w:t xml:space="preserve"> that the applicant</w:t>
      </w:r>
      <w:r w:rsidR="00831573" w:rsidRPr="00831573">
        <w:rPr>
          <w:szCs w:val="24"/>
          <w:lang w:val="en-GB"/>
        </w:rPr>
        <w:t>’</w:t>
      </w:r>
      <w:r w:rsidR="00762B48" w:rsidRPr="00831573">
        <w:rPr>
          <w:szCs w:val="24"/>
          <w:lang w:val="en-GB"/>
        </w:rPr>
        <w:t>s claim that his detention was a violation of Article 5</w:t>
      </w:r>
      <w:r w:rsidR="00D5619D" w:rsidRPr="00831573">
        <w:rPr>
          <w:szCs w:val="24"/>
          <w:lang w:val="en-GB"/>
        </w:rPr>
        <w:t xml:space="preserve"> </w:t>
      </w:r>
      <w:r w:rsidR="00762B48" w:rsidRPr="00831573">
        <w:rPr>
          <w:rFonts w:cstheme="minorHAnsi"/>
          <w:szCs w:val="24"/>
          <w:lang w:val="en-GB"/>
        </w:rPr>
        <w:t>§ </w:t>
      </w:r>
      <w:r w:rsidR="00762B48" w:rsidRPr="00831573">
        <w:rPr>
          <w:szCs w:val="24"/>
          <w:lang w:val="en-GB"/>
        </w:rPr>
        <w:t>1 because any hearing in which a violation of Article 6 occurred was not in accordance with law was:</w:t>
      </w:r>
    </w:p>
    <w:p w:rsidR="00762B48" w:rsidRPr="00831573" w:rsidRDefault="00762B48" w:rsidP="00831573">
      <w:pPr>
        <w:pStyle w:val="ECHRParaQuote"/>
        <w:rPr>
          <w:szCs w:val="24"/>
          <w:lang w:val="en-GB"/>
        </w:rPr>
      </w:pPr>
      <w:r w:rsidRPr="00831573">
        <w:rPr>
          <w:rStyle w:val="JuQuotChar"/>
          <w:lang w:val="en-GB"/>
        </w:rPr>
        <w:t>“a slightly more modest reworking of the article 6 submission that has been already considered and summarily rejected. Again I reject this reworking of the submission for similar reasons to those already given, but more particularly for the principles spelt out in the trio of Community charge cases</w:t>
      </w:r>
      <w:r w:rsidR="00D5619D" w:rsidRPr="00831573">
        <w:rPr>
          <w:rStyle w:val="JuQuotChar"/>
          <w:lang w:val="en-GB"/>
        </w:rPr>
        <w:t>.</w:t>
      </w:r>
      <w:r w:rsidRPr="00831573">
        <w:rPr>
          <w:rStyle w:val="JuQuotChar"/>
          <w:lang w:val="en-GB"/>
        </w:rPr>
        <w:t>”</w:t>
      </w:r>
    </w:p>
    <w:bookmarkStart w:id="8" w:name="HCGaOPIStart"/>
    <w:p w:rsidR="00CA11CB" w:rsidRPr="00831573" w:rsidRDefault="00AE1F98"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32</w:t>
      </w:r>
      <w:r w:rsidRPr="00831573">
        <w:rPr>
          <w:lang w:val="en-GB"/>
        </w:rPr>
        <w:fldChar w:fldCharType="end"/>
      </w:r>
      <w:bookmarkEnd w:id="8"/>
      <w:r w:rsidR="00762B48" w:rsidRPr="00831573">
        <w:rPr>
          <w:lang w:val="en-GB"/>
        </w:rPr>
        <w:t>.</w:t>
      </w:r>
      <w:r w:rsidR="00A96126" w:rsidRPr="00831573">
        <w:rPr>
          <w:lang w:val="en-GB"/>
        </w:rPr>
        <w:t>  </w:t>
      </w:r>
      <w:r w:rsidR="006410AC" w:rsidRPr="00831573">
        <w:rPr>
          <w:lang w:val="en-GB"/>
        </w:rPr>
        <w:t>Blake</w:t>
      </w:r>
      <w:r w:rsidR="00762B48" w:rsidRPr="00831573">
        <w:rPr>
          <w:szCs w:val="24"/>
          <w:lang w:val="en-GB"/>
        </w:rPr>
        <w:t xml:space="preserve"> </w:t>
      </w:r>
      <w:r w:rsidR="006E49AD" w:rsidRPr="00831573">
        <w:rPr>
          <w:szCs w:val="24"/>
          <w:lang w:val="en-GB"/>
        </w:rPr>
        <w:t xml:space="preserve">J </w:t>
      </w:r>
      <w:r w:rsidR="00762B48" w:rsidRPr="00831573">
        <w:rPr>
          <w:szCs w:val="24"/>
          <w:lang w:val="en-GB"/>
        </w:rPr>
        <w:t>concluded that the applicant</w:t>
      </w:r>
      <w:r w:rsidR="00831573" w:rsidRPr="00831573">
        <w:rPr>
          <w:szCs w:val="24"/>
          <w:lang w:val="en-GB"/>
        </w:rPr>
        <w:t>’</w:t>
      </w:r>
      <w:r w:rsidR="00762B48" w:rsidRPr="00831573">
        <w:rPr>
          <w:szCs w:val="24"/>
          <w:lang w:val="en-GB"/>
        </w:rPr>
        <w:t>s detention pursuant to the order of Judge Collins was not so gross or obvious an irregularity, within the meaning of § 115 of the Court</w:t>
      </w:r>
      <w:r w:rsidR="00831573" w:rsidRPr="00831573">
        <w:rPr>
          <w:szCs w:val="24"/>
          <w:lang w:val="en-GB"/>
        </w:rPr>
        <w:t>’</w:t>
      </w:r>
      <w:r w:rsidR="00762B48" w:rsidRPr="00831573">
        <w:rPr>
          <w:szCs w:val="24"/>
          <w:lang w:val="en-GB"/>
        </w:rPr>
        <w:t xml:space="preserve">s judgment in </w:t>
      </w:r>
      <w:r w:rsidR="00762B48" w:rsidRPr="00831573">
        <w:rPr>
          <w:i/>
          <w:szCs w:val="24"/>
          <w:lang w:val="en-GB"/>
        </w:rPr>
        <w:t>Lloyd and Others</w:t>
      </w:r>
      <w:r w:rsidR="00762B48" w:rsidRPr="00831573">
        <w:rPr>
          <w:szCs w:val="24"/>
          <w:lang w:val="en-GB"/>
        </w:rPr>
        <w:t xml:space="preserve">, cited above, as to be not in accordance with the law. In reaching this conclusion, he noted, </w:t>
      </w:r>
      <w:r w:rsidR="00762B48" w:rsidRPr="00831573">
        <w:rPr>
          <w:i/>
          <w:szCs w:val="24"/>
          <w:lang w:val="en-GB"/>
        </w:rPr>
        <w:t>inter alia</w:t>
      </w:r>
      <w:r w:rsidR="00762B48" w:rsidRPr="00831573">
        <w:rPr>
          <w:szCs w:val="24"/>
          <w:lang w:val="en-GB"/>
        </w:rPr>
        <w:t>,</w:t>
      </w:r>
      <w:r w:rsidR="00762B48" w:rsidRPr="00831573">
        <w:rPr>
          <w:i/>
          <w:szCs w:val="24"/>
          <w:lang w:val="en-GB"/>
        </w:rPr>
        <w:t xml:space="preserve"> </w:t>
      </w:r>
      <w:r w:rsidR="00762B48" w:rsidRPr="00831573">
        <w:rPr>
          <w:szCs w:val="24"/>
          <w:lang w:val="en-GB"/>
        </w:rPr>
        <w:t xml:space="preserve">that the County Court was a court of competent jurisdiction; that proper notice of the hearing and of the committal application had been given; that the record of proceedings did not appear to reveal any application by the applicant for an adjournment to seek legal representation; that there was no failure to follow a statutory prerequisite </w:t>
      </w:r>
      <w:r w:rsidR="00F625F8" w:rsidRPr="00831573">
        <w:rPr>
          <w:szCs w:val="24"/>
          <w:lang w:val="en-GB"/>
        </w:rPr>
        <w:t>because the general requirement to observe Article 6 imposed by the Human Rights Act 1998</w:t>
      </w:r>
      <w:r w:rsidR="00762B48" w:rsidRPr="00831573">
        <w:rPr>
          <w:szCs w:val="24"/>
          <w:lang w:val="en-GB"/>
        </w:rPr>
        <w:t xml:space="preserve"> </w:t>
      </w:r>
      <w:r w:rsidR="00F625F8" w:rsidRPr="00831573">
        <w:rPr>
          <w:szCs w:val="24"/>
          <w:lang w:val="en-GB"/>
        </w:rPr>
        <w:t>was not the same as a precise rule prohibiting committal unless a condition was complied with;</w:t>
      </w:r>
      <w:r w:rsidR="00EC6B1F" w:rsidRPr="00831573">
        <w:rPr>
          <w:szCs w:val="24"/>
          <w:lang w:val="en-GB"/>
        </w:rPr>
        <w:t xml:space="preserve"> that, similarly, the practice direction</w:t>
      </w:r>
      <w:r w:rsidR="00495E94" w:rsidRPr="00831573">
        <w:rPr>
          <w:szCs w:val="24"/>
          <w:lang w:val="en-GB"/>
        </w:rPr>
        <w:t xml:space="preserve"> (see paragraph</w:t>
      </w:r>
      <w:r w:rsidR="00AF50C2" w:rsidRPr="00831573">
        <w:rPr>
          <w:szCs w:val="24"/>
          <w:lang w:val="en-GB"/>
        </w:rPr>
        <w:t> </w:t>
      </w:r>
      <w:r w:rsidR="00495E94" w:rsidRPr="00831573">
        <w:rPr>
          <w:szCs w:val="24"/>
          <w:lang w:val="en-GB"/>
        </w:rPr>
        <w:fldChar w:fldCharType="begin"/>
      </w:r>
      <w:r w:rsidR="00495E94" w:rsidRPr="00831573">
        <w:rPr>
          <w:szCs w:val="24"/>
          <w:lang w:val="en-GB"/>
        </w:rPr>
        <w:instrText xml:space="preserve"> REF PDFamilyHR \h  \* MERGEFORMAT </w:instrText>
      </w:r>
      <w:r w:rsidR="00495E94" w:rsidRPr="00831573">
        <w:rPr>
          <w:szCs w:val="24"/>
          <w:lang w:val="en-GB"/>
        </w:rPr>
      </w:r>
      <w:r w:rsidR="00495E94" w:rsidRPr="00831573">
        <w:rPr>
          <w:szCs w:val="24"/>
          <w:lang w:val="en-GB"/>
        </w:rPr>
        <w:fldChar w:fldCharType="separate"/>
      </w:r>
      <w:r w:rsidR="00831573" w:rsidRPr="00831573">
        <w:rPr>
          <w:lang w:val="en-GB"/>
        </w:rPr>
        <w:t>41</w:t>
      </w:r>
      <w:r w:rsidR="00495E94" w:rsidRPr="00831573">
        <w:rPr>
          <w:szCs w:val="24"/>
          <w:lang w:val="en-GB"/>
        </w:rPr>
        <w:fldChar w:fldCharType="end"/>
      </w:r>
      <w:r w:rsidR="00495E94" w:rsidRPr="00831573">
        <w:rPr>
          <w:szCs w:val="24"/>
          <w:lang w:val="en-GB"/>
        </w:rPr>
        <w:t xml:space="preserve"> below), which set out the need to observe the Human Rights Act, </w:t>
      </w:r>
      <w:r w:rsidR="00EC6B1F" w:rsidRPr="00831573">
        <w:rPr>
          <w:szCs w:val="24"/>
          <w:lang w:val="en-GB"/>
        </w:rPr>
        <w:t>was in general terms and did not amount</w:t>
      </w:r>
      <w:r w:rsidR="00DE2866" w:rsidRPr="00831573">
        <w:rPr>
          <w:szCs w:val="24"/>
          <w:lang w:val="en-GB"/>
        </w:rPr>
        <w:t xml:space="preserve"> </w:t>
      </w:r>
      <w:r w:rsidR="00EC6B1F" w:rsidRPr="00831573">
        <w:rPr>
          <w:szCs w:val="24"/>
          <w:lang w:val="en-GB"/>
        </w:rPr>
        <w:t xml:space="preserve">to a condition precedent; </w:t>
      </w:r>
      <w:r w:rsidR="00F625F8" w:rsidRPr="00831573">
        <w:rPr>
          <w:szCs w:val="24"/>
          <w:lang w:val="en-GB"/>
        </w:rPr>
        <w:t>that</w:t>
      </w:r>
      <w:r w:rsidR="00762B48" w:rsidRPr="00831573">
        <w:rPr>
          <w:szCs w:val="24"/>
          <w:lang w:val="en-GB"/>
        </w:rPr>
        <w:t xml:space="preserve"> the Court of Appeal</w:t>
      </w:r>
      <w:r w:rsidR="00DE2866" w:rsidRPr="00831573">
        <w:rPr>
          <w:szCs w:val="24"/>
          <w:lang w:val="en-GB"/>
        </w:rPr>
        <w:t>,</w:t>
      </w:r>
      <w:r w:rsidR="00762B48" w:rsidRPr="00831573">
        <w:rPr>
          <w:szCs w:val="24"/>
          <w:lang w:val="en-GB"/>
        </w:rPr>
        <w:t xml:space="preserve"> at the time of the County Court</w:t>
      </w:r>
      <w:r w:rsidR="00831573" w:rsidRPr="00831573">
        <w:rPr>
          <w:szCs w:val="24"/>
          <w:lang w:val="en-GB"/>
        </w:rPr>
        <w:t>’</w:t>
      </w:r>
      <w:r w:rsidR="00762B48" w:rsidRPr="00831573">
        <w:rPr>
          <w:szCs w:val="24"/>
          <w:lang w:val="en-GB"/>
        </w:rPr>
        <w:t>s decision</w:t>
      </w:r>
      <w:r w:rsidR="00DE2866" w:rsidRPr="00831573">
        <w:rPr>
          <w:szCs w:val="24"/>
          <w:lang w:val="en-GB"/>
        </w:rPr>
        <w:t>,</w:t>
      </w:r>
      <w:r w:rsidR="00762B48" w:rsidRPr="00831573">
        <w:rPr>
          <w:szCs w:val="24"/>
          <w:lang w:val="en-GB"/>
        </w:rPr>
        <w:t xml:space="preserve"> </w:t>
      </w:r>
      <w:r w:rsidR="00F625F8" w:rsidRPr="00831573">
        <w:rPr>
          <w:szCs w:val="24"/>
          <w:lang w:val="en-GB"/>
        </w:rPr>
        <w:t xml:space="preserve">had not </w:t>
      </w:r>
      <w:r w:rsidR="00762B48" w:rsidRPr="00831573">
        <w:rPr>
          <w:szCs w:val="24"/>
          <w:lang w:val="en-GB"/>
        </w:rPr>
        <w:t>made an unambiguous finding that a lack of representation at a committal hearing would always violate Article 6</w:t>
      </w:r>
      <w:r w:rsidR="00DE2866" w:rsidRPr="00831573">
        <w:rPr>
          <w:szCs w:val="24"/>
          <w:lang w:val="en-GB"/>
        </w:rPr>
        <w:t>, although its finding in the present case meant that Article 6 might be considered a condition precedent in future cases</w:t>
      </w:r>
      <w:r w:rsidR="00762B48" w:rsidRPr="00831573">
        <w:rPr>
          <w:szCs w:val="24"/>
          <w:lang w:val="en-GB"/>
        </w:rPr>
        <w:t>; and that there was no hint of malice or bad faith by the judge.</w:t>
      </w:r>
    </w:p>
    <w:bookmarkStart w:id="9" w:name="HCGaOPIEnd"/>
    <w:p w:rsidR="00762B48" w:rsidRPr="00831573" w:rsidRDefault="00CA11CB"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33</w:t>
      </w:r>
      <w:r w:rsidRPr="00831573">
        <w:rPr>
          <w:lang w:val="en-GB"/>
        </w:rPr>
        <w:fldChar w:fldCharType="end"/>
      </w:r>
      <w:bookmarkEnd w:id="9"/>
      <w:r w:rsidR="00093E41" w:rsidRPr="00831573">
        <w:rPr>
          <w:lang w:val="en-GB"/>
        </w:rPr>
        <w:t>.  </w:t>
      </w:r>
      <w:r w:rsidRPr="00831573">
        <w:rPr>
          <w:lang w:val="en-GB"/>
        </w:rPr>
        <w:t>Blake J also found that t</w:t>
      </w:r>
      <w:r w:rsidR="00F625F8" w:rsidRPr="00831573">
        <w:rPr>
          <w:szCs w:val="24"/>
          <w:lang w:val="en-GB"/>
        </w:rPr>
        <w:t>he</w:t>
      </w:r>
      <w:r w:rsidR="00C41A23" w:rsidRPr="00831573">
        <w:rPr>
          <w:szCs w:val="24"/>
          <w:lang w:val="en-GB"/>
        </w:rPr>
        <w:t xml:space="preserve"> Court of Appeal</w:t>
      </w:r>
      <w:r w:rsidR="00831573" w:rsidRPr="00831573">
        <w:rPr>
          <w:szCs w:val="24"/>
          <w:lang w:val="en-GB"/>
        </w:rPr>
        <w:t>’</w:t>
      </w:r>
      <w:r w:rsidR="00C41A23" w:rsidRPr="00831573">
        <w:rPr>
          <w:szCs w:val="24"/>
          <w:lang w:val="en-GB"/>
        </w:rPr>
        <w:t>s</w:t>
      </w:r>
      <w:r w:rsidR="00F625F8" w:rsidRPr="00831573">
        <w:rPr>
          <w:szCs w:val="24"/>
          <w:lang w:val="en-GB"/>
        </w:rPr>
        <w:t xml:space="preserve"> three principal criticisms all suggested that the County Court had erroneously exercised its judgment. Erroneous exercises of judgment </w:t>
      </w:r>
      <w:r w:rsidRPr="00831573">
        <w:rPr>
          <w:szCs w:val="24"/>
          <w:lang w:val="en-GB"/>
        </w:rPr>
        <w:t>did not make decisions not in accordance with law or arbitrary</w:t>
      </w:r>
      <w:r w:rsidR="000736FF" w:rsidRPr="00831573">
        <w:rPr>
          <w:szCs w:val="24"/>
          <w:lang w:val="en-GB"/>
        </w:rPr>
        <w:t xml:space="preserve"> in the sense indicated in the Article 5 </w:t>
      </w:r>
      <w:r w:rsidR="000736FF" w:rsidRPr="00831573">
        <w:rPr>
          <w:rFonts w:cstheme="minorHAnsi"/>
          <w:szCs w:val="24"/>
          <w:lang w:val="en-GB"/>
        </w:rPr>
        <w:t>§ </w:t>
      </w:r>
      <w:r w:rsidR="000736FF" w:rsidRPr="00831573">
        <w:rPr>
          <w:szCs w:val="24"/>
          <w:lang w:val="en-GB"/>
        </w:rPr>
        <w:t>1 case-law</w:t>
      </w:r>
      <w:r w:rsidRPr="00831573">
        <w:rPr>
          <w:szCs w:val="24"/>
          <w:lang w:val="en-GB"/>
        </w:rPr>
        <w:t>.</w:t>
      </w:r>
    </w:p>
    <w:bookmarkStart w:id="10" w:name="HCSentencingError"/>
    <w:p w:rsidR="00762B48" w:rsidRPr="00831573" w:rsidRDefault="00AE1F98"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34</w:t>
      </w:r>
      <w:r w:rsidRPr="00831573">
        <w:rPr>
          <w:lang w:val="en-GB"/>
        </w:rPr>
        <w:fldChar w:fldCharType="end"/>
      </w:r>
      <w:bookmarkEnd w:id="10"/>
      <w:r w:rsidR="00762B48" w:rsidRPr="00831573">
        <w:rPr>
          <w:lang w:val="en-GB"/>
        </w:rPr>
        <w:t>.</w:t>
      </w:r>
      <w:r w:rsidR="00093E41" w:rsidRPr="00831573">
        <w:rPr>
          <w:szCs w:val="24"/>
          <w:lang w:val="en-GB"/>
        </w:rPr>
        <w:t>  </w:t>
      </w:r>
      <w:r w:rsidR="00762B48" w:rsidRPr="00831573">
        <w:rPr>
          <w:szCs w:val="24"/>
          <w:lang w:val="en-GB"/>
        </w:rPr>
        <w:t xml:space="preserve">Having thus concluded, </w:t>
      </w:r>
      <w:r w:rsidR="00CA11CB" w:rsidRPr="00831573">
        <w:rPr>
          <w:szCs w:val="24"/>
          <w:lang w:val="en-GB"/>
        </w:rPr>
        <w:t>Blake J</w:t>
      </w:r>
      <w:r w:rsidR="00762B48" w:rsidRPr="00831573">
        <w:rPr>
          <w:szCs w:val="24"/>
          <w:lang w:val="en-GB"/>
        </w:rPr>
        <w:t xml:space="preserve"> </w:t>
      </w:r>
      <w:r w:rsidR="00CA11CB" w:rsidRPr="00831573">
        <w:rPr>
          <w:szCs w:val="24"/>
          <w:lang w:val="en-GB"/>
        </w:rPr>
        <w:t>explained</w:t>
      </w:r>
      <w:r w:rsidR="00762B48" w:rsidRPr="00831573">
        <w:rPr>
          <w:szCs w:val="24"/>
          <w:lang w:val="en-GB"/>
        </w:rPr>
        <w:t xml:space="preserve"> that</w:t>
      </w:r>
      <w:r w:rsidR="00CA11CB" w:rsidRPr="00831573">
        <w:rPr>
          <w:szCs w:val="24"/>
          <w:lang w:val="en-GB"/>
        </w:rPr>
        <w:t>,</w:t>
      </w:r>
      <w:r w:rsidR="00762B48" w:rsidRPr="00831573">
        <w:rPr>
          <w:szCs w:val="24"/>
          <w:lang w:val="en-GB"/>
        </w:rPr>
        <w:t xml:space="preserve"> had he reached the contrary conclusion, </w:t>
      </w:r>
      <w:r w:rsidR="00CA11CB" w:rsidRPr="00831573">
        <w:rPr>
          <w:szCs w:val="24"/>
          <w:lang w:val="en-GB"/>
        </w:rPr>
        <w:t xml:space="preserve">it would have been necessary to consider what the causal nexus between the unfairness and the detention resulting from the unfairness was. </w:t>
      </w:r>
      <w:r w:rsidR="00762B48" w:rsidRPr="00831573">
        <w:rPr>
          <w:szCs w:val="24"/>
          <w:lang w:val="en-GB"/>
        </w:rPr>
        <w:t>He accepted that where detention was in violation of Article</w:t>
      </w:r>
      <w:r w:rsidR="007906B1" w:rsidRPr="00831573">
        <w:rPr>
          <w:szCs w:val="24"/>
          <w:lang w:val="en-GB"/>
        </w:rPr>
        <w:t> </w:t>
      </w:r>
      <w:r w:rsidR="00762B48" w:rsidRPr="00831573">
        <w:rPr>
          <w:szCs w:val="24"/>
          <w:lang w:val="en-GB"/>
        </w:rPr>
        <w:t xml:space="preserve">5 </w:t>
      </w:r>
      <w:r w:rsidR="00762B48" w:rsidRPr="00831573">
        <w:rPr>
          <w:rFonts w:cstheme="minorHAnsi"/>
          <w:szCs w:val="24"/>
          <w:lang w:val="en-GB"/>
        </w:rPr>
        <w:t>§</w:t>
      </w:r>
      <w:r w:rsidR="00762B48" w:rsidRPr="00831573">
        <w:rPr>
          <w:szCs w:val="24"/>
          <w:lang w:val="en-GB"/>
        </w:rPr>
        <w:t xml:space="preserve"> 1 it was necessary and appropriate to visit it with a measure of damages, however modest. He found that</w:t>
      </w:r>
      <w:r w:rsidR="007029CA" w:rsidRPr="00831573">
        <w:rPr>
          <w:szCs w:val="24"/>
          <w:lang w:val="en-GB"/>
        </w:rPr>
        <w:t>,</w:t>
      </w:r>
      <w:r w:rsidR="00762B48" w:rsidRPr="00831573">
        <w:rPr>
          <w:szCs w:val="24"/>
          <w:lang w:val="en-GB"/>
        </w:rPr>
        <w:t xml:space="preserve"> if the</w:t>
      </w:r>
      <w:r w:rsidR="007029CA" w:rsidRPr="00831573">
        <w:rPr>
          <w:szCs w:val="24"/>
          <w:lang w:val="en-GB"/>
        </w:rPr>
        <w:t xml:space="preserve"> family-law</w:t>
      </w:r>
      <w:r w:rsidR="00762B48" w:rsidRPr="00831573">
        <w:rPr>
          <w:szCs w:val="24"/>
          <w:lang w:val="en-GB"/>
        </w:rPr>
        <w:t xml:space="preserve"> applications had been separated correctly and the applicant had been represented</w:t>
      </w:r>
      <w:r w:rsidR="007029CA" w:rsidRPr="00831573">
        <w:rPr>
          <w:szCs w:val="24"/>
          <w:lang w:val="en-GB"/>
        </w:rPr>
        <w:t>,</w:t>
      </w:r>
      <w:r w:rsidR="00762B48" w:rsidRPr="00831573">
        <w:rPr>
          <w:szCs w:val="24"/>
          <w:lang w:val="en-GB"/>
        </w:rPr>
        <w:t xml:space="preserve"> a finding of contempt would nevertheless have been inevitable. However, whilst custody was the more probable outcome, the length of sentence would have been significantly shorter and approximately fourteen days</w:t>
      </w:r>
      <w:r w:rsidR="00CA11CB" w:rsidRPr="00831573">
        <w:rPr>
          <w:szCs w:val="24"/>
          <w:lang w:val="en-GB"/>
        </w:rPr>
        <w:t>, so t</w:t>
      </w:r>
      <w:r w:rsidR="00762B48" w:rsidRPr="00831573">
        <w:rPr>
          <w:szCs w:val="24"/>
          <w:lang w:val="en-GB"/>
        </w:rPr>
        <w:t>he applicant would not have served six weeks in prison.</w:t>
      </w:r>
      <w:r w:rsidR="00495E94" w:rsidRPr="00831573">
        <w:rPr>
          <w:szCs w:val="24"/>
          <w:lang w:val="en-GB"/>
        </w:rPr>
        <w:t xml:space="preserve"> He indicated that</w:t>
      </w:r>
      <w:r w:rsidR="007029CA" w:rsidRPr="00831573">
        <w:rPr>
          <w:szCs w:val="24"/>
          <w:lang w:val="en-GB"/>
        </w:rPr>
        <w:t>, had a violation of Article 5 been established,</w:t>
      </w:r>
      <w:r w:rsidR="00495E94" w:rsidRPr="00831573">
        <w:rPr>
          <w:szCs w:val="24"/>
          <w:lang w:val="en-GB"/>
        </w:rPr>
        <w:t xml:space="preserve"> he would have awarded damages in the sum of GBP 6,000, on an equitable basis.</w:t>
      </w:r>
    </w:p>
    <w:p w:rsidR="00762B48"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35</w:t>
      </w:r>
      <w:r w:rsidRPr="00831573">
        <w:rPr>
          <w:lang w:val="en-GB"/>
        </w:rPr>
        <w:fldChar w:fldCharType="end"/>
      </w:r>
      <w:r w:rsidR="00762B48" w:rsidRPr="00831573">
        <w:rPr>
          <w:lang w:val="en-GB"/>
        </w:rPr>
        <w:t>.</w:t>
      </w:r>
      <w:r w:rsidR="007906B1" w:rsidRPr="00831573">
        <w:rPr>
          <w:szCs w:val="24"/>
          <w:lang w:val="en-GB"/>
        </w:rPr>
        <w:t>  </w:t>
      </w:r>
      <w:r w:rsidR="00762B48" w:rsidRPr="00831573">
        <w:rPr>
          <w:lang w:val="en-GB"/>
        </w:rPr>
        <w:t>The applicant sought leave to appeal</w:t>
      </w:r>
      <w:r w:rsidR="008E43DA" w:rsidRPr="00831573">
        <w:rPr>
          <w:lang w:val="en-GB"/>
        </w:rPr>
        <w:t xml:space="preserve"> out of time</w:t>
      </w:r>
      <w:r w:rsidR="00762B48" w:rsidRPr="00831573">
        <w:rPr>
          <w:lang w:val="en-GB"/>
        </w:rPr>
        <w:t>. On 27 August 2009 leave to appeal was refused on the papers. The judge commented that he might consider extending time if there was a real prospect of success, but in his vie</w:t>
      </w:r>
      <w:r w:rsidR="00D5619D" w:rsidRPr="00831573">
        <w:rPr>
          <w:lang w:val="en-GB"/>
        </w:rPr>
        <w:t>w the judgment would be upheld.</w:t>
      </w:r>
    </w:p>
    <w:p w:rsidR="00014566" w:rsidRPr="00831573" w:rsidRDefault="00014566" w:rsidP="00831573">
      <w:pPr>
        <w:pStyle w:val="ECHRHeading1"/>
        <w:rPr>
          <w:lang w:val="en-GB"/>
        </w:rPr>
      </w:pPr>
      <w:r w:rsidRPr="00831573">
        <w:rPr>
          <w:lang w:val="en-GB"/>
        </w:rPr>
        <w:t>II.  RELEVANT DOMESTIC LAW AND PRACTICE</w:t>
      </w:r>
    </w:p>
    <w:p w:rsidR="00A8457A" w:rsidRPr="00831573" w:rsidRDefault="00131FB6" w:rsidP="00831573">
      <w:pPr>
        <w:pStyle w:val="ECHRHeading2"/>
        <w:rPr>
          <w:lang w:val="en-GB"/>
        </w:rPr>
      </w:pPr>
      <w:r w:rsidRPr="00831573">
        <w:rPr>
          <w:lang w:val="en-GB"/>
        </w:rPr>
        <w:t>A</w:t>
      </w:r>
      <w:r w:rsidR="007906B1" w:rsidRPr="00831573">
        <w:rPr>
          <w:lang w:val="en-GB"/>
        </w:rPr>
        <w:t>.  </w:t>
      </w:r>
      <w:r w:rsidR="00A8457A" w:rsidRPr="00831573">
        <w:rPr>
          <w:lang w:val="en-GB"/>
        </w:rPr>
        <w:t>Contempt of court</w:t>
      </w:r>
    </w:p>
    <w:p w:rsidR="00A8457A" w:rsidRPr="00831573" w:rsidRDefault="007906B1" w:rsidP="00831573">
      <w:pPr>
        <w:pStyle w:val="ECHRHeading3"/>
        <w:rPr>
          <w:lang w:val="en-GB"/>
        </w:rPr>
      </w:pPr>
      <w:r w:rsidRPr="00831573">
        <w:rPr>
          <w:lang w:val="en-GB"/>
        </w:rPr>
        <w:t>1.  </w:t>
      </w:r>
      <w:r w:rsidR="00A8457A" w:rsidRPr="00831573">
        <w:rPr>
          <w:lang w:val="en-GB"/>
        </w:rPr>
        <w:t>Legislation</w:t>
      </w:r>
    </w:p>
    <w:bookmarkStart w:id="11" w:name="CCA1981"/>
    <w:p w:rsidR="00A8457A" w:rsidRPr="00831573" w:rsidRDefault="00A8457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36</w:t>
      </w:r>
      <w:r w:rsidRPr="00831573">
        <w:rPr>
          <w:lang w:val="en-GB"/>
        </w:rPr>
        <w:fldChar w:fldCharType="end"/>
      </w:r>
      <w:bookmarkEnd w:id="11"/>
      <w:r w:rsidR="007906B1" w:rsidRPr="00831573">
        <w:rPr>
          <w:lang w:val="en-GB"/>
        </w:rPr>
        <w:t>.  </w:t>
      </w:r>
      <w:r w:rsidRPr="00831573">
        <w:rPr>
          <w:lang w:val="en-GB"/>
        </w:rPr>
        <w:t>Section 14 of the Contempt of Court Act 1981, as amended, provides in relevant part:</w:t>
      </w:r>
    </w:p>
    <w:p w:rsidR="00A8457A" w:rsidRPr="00831573" w:rsidRDefault="005605C6" w:rsidP="00831573">
      <w:pPr>
        <w:pStyle w:val="JuQuotSub"/>
        <w:rPr>
          <w:lang w:val="en-GB"/>
        </w:rPr>
      </w:pPr>
      <w:r w:rsidRPr="00831573">
        <w:rPr>
          <w:lang w:val="en-GB"/>
        </w:rPr>
        <w:t>“(1) </w:t>
      </w:r>
      <w:r w:rsidR="00A8457A" w:rsidRPr="00831573">
        <w:rPr>
          <w:lang w:val="en-GB"/>
        </w:rPr>
        <w:t xml:space="preserve">In any case where a court has power to commit a person to prison for contempt of court </w:t>
      </w:r>
      <w:r w:rsidR="00F87D13" w:rsidRPr="00831573">
        <w:rPr>
          <w:lang w:val="en-GB"/>
        </w:rPr>
        <w:t>...</w:t>
      </w:r>
      <w:r w:rsidR="00A8457A" w:rsidRPr="00831573">
        <w:rPr>
          <w:lang w:val="en-GB"/>
        </w:rPr>
        <w:t xml:space="preserve">, the committal shall </w:t>
      </w:r>
      <w:r w:rsidR="00F87D13" w:rsidRPr="00831573">
        <w:rPr>
          <w:lang w:val="en-GB"/>
        </w:rPr>
        <w:t>...</w:t>
      </w:r>
      <w:r w:rsidR="00A8457A" w:rsidRPr="00831573">
        <w:rPr>
          <w:lang w:val="en-GB"/>
        </w:rPr>
        <w:t xml:space="preserve"> be for a fixed term, and that term shall not on any occasion exceed two years in the case of committal by a superior court, or one month in the case of committal by an inferior court.</w:t>
      </w:r>
    </w:p>
    <w:p w:rsidR="00A8457A" w:rsidRPr="00831573" w:rsidRDefault="00F87D13" w:rsidP="00831573">
      <w:pPr>
        <w:pStyle w:val="JuQuotSub"/>
        <w:rPr>
          <w:lang w:val="en-GB"/>
        </w:rPr>
      </w:pPr>
      <w:r w:rsidRPr="00831573">
        <w:rPr>
          <w:lang w:val="en-GB"/>
        </w:rPr>
        <w:t>...</w:t>
      </w:r>
    </w:p>
    <w:p w:rsidR="00A8457A" w:rsidRPr="00831573" w:rsidRDefault="005605C6" w:rsidP="00831573">
      <w:pPr>
        <w:pStyle w:val="JuQuotSub"/>
        <w:rPr>
          <w:lang w:val="en-GB"/>
        </w:rPr>
      </w:pPr>
      <w:r w:rsidRPr="00831573">
        <w:rPr>
          <w:lang w:val="en-GB"/>
        </w:rPr>
        <w:t>(4A) </w:t>
      </w:r>
      <w:r w:rsidR="00A8457A" w:rsidRPr="00831573">
        <w:rPr>
          <w:lang w:val="en-GB"/>
        </w:rPr>
        <w:t>For the purposes of the preceding provisions of this section the county court shall be treated as a superior court and not as an inferior court.”</w:t>
      </w:r>
    </w:p>
    <w:p w:rsidR="008E43DA" w:rsidRPr="00831573" w:rsidRDefault="008E43D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37</w:t>
      </w:r>
      <w:r w:rsidRPr="00831573">
        <w:rPr>
          <w:lang w:val="en-GB"/>
        </w:rPr>
        <w:fldChar w:fldCharType="end"/>
      </w:r>
      <w:r w:rsidRPr="00831573">
        <w:rPr>
          <w:lang w:val="en-GB"/>
        </w:rPr>
        <w:t>.</w:t>
      </w:r>
      <w:r w:rsidR="007906B1" w:rsidRPr="00831573">
        <w:rPr>
          <w:lang w:val="en-GB"/>
        </w:rPr>
        <w:t>  </w:t>
      </w:r>
      <w:r w:rsidRPr="00831573">
        <w:rPr>
          <w:lang w:val="en-GB"/>
        </w:rPr>
        <w:t>Section 258</w:t>
      </w:r>
      <w:r w:rsidR="0023173D" w:rsidRPr="00831573">
        <w:rPr>
          <w:lang w:val="en-GB"/>
        </w:rPr>
        <w:t>(1)</w:t>
      </w:r>
      <w:r w:rsidRPr="00831573">
        <w:rPr>
          <w:lang w:val="en-GB"/>
        </w:rPr>
        <w:t xml:space="preserve"> </w:t>
      </w:r>
      <w:r w:rsidR="0023173D" w:rsidRPr="00831573">
        <w:rPr>
          <w:lang w:val="en-GB"/>
        </w:rPr>
        <w:t xml:space="preserve">of the Criminal Justice Act 2003, as then in force, provided that the section applied, </w:t>
      </w:r>
      <w:r w:rsidR="0023173D" w:rsidRPr="00831573">
        <w:rPr>
          <w:i/>
          <w:lang w:val="en-GB"/>
        </w:rPr>
        <w:t>inter alios</w:t>
      </w:r>
      <w:r w:rsidR="0023173D" w:rsidRPr="00831573">
        <w:rPr>
          <w:lang w:val="en-GB"/>
        </w:rPr>
        <w:t xml:space="preserve">, to persons committed to prison for contempt of court. Section 258(2) </w:t>
      </w:r>
      <w:r w:rsidR="00D2526F" w:rsidRPr="00831573">
        <w:rPr>
          <w:lang w:val="en-GB"/>
        </w:rPr>
        <w:t>of the Act provided that as soon as a person to whom the section applied had served one-half of the term for which he was committed, the Secretary of State</w:t>
      </w:r>
      <w:r w:rsidR="00831573" w:rsidRPr="00831573">
        <w:rPr>
          <w:lang w:val="en-GB"/>
        </w:rPr>
        <w:t>’</w:t>
      </w:r>
      <w:r w:rsidR="00D2526F" w:rsidRPr="00831573">
        <w:rPr>
          <w:lang w:val="en-GB"/>
        </w:rPr>
        <w:t>s duty was to release him unconditionally.</w:t>
      </w:r>
    </w:p>
    <w:p w:rsidR="00CD074D" w:rsidRPr="00831573" w:rsidRDefault="00CD074D" w:rsidP="00831573">
      <w:pPr>
        <w:pStyle w:val="ECHRHeading3"/>
        <w:rPr>
          <w:lang w:val="en-GB"/>
        </w:rPr>
      </w:pPr>
      <w:r w:rsidRPr="00831573">
        <w:rPr>
          <w:lang w:val="en-GB"/>
        </w:rPr>
        <w:t>2.</w:t>
      </w:r>
      <w:r w:rsidR="007906B1" w:rsidRPr="00831573">
        <w:rPr>
          <w:lang w:val="en-GB"/>
        </w:rPr>
        <w:t>  </w:t>
      </w:r>
      <w:r w:rsidRPr="00831573">
        <w:rPr>
          <w:lang w:val="en-GB"/>
        </w:rPr>
        <w:t>Case-law</w:t>
      </w:r>
      <w:r w:rsidR="00797257" w:rsidRPr="00831573">
        <w:rPr>
          <w:lang w:val="en-GB"/>
        </w:rPr>
        <w:t xml:space="preserve"> and other relevant legal materials</w:t>
      </w:r>
    </w:p>
    <w:p w:rsidR="00555594" w:rsidRPr="00831573" w:rsidRDefault="002A3F6F" w:rsidP="00831573">
      <w:pPr>
        <w:pStyle w:val="ECHRHeading4"/>
        <w:rPr>
          <w:lang w:val="en-GB"/>
        </w:rPr>
      </w:pPr>
      <w:r w:rsidRPr="00831573">
        <w:rPr>
          <w:lang w:val="en-GB"/>
        </w:rPr>
        <w:t>(a)  </w:t>
      </w:r>
      <w:r w:rsidR="00555594" w:rsidRPr="00831573">
        <w:rPr>
          <w:lang w:val="en-GB"/>
        </w:rPr>
        <w:t>The nature of civil contempt</w:t>
      </w:r>
    </w:p>
    <w:bookmarkStart w:id="12" w:name="Obrien"/>
    <w:p w:rsidR="00555594" w:rsidRPr="00831573" w:rsidRDefault="0055559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38</w:t>
      </w:r>
      <w:r w:rsidRPr="00831573">
        <w:rPr>
          <w:lang w:val="en-GB"/>
        </w:rPr>
        <w:fldChar w:fldCharType="end"/>
      </w:r>
      <w:bookmarkEnd w:id="12"/>
      <w:r w:rsidRPr="00831573">
        <w:rPr>
          <w:lang w:val="en-GB"/>
        </w:rPr>
        <w:t xml:space="preserve">.  In </w:t>
      </w:r>
      <w:r w:rsidRPr="00831573">
        <w:rPr>
          <w:i/>
          <w:lang w:val="en-GB"/>
        </w:rPr>
        <w:t>R v</w:t>
      </w:r>
      <w:r w:rsidR="00D2526F" w:rsidRPr="00831573">
        <w:rPr>
          <w:i/>
          <w:lang w:val="en-GB"/>
        </w:rPr>
        <w:t>.</w:t>
      </w:r>
      <w:r w:rsidRPr="00831573">
        <w:rPr>
          <w:i/>
          <w:lang w:val="en-GB"/>
        </w:rPr>
        <w:t xml:space="preserve"> O</w:t>
      </w:r>
      <w:r w:rsidR="00831573" w:rsidRPr="00831573">
        <w:rPr>
          <w:i/>
          <w:lang w:val="en-GB"/>
        </w:rPr>
        <w:t>’</w:t>
      </w:r>
      <w:r w:rsidRPr="00831573">
        <w:rPr>
          <w:i/>
          <w:lang w:val="en-GB"/>
        </w:rPr>
        <w:t>Brien</w:t>
      </w:r>
      <w:r w:rsidRPr="00831573">
        <w:rPr>
          <w:lang w:val="en-GB"/>
        </w:rPr>
        <w:t xml:space="preserve"> [2014] UKSC 23, Lord Toulson, giving judgment on behalf of the </w:t>
      </w:r>
      <w:r w:rsidR="009564BF" w:rsidRPr="00831573">
        <w:rPr>
          <w:lang w:val="en-GB"/>
        </w:rPr>
        <w:t>Supreme C</w:t>
      </w:r>
      <w:r w:rsidRPr="00831573">
        <w:rPr>
          <w:lang w:val="en-GB"/>
        </w:rPr>
        <w:t xml:space="preserve">ourt, observed that English law had long recognised a distinction between “civil contempt”, which was conduct not in itself a crime but which was punishable by the court to ensure </w:t>
      </w:r>
      <w:r w:rsidR="007F3324" w:rsidRPr="00831573">
        <w:rPr>
          <w:lang w:val="en-GB"/>
        </w:rPr>
        <w:t xml:space="preserve">that </w:t>
      </w:r>
      <w:r w:rsidRPr="00831573">
        <w:rPr>
          <w:lang w:val="en-GB"/>
        </w:rPr>
        <w:t xml:space="preserve">its orders </w:t>
      </w:r>
      <w:r w:rsidR="007F3324" w:rsidRPr="00831573">
        <w:rPr>
          <w:lang w:val="en-GB"/>
        </w:rPr>
        <w:t>were</w:t>
      </w:r>
      <w:r w:rsidRPr="00831573">
        <w:rPr>
          <w:lang w:val="en-GB"/>
        </w:rPr>
        <w:t xml:space="preserve"> observed, and “criminal contempt”. Lord Toulson stated:</w:t>
      </w:r>
    </w:p>
    <w:p w:rsidR="00555594" w:rsidRPr="00831573" w:rsidRDefault="005605C6" w:rsidP="00831573">
      <w:pPr>
        <w:pStyle w:val="ECHRParaQuote"/>
        <w:rPr>
          <w:lang w:val="en-GB"/>
        </w:rPr>
      </w:pPr>
      <w:r w:rsidRPr="00831573">
        <w:rPr>
          <w:lang w:val="en-GB"/>
        </w:rPr>
        <w:t>“38. </w:t>
      </w:r>
      <w:r w:rsidR="00555594" w:rsidRPr="00831573">
        <w:rPr>
          <w:lang w:val="en-GB"/>
        </w:rPr>
        <w:t>Breach of an order made (or undertaking obtained) in the course of legal proceedings may result in punishment of the person against whom the order was made (or from whom the undertaking was obtained) as a form of contempt ... However, a contempt of that kind does not constitute a criminal offence. Although the penalty contains a punitive element, its primary purpose is to make the order of the court effective. A person who commits this type of contempt does not acquire a criminal record.”</w:t>
      </w:r>
    </w:p>
    <w:p w:rsidR="00555594" w:rsidRPr="00831573" w:rsidRDefault="00555594" w:rsidP="00831573">
      <w:pPr>
        <w:pStyle w:val="ECHRHeading4"/>
        <w:rPr>
          <w:lang w:val="en-GB"/>
        </w:rPr>
      </w:pPr>
      <w:r w:rsidRPr="00831573">
        <w:rPr>
          <w:lang w:val="en-GB"/>
        </w:rPr>
        <w:t>(</w:t>
      </w:r>
      <w:r w:rsidR="00131FB6" w:rsidRPr="00831573">
        <w:rPr>
          <w:lang w:val="en-GB"/>
        </w:rPr>
        <w:t>b</w:t>
      </w:r>
      <w:r w:rsidR="00874BD6" w:rsidRPr="00831573">
        <w:rPr>
          <w:lang w:val="en-GB"/>
        </w:rPr>
        <w:t>)  </w:t>
      </w:r>
      <w:r w:rsidRPr="00831573">
        <w:rPr>
          <w:lang w:val="en-GB"/>
        </w:rPr>
        <w:t>The power to commit for contempt for failure to respect an undertaking</w:t>
      </w:r>
    </w:p>
    <w:bookmarkStart w:id="13" w:name="UndertakingsStart"/>
    <w:p w:rsidR="00555594" w:rsidRPr="00831573" w:rsidRDefault="0055559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39</w:t>
      </w:r>
      <w:r w:rsidRPr="00831573">
        <w:rPr>
          <w:lang w:val="en-GB"/>
        </w:rPr>
        <w:fldChar w:fldCharType="end"/>
      </w:r>
      <w:bookmarkEnd w:id="13"/>
      <w:r w:rsidR="00C873AC" w:rsidRPr="00831573">
        <w:rPr>
          <w:lang w:val="en-GB"/>
        </w:rPr>
        <w:t>.  </w:t>
      </w:r>
      <w:r w:rsidRPr="00831573">
        <w:rPr>
          <w:lang w:val="en-GB"/>
        </w:rPr>
        <w:t xml:space="preserve">In </w:t>
      </w:r>
      <w:r w:rsidRPr="00831573">
        <w:rPr>
          <w:i/>
          <w:lang w:val="en-GB"/>
        </w:rPr>
        <w:t>Roberts v</w:t>
      </w:r>
      <w:r w:rsidR="00D2526F" w:rsidRPr="00831573">
        <w:rPr>
          <w:i/>
          <w:lang w:val="en-GB"/>
        </w:rPr>
        <w:t>.</w:t>
      </w:r>
      <w:r w:rsidRPr="00831573">
        <w:rPr>
          <w:i/>
          <w:lang w:val="en-GB"/>
        </w:rPr>
        <w:t xml:space="preserve"> Roberts</w:t>
      </w:r>
      <w:r w:rsidRPr="00831573">
        <w:rPr>
          <w:lang w:val="en-GB"/>
        </w:rPr>
        <w:t xml:space="preserve"> [1990] 2 F.L.R. 111, the Court of Appeal accepted that an individual could be committed for contempt where he had failed to abide by an undertaking</w:t>
      </w:r>
      <w:r w:rsidR="00D2526F" w:rsidRPr="00831573">
        <w:rPr>
          <w:lang w:val="en-GB"/>
        </w:rPr>
        <w:t xml:space="preserve"> made to a court</w:t>
      </w:r>
      <w:r w:rsidRPr="00831573">
        <w:rPr>
          <w:lang w:val="en-GB"/>
        </w:rPr>
        <w:t>.</w:t>
      </w:r>
    </w:p>
    <w:bookmarkStart w:id="14" w:name="UndertakingsEnd"/>
    <w:p w:rsidR="00CD074D" w:rsidRPr="00831573" w:rsidRDefault="0055559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40</w:t>
      </w:r>
      <w:r w:rsidRPr="00831573">
        <w:rPr>
          <w:lang w:val="en-GB"/>
        </w:rPr>
        <w:fldChar w:fldCharType="end"/>
      </w:r>
      <w:bookmarkEnd w:id="14"/>
      <w:r w:rsidR="00C873AC" w:rsidRPr="00831573">
        <w:rPr>
          <w:lang w:val="en-GB"/>
        </w:rPr>
        <w:t>.  </w:t>
      </w:r>
      <w:r w:rsidRPr="00831573">
        <w:rPr>
          <w:lang w:val="en-GB"/>
        </w:rPr>
        <w:t xml:space="preserve">Subsequent cases, including </w:t>
      </w:r>
      <w:r w:rsidRPr="00831573">
        <w:rPr>
          <w:i/>
          <w:lang w:val="en-GB"/>
        </w:rPr>
        <w:t>R v O</w:t>
      </w:r>
      <w:r w:rsidR="00831573" w:rsidRPr="00831573">
        <w:rPr>
          <w:i/>
          <w:lang w:val="en-GB"/>
        </w:rPr>
        <w:t>’</w:t>
      </w:r>
      <w:r w:rsidRPr="00831573">
        <w:rPr>
          <w:i/>
          <w:lang w:val="en-GB"/>
        </w:rPr>
        <w:t xml:space="preserve">Brien </w:t>
      </w:r>
      <w:r w:rsidRPr="00831573">
        <w:rPr>
          <w:lang w:val="en-GB"/>
        </w:rPr>
        <w:t>(see paragraph</w:t>
      </w:r>
      <w:r w:rsidR="0096773C" w:rsidRPr="00831573">
        <w:rPr>
          <w:lang w:val="en-GB"/>
        </w:rPr>
        <w:t xml:space="preserve"> </w:t>
      </w:r>
      <w:r w:rsidR="0096773C" w:rsidRPr="00831573">
        <w:rPr>
          <w:lang w:val="en-GB"/>
        </w:rPr>
        <w:fldChar w:fldCharType="begin"/>
      </w:r>
      <w:r w:rsidR="0096773C" w:rsidRPr="00831573">
        <w:rPr>
          <w:lang w:val="en-GB"/>
        </w:rPr>
        <w:instrText xml:space="preserve"> REF Obrien \h </w:instrText>
      </w:r>
      <w:r w:rsidR="00E36332" w:rsidRPr="00831573">
        <w:rPr>
          <w:lang w:val="en-GB"/>
        </w:rPr>
        <w:instrText xml:space="preserve"> \* MERGEFORMAT </w:instrText>
      </w:r>
      <w:r w:rsidR="0096773C" w:rsidRPr="00831573">
        <w:rPr>
          <w:lang w:val="en-GB"/>
        </w:rPr>
      </w:r>
      <w:r w:rsidR="0096773C" w:rsidRPr="00831573">
        <w:rPr>
          <w:lang w:val="en-GB"/>
        </w:rPr>
        <w:fldChar w:fldCharType="separate"/>
      </w:r>
      <w:r w:rsidR="00831573" w:rsidRPr="00831573">
        <w:rPr>
          <w:lang w:val="en-GB"/>
        </w:rPr>
        <w:t>38</w:t>
      </w:r>
      <w:r w:rsidR="0096773C" w:rsidRPr="00831573">
        <w:rPr>
          <w:lang w:val="en-GB"/>
        </w:rPr>
        <w:fldChar w:fldCharType="end"/>
      </w:r>
      <w:r w:rsidR="00404397" w:rsidRPr="00831573">
        <w:rPr>
          <w:lang w:val="en-GB"/>
        </w:rPr>
        <w:t xml:space="preserve"> </w:t>
      </w:r>
      <w:r w:rsidRPr="00831573">
        <w:rPr>
          <w:lang w:val="en-GB"/>
        </w:rPr>
        <w:t>above), have continued to accept the validity of committal for such failures.</w:t>
      </w:r>
    </w:p>
    <w:p w:rsidR="00797257" w:rsidRPr="00831573" w:rsidRDefault="00874BD6" w:rsidP="00831573">
      <w:pPr>
        <w:pStyle w:val="ECHRHeading4"/>
        <w:rPr>
          <w:lang w:val="en-GB"/>
        </w:rPr>
      </w:pPr>
      <w:r w:rsidRPr="00831573">
        <w:rPr>
          <w:lang w:val="en-GB"/>
        </w:rPr>
        <w:t>(c)  </w:t>
      </w:r>
      <w:r w:rsidR="00404397" w:rsidRPr="00831573">
        <w:rPr>
          <w:lang w:val="en-GB"/>
        </w:rPr>
        <w:t>The domestic law appli</w:t>
      </w:r>
      <w:r w:rsidR="00D5619D" w:rsidRPr="00831573">
        <w:rPr>
          <w:lang w:val="en-GB"/>
        </w:rPr>
        <w:t>cation of Article 6 to contempt</w:t>
      </w:r>
    </w:p>
    <w:p w:rsidR="008759B3" w:rsidRPr="00831573" w:rsidRDefault="00874BD6" w:rsidP="00831573">
      <w:pPr>
        <w:pStyle w:val="ECHRHeading5"/>
        <w:rPr>
          <w:lang w:val="en-GB"/>
        </w:rPr>
      </w:pPr>
      <w:r w:rsidRPr="00831573">
        <w:rPr>
          <w:lang w:val="en-GB"/>
        </w:rPr>
        <w:t>(i)  </w:t>
      </w:r>
      <w:r w:rsidR="008759B3" w:rsidRPr="00831573">
        <w:rPr>
          <w:i w:val="0"/>
          <w:lang w:val="en-GB"/>
        </w:rPr>
        <w:t>The 2001 Practice Direction on committal applications in family proceedings</w:t>
      </w:r>
      <w:r w:rsidR="008759B3" w:rsidRPr="00831573">
        <w:rPr>
          <w:lang w:val="en-GB"/>
        </w:rPr>
        <w:t xml:space="preserve"> ([2001] 1 WLR 1253)</w:t>
      </w:r>
    </w:p>
    <w:bookmarkStart w:id="15" w:name="PDFamilyHR"/>
    <w:p w:rsidR="008759B3" w:rsidRPr="00831573" w:rsidRDefault="008759B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41</w:t>
      </w:r>
      <w:r w:rsidRPr="00831573">
        <w:rPr>
          <w:lang w:val="en-GB"/>
        </w:rPr>
        <w:fldChar w:fldCharType="end"/>
      </w:r>
      <w:bookmarkEnd w:id="15"/>
      <w:r w:rsidR="003F5864" w:rsidRPr="00831573">
        <w:rPr>
          <w:lang w:val="en-GB"/>
        </w:rPr>
        <w:t>.  </w:t>
      </w:r>
      <w:r w:rsidRPr="00831573">
        <w:rPr>
          <w:lang w:val="en-GB"/>
        </w:rPr>
        <w:t>The practice direction</w:t>
      </w:r>
      <w:r w:rsidR="00230A57" w:rsidRPr="00831573">
        <w:rPr>
          <w:lang w:val="en-GB"/>
        </w:rPr>
        <w:t>, as then in force,</w:t>
      </w:r>
      <w:r w:rsidRPr="00831573">
        <w:rPr>
          <w:lang w:val="en-GB"/>
        </w:rPr>
        <w:t xml:space="preserve"> set out that Article 6 of the Convention was to be fully applicable to </w:t>
      </w:r>
      <w:r w:rsidR="00C41A23" w:rsidRPr="00831573">
        <w:rPr>
          <w:lang w:val="en-GB"/>
        </w:rPr>
        <w:t xml:space="preserve">family </w:t>
      </w:r>
      <w:r w:rsidR="00D5619D" w:rsidRPr="00831573">
        <w:rPr>
          <w:lang w:val="en-GB"/>
        </w:rPr>
        <w:t>proceedings.</w:t>
      </w:r>
    </w:p>
    <w:p w:rsidR="008572D9" w:rsidRPr="00831573" w:rsidRDefault="00874BD6" w:rsidP="00831573">
      <w:pPr>
        <w:pStyle w:val="ECHRHeading5"/>
        <w:rPr>
          <w:lang w:val="en-GB"/>
        </w:rPr>
      </w:pPr>
      <w:r w:rsidRPr="00831573">
        <w:rPr>
          <w:lang w:val="en-GB"/>
        </w:rPr>
        <w:t>(ii)  </w:t>
      </w:r>
      <w:r w:rsidR="008572D9" w:rsidRPr="00831573">
        <w:rPr>
          <w:i w:val="0"/>
          <w:lang w:val="en-GB"/>
        </w:rPr>
        <w:t>Re K (Children)</w:t>
      </w:r>
      <w:r w:rsidR="008572D9" w:rsidRPr="00831573">
        <w:rPr>
          <w:lang w:val="en-GB"/>
        </w:rPr>
        <w:t xml:space="preserve"> [2002] EWCA Civ 1559</w:t>
      </w:r>
    </w:p>
    <w:bookmarkStart w:id="16" w:name="ReKChildrenCA"/>
    <w:p w:rsidR="00404397" w:rsidRPr="00831573" w:rsidRDefault="0040439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42</w:t>
      </w:r>
      <w:r w:rsidRPr="00831573">
        <w:rPr>
          <w:lang w:val="en-GB"/>
        </w:rPr>
        <w:fldChar w:fldCharType="end"/>
      </w:r>
      <w:bookmarkEnd w:id="16"/>
      <w:r w:rsidR="003F5864" w:rsidRPr="00831573">
        <w:rPr>
          <w:lang w:val="en-GB"/>
        </w:rPr>
        <w:t>.  </w:t>
      </w:r>
      <w:r w:rsidRPr="00831573">
        <w:rPr>
          <w:lang w:val="en-GB"/>
        </w:rPr>
        <w:t xml:space="preserve">In </w:t>
      </w:r>
      <w:r w:rsidR="00E36332" w:rsidRPr="00831573">
        <w:rPr>
          <w:i/>
          <w:lang w:val="en-GB"/>
        </w:rPr>
        <w:t>Re K (Children)</w:t>
      </w:r>
      <w:r w:rsidRPr="00831573">
        <w:rPr>
          <w:lang w:val="en-GB"/>
        </w:rPr>
        <w:t xml:space="preserve">, the Court of Appeal was asked to consider the appeal of a mother against an order committing her to prison for contempt which was made in a hearing in which she was not represented. Lady Justice Hale (as she then was), with whom the other </w:t>
      </w:r>
      <w:r w:rsidR="000461EF" w:rsidRPr="00831573">
        <w:rPr>
          <w:lang w:val="en-GB"/>
        </w:rPr>
        <w:t>judges</w:t>
      </w:r>
      <w:r w:rsidRPr="00831573">
        <w:rPr>
          <w:lang w:val="en-GB"/>
        </w:rPr>
        <w:t xml:space="preserve"> agreed, decided that the proceedings were “undoubtedly” a criminal charge for the purposes of Article 6 of the Convention and that</w:t>
      </w:r>
      <w:r w:rsidR="001D7DE0" w:rsidRPr="00831573">
        <w:rPr>
          <w:lang w:val="en-GB"/>
        </w:rPr>
        <w:t>,</w:t>
      </w:r>
      <w:r w:rsidRPr="00831573">
        <w:rPr>
          <w:lang w:val="en-GB"/>
        </w:rPr>
        <w:t xml:space="preserve"> accordingly</w:t>
      </w:r>
      <w:r w:rsidR="001D7DE0" w:rsidRPr="00831573">
        <w:rPr>
          <w:lang w:val="en-GB"/>
        </w:rPr>
        <w:t>,</w:t>
      </w:r>
      <w:r w:rsidRPr="00831573">
        <w:rPr>
          <w:lang w:val="en-GB"/>
        </w:rPr>
        <w:t xml:space="preserve"> the additional protections of Article 6 </w:t>
      </w:r>
      <w:r w:rsidRPr="00831573">
        <w:rPr>
          <w:rFonts w:cstheme="minorHAnsi"/>
          <w:lang w:val="en-GB"/>
        </w:rPr>
        <w:t>§</w:t>
      </w:r>
      <w:r w:rsidRPr="00831573">
        <w:rPr>
          <w:lang w:val="en-GB"/>
        </w:rPr>
        <w:t xml:space="preserve"> 3 applied. </w:t>
      </w:r>
      <w:r w:rsidR="000461EF" w:rsidRPr="00831573">
        <w:rPr>
          <w:lang w:val="en-GB"/>
        </w:rPr>
        <w:t>The</w:t>
      </w:r>
      <w:r w:rsidR="00AD0868" w:rsidRPr="00831573">
        <w:rPr>
          <w:lang w:val="en-GB"/>
        </w:rPr>
        <w:t xml:space="preserve"> warrant </w:t>
      </w:r>
      <w:r w:rsidR="008759B3" w:rsidRPr="00831573">
        <w:rPr>
          <w:lang w:val="en-GB"/>
        </w:rPr>
        <w:t>for</w:t>
      </w:r>
      <w:r w:rsidR="00AD0868" w:rsidRPr="00831573">
        <w:rPr>
          <w:lang w:val="en-GB"/>
        </w:rPr>
        <w:t xml:space="preserve"> the appellant to </w:t>
      </w:r>
      <w:r w:rsidR="008759B3" w:rsidRPr="00831573">
        <w:rPr>
          <w:lang w:val="en-GB"/>
        </w:rPr>
        <w:t xml:space="preserve">go to </w:t>
      </w:r>
      <w:r w:rsidR="00AD0868" w:rsidRPr="00831573">
        <w:rPr>
          <w:lang w:val="en-GB"/>
        </w:rPr>
        <w:t>prison</w:t>
      </w:r>
      <w:r w:rsidR="008759B3" w:rsidRPr="00831573">
        <w:rPr>
          <w:lang w:val="en-GB"/>
        </w:rPr>
        <w:t xml:space="preserve"> was set aside.</w:t>
      </w:r>
    </w:p>
    <w:p w:rsidR="00AD0868" w:rsidRPr="00831573" w:rsidRDefault="00AD0868" w:rsidP="00831573">
      <w:pPr>
        <w:pStyle w:val="ECHRHeading5"/>
        <w:rPr>
          <w:lang w:val="en-GB"/>
        </w:rPr>
      </w:pPr>
      <w:r w:rsidRPr="00831573">
        <w:rPr>
          <w:lang w:val="en-GB"/>
        </w:rPr>
        <w:t>(i</w:t>
      </w:r>
      <w:r w:rsidR="008759B3" w:rsidRPr="00831573">
        <w:rPr>
          <w:lang w:val="en-GB"/>
        </w:rPr>
        <w:t>i</w:t>
      </w:r>
      <w:r w:rsidRPr="00831573">
        <w:rPr>
          <w:lang w:val="en-GB"/>
        </w:rPr>
        <w:t>i)</w:t>
      </w:r>
      <w:r w:rsidR="00874BD6" w:rsidRPr="00831573">
        <w:rPr>
          <w:lang w:val="en-GB"/>
        </w:rPr>
        <w:t>  </w:t>
      </w:r>
      <w:r w:rsidR="008759B3" w:rsidRPr="00831573">
        <w:rPr>
          <w:i w:val="0"/>
          <w:lang w:val="en-GB"/>
        </w:rPr>
        <w:t>PG v</w:t>
      </w:r>
      <w:r w:rsidR="000461EF" w:rsidRPr="00831573">
        <w:rPr>
          <w:i w:val="0"/>
          <w:lang w:val="en-GB"/>
        </w:rPr>
        <w:t>.</w:t>
      </w:r>
      <w:r w:rsidR="008759B3" w:rsidRPr="00831573">
        <w:rPr>
          <w:i w:val="0"/>
          <w:lang w:val="en-GB"/>
        </w:rPr>
        <w:t xml:space="preserve"> LMR</w:t>
      </w:r>
      <w:r w:rsidRPr="00831573">
        <w:rPr>
          <w:lang w:val="en-GB"/>
        </w:rPr>
        <w:t xml:space="preserve"> [200</w:t>
      </w:r>
      <w:r w:rsidR="008759B3" w:rsidRPr="00831573">
        <w:rPr>
          <w:lang w:val="en-GB"/>
        </w:rPr>
        <w:t>3</w:t>
      </w:r>
      <w:r w:rsidRPr="00831573">
        <w:rPr>
          <w:lang w:val="en-GB"/>
        </w:rPr>
        <w:t xml:space="preserve">] EWCA Civ </w:t>
      </w:r>
      <w:r w:rsidR="008759B3" w:rsidRPr="00831573">
        <w:rPr>
          <w:lang w:val="en-GB"/>
        </w:rPr>
        <w:t>48</w:t>
      </w:r>
      <w:r w:rsidRPr="00831573">
        <w:rPr>
          <w:lang w:val="en-GB"/>
        </w:rPr>
        <w:t>9</w:t>
      </w:r>
    </w:p>
    <w:bookmarkStart w:id="17" w:name="PGvLMR"/>
    <w:p w:rsidR="008759B3" w:rsidRPr="00831573" w:rsidRDefault="008759B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43</w:t>
      </w:r>
      <w:r w:rsidRPr="00831573">
        <w:rPr>
          <w:lang w:val="en-GB"/>
        </w:rPr>
        <w:fldChar w:fldCharType="end"/>
      </w:r>
      <w:bookmarkEnd w:id="17"/>
      <w:r w:rsidRPr="00831573">
        <w:rPr>
          <w:lang w:val="en-GB"/>
        </w:rPr>
        <w:t>.</w:t>
      </w:r>
      <w:r w:rsidR="003F5864" w:rsidRPr="00831573">
        <w:rPr>
          <w:lang w:val="en-GB"/>
        </w:rPr>
        <w:t>  </w:t>
      </w:r>
      <w:r w:rsidR="000461EF" w:rsidRPr="00831573">
        <w:rPr>
          <w:lang w:val="en-GB"/>
        </w:rPr>
        <w:t xml:space="preserve">In </w:t>
      </w:r>
      <w:r w:rsidR="000461EF" w:rsidRPr="00831573">
        <w:rPr>
          <w:i/>
          <w:lang w:val="en-GB"/>
        </w:rPr>
        <w:t>PG v. LMR</w:t>
      </w:r>
      <w:r w:rsidR="000461EF" w:rsidRPr="00831573">
        <w:rPr>
          <w:lang w:val="en-GB"/>
        </w:rPr>
        <w:t>,</w:t>
      </w:r>
      <w:r w:rsidR="000461EF" w:rsidRPr="00831573">
        <w:rPr>
          <w:i/>
          <w:lang w:val="en-GB"/>
        </w:rPr>
        <w:t xml:space="preserve"> </w:t>
      </w:r>
      <w:r w:rsidR="000461EF" w:rsidRPr="00831573">
        <w:rPr>
          <w:lang w:val="en-GB"/>
        </w:rPr>
        <w:t>t</w:t>
      </w:r>
      <w:r w:rsidRPr="00831573">
        <w:rPr>
          <w:lang w:val="en-GB"/>
        </w:rPr>
        <w:t xml:space="preserve">he Court of Appeal was asked to consider the appeal of a father against a suspended committal order made by a County Court. Dame Elizabeth Butler-Sloss, </w:t>
      </w:r>
      <w:r w:rsidR="000461EF" w:rsidRPr="00831573">
        <w:rPr>
          <w:lang w:val="en-GB"/>
        </w:rPr>
        <w:t xml:space="preserve">as she then was, </w:t>
      </w:r>
      <w:r w:rsidRPr="00831573">
        <w:rPr>
          <w:lang w:val="en-GB"/>
        </w:rPr>
        <w:t>giving the judgment of the court, decided</w:t>
      </w:r>
      <w:r w:rsidR="00C57772" w:rsidRPr="00831573">
        <w:rPr>
          <w:lang w:val="en-GB"/>
        </w:rPr>
        <w:t xml:space="preserve">, </w:t>
      </w:r>
      <w:r w:rsidR="00C57772" w:rsidRPr="00831573">
        <w:rPr>
          <w:i/>
          <w:lang w:val="en-GB"/>
        </w:rPr>
        <w:t>inter alia</w:t>
      </w:r>
      <w:r w:rsidR="00C57772" w:rsidRPr="00831573">
        <w:rPr>
          <w:lang w:val="en-GB"/>
        </w:rPr>
        <w:t>,</w:t>
      </w:r>
      <w:r w:rsidRPr="00831573">
        <w:rPr>
          <w:lang w:val="en-GB"/>
        </w:rPr>
        <w:t xml:space="preserve"> that the </w:t>
      </w:r>
      <w:r w:rsidR="00C57772" w:rsidRPr="00831573">
        <w:rPr>
          <w:lang w:val="en-GB"/>
        </w:rPr>
        <w:t>County Court should have ensured by granting an adjournment that the appellant had the opportunity to obtain representation and that it should have informed him that he was not compelled to give evidence. Dame Butler-Sloss decided that the County Court</w:t>
      </w:r>
      <w:r w:rsidR="00831573" w:rsidRPr="00831573">
        <w:rPr>
          <w:lang w:val="en-GB"/>
        </w:rPr>
        <w:t>’</w:t>
      </w:r>
      <w:r w:rsidR="00C57772" w:rsidRPr="00831573">
        <w:rPr>
          <w:lang w:val="en-GB"/>
        </w:rPr>
        <w:t>s procedure had been seriously flawed and substantially unfair and set aside the committal order.</w:t>
      </w:r>
    </w:p>
    <w:p w:rsidR="000E09A8" w:rsidRPr="00831573" w:rsidRDefault="00131FB6" w:rsidP="00831573">
      <w:pPr>
        <w:pStyle w:val="ECHRHeading2"/>
        <w:rPr>
          <w:lang w:val="en-GB"/>
        </w:rPr>
      </w:pPr>
      <w:r w:rsidRPr="00831573">
        <w:rPr>
          <w:lang w:val="en-GB"/>
        </w:rPr>
        <w:t>B</w:t>
      </w:r>
      <w:r w:rsidR="00A345B5" w:rsidRPr="00831573">
        <w:rPr>
          <w:lang w:val="en-GB"/>
        </w:rPr>
        <w:t>.  </w:t>
      </w:r>
      <w:r w:rsidR="000E09A8" w:rsidRPr="00831573">
        <w:rPr>
          <w:lang w:val="en-GB"/>
        </w:rPr>
        <w:t xml:space="preserve">Immunity </w:t>
      </w:r>
      <w:r w:rsidR="00184F98" w:rsidRPr="00831573">
        <w:rPr>
          <w:lang w:val="en-GB"/>
        </w:rPr>
        <w:t>of justices of the peace</w:t>
      </w:r>
    </w:p>
    <w:p w:rsidR="00404397" w:rsidRPr="00831573" w:rsidRDefault="00736ECA" w:rsidP="00831573">
      <w:pPr>
        <w:pStyle w:val="ECHRHeading3"/>
        <w:rPr>
          <w:lang w:val="en-GB"/>
        </w:rPr>
      </w:pPr>
      <w:r w:rsidRPr="00831573">
        <w:rPr>
          <w:lang w:val="en-GB"/>
        </w:rPr>
        <w:t>1.</w:t>
      </w:r>
      <w:r w:rsidR="00A345B5" w:rsidRPr="00831573">
        <w:rPr>
          <w:lang w:val="en-GB"/>
        </w:rPr>
        <w:t>  </w:t>
      </w:r>
      <w:r w:rsidR="00404397" w:rsidRPr="00831573">
        <w:rPr>
          <w:i w:val="0"/>
          <w:lang w:val="en-GB"/>
        </w:rPr>
        <w:t>In Re McC. (A Minor)</w:t>
      </w:r>
      <w:r w:rsidR="00404397" w:rsidRPr="00831573">
        <w:rPr>
          <w:lang w:val="en-GB"/>
        </w:rPr>
        <w:t xml:space="preserve"> [1985] AC 528</w:t>
      </w:r>
    </w:p>
    <w:bookmarkStart w:id="18" w:name="InReMcCStart"/>
    <w:p w:rsidR="006E63C8" w:rsidRPr="00831573" w:rsidRDefault="0040439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44</w:t>
      </w:r>
      <w:r w:rsidRPr="00831573">
        <w:rPr>
          <w:lang w:val="en-GB"/>
        </w:rPr>
        <w:fldChar w:fldCharType="end"/>
      </w:r>
      <w:bookmarkEnd w:id="18"/>
      <w:r w:rsidRPr="00831573">
        <w:rPr>
          <w:lang w:val="en-GB"/>
        </w:rPr>
        <w:t>.</w:t>
      </w:r>
      <w:r w:rsidR="00A345B5" w:rsidRPr="00831573">
        <w:rPr>
          <w:lang w:val="en-GB"/>
        </w:rPr>
        <w:t>  </w:t>
      </w:r>
      <w:r w:rsidR="00797257" w:rsidRPr="00831573">
        <w:rPr>
          <w:lang w:val="en-GB"/>
        </w:rPr>
        <w:t xml:space="preserve">In </w:t>
      </w:r>
      <w:r w:rsidR="00797257" w:rsidRPr="00831573">
        <w:rPr>
          <w:i/>
          <w:lang w:val="en-GB"/>
        </w:rPr>
        <w:t>In Re McC</w:t>
      </w:r>
      <w:r w:rsidR="000461EF" w:rsidRPr="00831573">
        <w:rPr>
          <w:i/>
          <w:lang w:val="en-GB"/>
        </w:rPr>
        <w:t xml:space="preserve"> </w:t>
      </w:r>
      <w:r w:rsidR="00990796" w:rsidRPr="00831573">
        <w:rPr>
          <w:lang w:val="en-GB"/>
        </w:rPr>
        <w:t xml:space="preserve">the House of Lords was asked to consider whether Northern Irish magistrates were immune from liability for false imprisonment relating to their unlawful order </w:t>
      </w:r>
      <w:r w:rsidR="000461EF" w:rsidRPr="00831573">
        <w:rPr>
          <w:lang w:val="en-GB"/>
        </w:rPr>
        <w:t xml:space="preserve">by </w:t>
      </w:r>
      <w:r w:rsidR="00BB3C87" w:rsidRPr="00831573">
        <w:rPr>
          <w:lang w:val="en-GB"/>
        </w:rPr>
        <w:t xml:space="preserve">which they </w:t>
      </w:r>
      <w:r w:rsidR="00990796" w:rsidRPr="00831573">
        <w:rPr>
          <w:lang w:val="en-GB"/>
        </w:rPr>
        <w:t>sen</w:t>
      </w:r>
      <w:r w:rsidR="00BB3C87" w:rsidRPr="00831573">
        <w:rPr>
          <w:lang w:val="en-GB"/>
        </w:rPr>
        <w:t>t</w:t>
      </w:r>
      <w:r w:rsidR="00990796" w:rsidRPr="00831573">
        <w:rPr>
          <w:lang w:val="en-GB"/>
        </w:rPr>
        <w:t xml:space="preserve"> a fourteen</w:t>
      </w:r>
      <w:r w:rsidR="00872BAA" w:rsidRPr="00831573">
        <w:rPr>
          <w:lang w:val="en-GB"/>
        </w:rPr>
        <w:noBreakHyphen/>
      </w:r>
      <w:r w:rsidR="00990796" w:rsidRPr="00831573">
        <w:rPr>
          <w:lang w:val="en-GB"/>
        </w:rPr>
        <w:t>year</w:t>
      </w:r>
      <w:r w:rsidR="00872BAA" w:rsidRPr="00831573">
        <w:rPr>
          <w:lang w:val="en-GB"/>
        </w:rPr>
        <w:noBreakHyphen/>
      </w:r>
      <w:r w:rsidR="00990796" w:rsidRPr="00831573">
        <w:rPr>
          <w:lang w:val="en-GB"/>
        </w:rPr>
        <w:t xml:space="preserve">old </w:t>
      </w:r>
      <w:r w:rsidR="000461EF" w:rsidRPr="00831573">
        <w:rPr>
          <w:lang w:val="en-GB"/>
        </w:rPr>
        <w:t xml:space="preserve">boy </w:t>
      </w:r>
      <w:r w:rsidR="00990796" w:rsidRPr="00831573">
        <w:rPr>
          <w:lang w:val="en-GB"/>
        </w:rPr>
        <w:t>to a training school</w:t>
      </w:r>
      <w:r w:rsidR="00BB3C87" w:rsidRPr="00831573">
        <w:rPr>
          <w:lang w:val="en-GB"/>
        </w:rPr>
        <w:t xml:space="preserve"> without informing him, as required by statute, of his right to apply for legal aid</w:t>
      </w:r>
      <w:r w:rsidR="00990796" w:rsidRPr="00831573">
        <w:rPr>
          <w:lang w:val="en-GB"/>
        </w:rPr>
        <w:t>.</w:t>
      </w:r>
      <w:r w:rsidR="000261ED" w:rsidRPr="00831573">
        <w:rPr>
          <w:lang w:val="en-GB"/>
        </w:rPr>
        <w:t xml:space="preserve"> </w:t>
      </w:r>
      <w:r w:rsidR="004E7413" w:rsidRPr="00831573">
        <w:rPr>
          <w:lang w:val="en-GB"/>
        </w:rPr>
        <w:t>Lord Bridge, with whom the other Law Lords agreed,</w:t>
      </w:r>
      <w:r w:rsidR="000261ED" w:rsidRPr="00831573">
        <w:rPr>
          <w:lang w:val="en-GB"/>
        </w:rPr>
        <w:t xml:space="preserve"> decided that it was necessary to establish the meaning of acting “without jurisdiction or in excess of jurisdiction”</w:t>
      </w:r>
      <w:r w:rsidR="00736ECA" w:rsidRPr="00831573">
        <w:rPr>
          <w:lang w:val="en-GB"/>
        </w:rPr>
        <w:t xml:space="preserve"> as that term was used in the relevant Northern Irish legislation on magistrates</w:t>
      </w:r>
      <w:r w:rsidR="00831573" w:rsidRPr="00831573">
        <w:rPr>
          <w:lang w:val="en-GB"/>
        </w:rPr>
        <w:t>’</w:t>
      </w:r>
      <w:r w:rsidR="00736ECA" w:rsidRPr="00831573">
        <w:rPr>
          <w:lang w:val="en-GB"/>
        </w:rPr>
        <w:t xml:space="preserve"> immunity from liability</w:t>
      </w:r>
      <w:r w:rsidR="000261ED" w:rsidRPr="00831573">
        <w:rPr>
          <w:lang w:val="en-GB"/>
        </w:rPr>
        <w:t>.</w:t>
      </w:r>
      <w:r w:rsidR="00640154" w:rsidRPr="00831573">
        <w:rPr>
          <w:lang w:val="en-GB"/>
        </w:rPr>
        <w:t xml:space="preserve"> Only where the actions of magistrates were “without jurisdiction or in excess of jurisdicti</w:t>
      </w:r>
      <w:r w:rsidR="005605C6" w:rsidRPr="00831573">
        <w:rPr>
          <w:lang w:val="en-GB"/>
        </w:rPr>
        <w:t>on” would there be no immunity.</w:t>
      </w:r>
    </w:p>
    <w:bookmarkStart w:id="19" w:name="InReMcCExFacieInvalidity"/>
    <w:p w:rsidR="006E63C8" w:rsidRPr="00831573" w:rsidRDefault="006E63C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45</w:t>
      </w:r>
      <w:r w:rsidRPr="00831573">
        <w:rPr>
          <w:lang w:val="en-GB"/>
        </w:rPr>
        <w:fldChar w:fldCharType="end"/>
      </w:r>
      <w:bookmarkEnd w:id="19"/>
      <w:r w:rsidRPr="00831573">
        <w:rPr>
          <w:lang w:val="en-GB"/>
        </w:rPr>
        <w:t>.</w:t>
      </w:r>
      <w:r w:rsidR="00A345B5" w:rsidRPr="00831573">
        <w:rPr>
          <w:lang w:val="en-GB"/>
        </w:rPr>
        <w:t>  </w:t>
      </w:r>
      <w:r w:rsidR="004E7413" w:rsidRPr="00831573">
        <w:rPr>
          <w:lang w:val="en-GB"/>
        </w:rPr>
        <w:t>Lord Bridge decided that the Court of Appeal of Northern Ireland</w:t>
      </w:r>
      <w:r w:rsidR="00831573" w:rsidRPr="00831573">
        <w:rPr>
          <w:lang w:val="en-GB"/>
        </w:rPr>
        <w:t>’</w:t>
      </w:r>
      <w:r w:rsidR="004E7413" w:rsidRPr="00831573">
        <w:rPr>
          <w:lang w:val="en-GB"/>
        </w:rPr>
        <w:t>s decision that every error of law</w:t>
      </w:r>
      <w:r w:rsidR="00D4300A" w:rsidRPr="00831573">
        <w:rPr>
          <w:lang w:val="en-GB"/>
        </w:rPr>
        <w:t xml:space="preserve"> by magistrates amounted to acting without or in excess of jurisdiction so as to deprive them of immunity was incorrect. He decided that </w:t>
      </w:r>
      <w:r w:rsidR="00BB3C87" w:rsidRPr="00831573">
        <w:rPr>
          <w:lang w:val="en-GB"/>
        </w:rPr>
        <w:t>m</w:t>
      </w:r>
      <w:r w:rsidR="00D4300A" w:rsidRPr="00831573">
        <w:rPr>
          <w:lang w:val="en-GB"/>
        </w:rPr>
        <w:t>agistrate</w:t>
      </w:r>
      <w:r w:rsidR="00BB3C87" w:rsidRPr="00831573">
        <w:rPr>
          <w:lang w:val="en-GB"/>
        </w:rPr>
        <w:t>s</w:t>
      </w:r>
      <w:r w:rsidR="00D4300A" w:rsidRPr="00831573">
        <w:rPr>
          <w:lang w:val="en-GB"/>
        </w:rPr>
        <w:t xml:space="preserve"> acted without or in excess of jurisdiction</w:t>
      </w:r>
      <w:r w:rsidR="000261ED" w:rsidRPr="00831573">
        <w:rPr>
          <w:lang w:val="en-GB"/>
        </w:rPr>
        <w:t xml:space="preserve"> </w:t>
      </w:r>
      <w:r w:rsidR="00D4300A" w:rsidRPr="00831573">
        <w:rPr>
          <w:lang w:val="en-GB"/>
        </w:rPr>
        <w:t>if (i)</w:t>
      </w:r>
      <w:r w:rsidR="00872BAA" w:rsidRPr="00831573">
        <w:rPr>
          <w:lang w:val="en-GB"/>
        </w:rPr>
        <w:t> </w:t>
      </w:r>
      <w:r w:rsidR="00BB3C87" w:rsidRPr="00831573">
        <w:rPr>
          <w:lang w:val="en-GB"/>
        </w:rPr>
        <w:t>t</w:t>
      </w:r>
      <w:r w:rsidR="00D4300A" w:rsidRPr="00831573">
        <w:rPr>
          <w:lang w:val="en-GB"/>
        </w:rPr>
        <w:t>he</w:t>
      </w:r>
      <w:r w:rsidR="00BB3C87" w:rsidRPr="00831573">
        <w:rPr>
          <w:lang w:val="en-GB"/>
        </w:rPr>
        <w:t>y</w:t>
      </w:r>
      <w:r w:rsidR="00D4300A" w:rsidRPr="00831573">
        <w:rPr>
          <w:lang w:val="en-GB"/>
        </w:rPr>
        <w:t xml:space="preserve"> acted without having jurisdiction of the cause, that is to say at the outset of the proceedings the court had no jurisdiction to entertain the proceedings at all; (ii) a statutory condition precedent to </w:t>
      </w:r>
      <w:r w:rsidR="00F328B2" w:rsidRPr="00831573">
        <w:rPr>
          <w:lang w:val="en-GB"/>
        </w:rPr>
        <w:t xml:space="preserve">their </w:t>
      </w:r>
      <w:r w:rsidR="00D4300A" w:rsidRPr="00831573">
        <w:rPr>
          <w:lang w:val="en-GB"/>
        </w:rPr>
        <w:t xml:space="preserve">having jurisdiction of the cause was never satisfied; </w:t>
      </w:r>
      <w:r w:rsidR="00F328B2" w:rsidRPr="00831573">
        <w:rPr>
          <w:lang w:val="en-GB"/>
        </w:rPr>
        <w:t xml:space="preserve">or </w:t>
      </w:r>
      <w:r w:rsidR="00D4300A" w:rsidRPr="00831573">
        <w:rPr>
          <w:lang w:val="en-GB"/>
        </w:rPr>
        <w:t xml:space="preserve">(iii) something quite exceptional occurred </w:t>
      </w:r>
      <w:r w:rsidR="00BB3C87" w:rsidRPr="00831573">
        <w:rPr>
          <w:lang w:val="en-GB"/>
        </w:rPr>
        <w:t>in the course of proceedings to oust their jurisdiction</w:t>
      </w:r>
      <w:r w:rsidR="005605C6" w:rsidRPr="00831573">
        <w:rPr>
          <w:lang w:val="en-GB"/>
        </w:rPr>
        <w:t>.</w:t>
      </w:r>
    </w:p>
    <w:p w:rsidR="00D2607D" w:rsidRPr="00831573" w:rsidRDefault="006E63C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46</w:t>
      </w:r>
      <w:r w:rsidRPr="00831573">
        <w:rPr>
          <w:lang w:val="en-GB"/>
        </w:rPr>
        <w:fldChar w:fldCharType="end"/>
      </w:r>
      <w:r w:rsidRPr="00831573">
        <w:rPr>
          <w:lang w:val="en-GB"/>
        </w:rPr>
        <w:t>.</w:t>
      </w:r>
      <w:r w:rsidR="009B21B6" w:rsidRPr="00831573">
        <w:rPr>
          <w:lang w:val="en-GB"/>
        </w:rPr>
        <w:t>  </w:t>
      </w:r>
      <w:r w:rsidRPr="00831573">
        <w:rPr>
          <w:lang w:val="en-GB"/>
        </w:rPr>
        <w:t>Whilst an error of law or fact in deciding a collateral issue on which jurisdiction depended or an absence of any evidence to support a conviction would not be sufficient to oust jurisdiction in the sense of (iii)</w:t>
      </w:r>
      <w:r w:rsidR="00BB3C87" w:rsidRPr="00831573">
        <w:rPr>
          <w:lang w:val="en-GB"/>
        </w:rPr>
        <w:t>, if in the course of hearing a matter within their jurisdiction the</w:t>
      </w:r>
      <w:r w:rsidRPr="00831573">
        <w:rPr>
          <w:lang w:val="en-GB"/>
        </w:rPr>
        <w:t xml:space="preserve"> justices</w:t>
      </w:r>
      <w:r w:rsidR="00BB3C87" w:rsidRPr="00831573">
        <w:rPr>
          <w:lang w:val="en-GB"/>
        </w:rPr>
        <w:t xml:space="preserve"> were guilty of a gross and obvious procedural irregularity such as one justice absenting himself and relying on another to inform him of what had happened in his absence or refusing to all</w:t>
      </w:r>
      <w:r w:rsidRPr="00831573">
        <w:rPr>
          <w:lang w:val="en-GB"/>
        </w:rPr>
        <w:t>ow a defendant to give evidence, jurisdiction would be ousted.</w:t>
      </w:r>
    </w:p>
    <w:p w:rsidR="006E63C8" w:rsidRPr="00831573" w:rsidRDefault="006E63C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47</w:t>
      </w:r>
      <w:r w:rsidRPr="00831573">
        <w:rPr>
          <w:lang w:val="en-GB"/>
        </w:rPr>
        <w:fldChar w:fldCharType="end"/>
      </w:r>
      <w:r w:rsidR="009B21B6" w:rsidRPr="00831573">
        <w:rPr>
          <w:lang w:val="en-GB"/>
        </w:rPr>
        <w:t>.  </w:t>
      </w:r>
      <w:r w:rsidR="0067018C" w:rsidRPr="00831573">
        <w:rPr>
          <w:lang w:val="en-GB"/>
        </w:rPr>
        <w:t>Lord Bridge also found that justices might act in excess of jurisdiction even though they had jurisdiction of the cause and tried a case impeccably if their conviction of a defendant did not provide a proper foundation in law for the subsequent sent</w:t>
      </w:r>
      <w:r w:rsidR="005605C6" w:rsidRPr="00831573">
        <w:rPr>
          <w:lang w:val="en-GB"/>
        </w:rPr>
        <w:t>ence or order made against him.</w:t>
      </w:r>
    </w:p>
    <w:bookmarkStart w:id="20" w:name="InReMcCEnd"/>
    <w:p w:rsidR="00404397" w:rsidRPr="00831573" w:rsidRDefault="00062C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48</w:t>
      </w:r>
      <w:r w:rsidRPr="00831573">
        <w:rPr>
          <w:lang w:val="en-GB"/>
        </w:rPr>
        <w:fldChar w:fldCharType="end"/>
      </w:r>
      <w:bookmarkEnd w:id="20"/>
      <w:r w:rsidR="009B21B6" w:rsidRPr="00831573">
        <w:rPr>
          <w:lang w:val="en-GB"/>
        </w:rPr>
        <w:t>.  </w:t>
      </w:r>
      <w:r w:rsidRPr="00831573">
        <w:rPr>
          <w:lang w:val="en-GB"/>
        </w:rPr>
        <w:t>Lord Bridge concluded that the justices</w:t>
      </w:r>
      <w:r w:rsidR="00831573" w:rsidRPr="00831573">
        <w:rPr>
          <w:lang w:val="en-GB"/>
        </w:rPr>
        <w:t>’</w:t>
      </w:r>
      <w:r w:rsidRPr="00831573">
        <w:rPr>
          <w:lang w:val="en-GB"/>
        </w:rPr>
        <w:t xml:space="preserve"> failure to inform the claimant of his right to legal aid was a failure to observe a statutory condition precedent to passing sentence </w:t>
      </w:r>
      <w:r w:rsidR="00F328B2" w:rsidRPr="00831573">
        <w:rPr>
          <w:lang w:val="en-GB"/>
        </w:rPr>
        <w:t xml:space="preserve">in the circumstances of the case </w:t>
      </w:r>
      <w:r w:rsidRPr="00831573">
        <w:rPr>
          <w:lang w:val="en-GB"/>
        </w:rPr>
        <w:t>and was analogous to a failure to observe a statutory condition precedent to jurisdiction of the cause.</w:t>
      </w:r>
    </w:p>
    <w:p w:rsidR="005D1184" w:rsidRPr="00831573" w:rsidRDefault="005D3B4E" w:rsidP="00831573">
      <w:pPr>
        <w:pStyle w:val="ECHRHeading3"/>
        <w:rPr>
          <w:lang w:val="en-GB"/>
        </w:rPr>
      </w:pPr>
      <w:r w:rsidRPr="00831573">
        <w:rPr>
          <w:lang w:val="en-GB"/>
        </w:rPr>
        <w:t>2.  </w:t>
      </w:r>
      <w:r w:rsidR="005D1184" w:rsidRPr="00831573">
        <w:rPr>
          <w:i w:val="0"/>
          <w:lang w:val="en-GB"/>
        </w:rPr>
        <w:t>Regina v. Manchester City Magistrates</w:t>
      </w:r>
      <w:r w:rsidR="00831573" w:rsidRPr="00831573">
        <w:rPr>
          <w:i w:val="0"/>
          <w:lang w:val="en-GB"/>
        </w:rPr>
        <w:t>’</w:t>
      </w:r>
      <w:r w:rsidR="005D1184" w:rsidRPr="00831573">
        <w:rPr>
          <w:i w:val="0"/>
          <w:lang w:val="en-GB"/>
        </w:rPr>
        <w:t xml:space="preserve"> Court, Ex parte Davies, </w:t>
      </w:r>
      <w:r w:rsidR="005D1184" w:rsidRPr="00831573">
        <w:rPr>
          <w:lang w:val="en-GB"/>
        </w:rPr>
        <w:t>[1989] QB 631</w:t>
      </w:r>
    </w:p>
    <w:p w:rsidR="005D1184" w:rsidRPr="00831573" w:rsidRDefault="005D118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49</w:t>
      </w:r>
      <w:r w:rsidRPr="00831573">
        <w:rPr>
          <w:lang w:val="en-GB"/>
        </w:rPr>
        <w:fldChar w:fldCharType="end"/>
      </w:r>
      <w:r w:rsidRPr="00831573">
        <w:rPr>
          <w:lang w:val="en-GB"/>
        </w:rPr>
        <w:t>.</w:t>
      </w:r>
      <w:r w:rsidR="005D3B4E" w:rsidRPr="00831573">
        <w:rPr>
          <w:lang w:val="en-GB"/>
        </w:rPr>
        <w:t>  </w:t>
      </w:r>
      <w:r w:rsidRPr="00831573">
        <w:rPr>
          <w:lang w:val="en-GB"/>
        </w:rPr>
        <w:t xml:space="preserve">In </w:t>
      </w:r>
      <w:r w:rsidRPr="00831573">
        <w:rPr>
          <w:i/>
          <w:lang w:val="en-GB"/>
        </w:rPr>
        <w:t>Ex parte Davies</w:t>
      </w:r>
      <w:r w:rsidRPr="00831573">
        <w:rPr>
          <w:lang w:val="en-GB"/>
        </w:rPr>
        <w:t xml:space="preserve"> the Court of Appeal was asked to consider the appeal of three magistrates found liable in damages for unlawful imprisonment following their committal of an individual for failure to pay local taxes. The Court of Appeal, in deciding to uphold the magistrates</w:t>
      </w:r>
      <w:r w:rsidR="00831573" w:rsidRPr="00831573">
        <w:rPr>
          <w:lang w:val="en-GB"/>
        </w:rPr>
        <w:t>’</w:t>
      </w:r>
      <w:r w:rsidRPr="00831573">
        <w:rPr>
          <w:lang w:val="en-GB"/>
        </w:rPr>
        <w:t xml:space="preserve"> liability, found that </w:t>
      </w:r>
      <w:r w:rsidRPr="00831573">
        <w:rPr>
          <w:i/>
          <w:lang w:val="en-GB"/>
        </w:rPr>
        <w:t>In Re McC</w:t>
      </w:r>
      <w:r w:rsidRPr="00831573">
        <w:rPr>
          <w:lang w:val="en-GB"/>
        </w:rPr>
        <w:t xml:space="preserve"> (see paragraphs </w:t>
      </w:r>
      <w:r w:rsidRPr="00831573">
        <w:rPr>
          <w:lang w:val="en-GB"/>
        </w:rPr>
        <w:fldChar w:fldCharType="begin"/>
      </w:r>
      <w:r w:rsidRPr="00831573">
        <w:rPr>
          <w:lang w:val="en-GB"/>
        </w:rPr>
        <w:instrText xml:space="preserve"> REF InReMcCStart \h </w:instrText>
      </w:r>
      <w:r w:rsidRPr="00831573">
        <w:rPr>
          <w:lang w:val="en-GB"/>
        </w:rPr>
      </w:r>
      <w:r w:rsidRPr="00831573">
        <w:rPr>
          <w:lang w:val="en-GB"/>
        </w:rPr>
        <w:fldChar w:fldCharType="separate"/>
      </w:r>
      <w:r w:rsidR="00831573" w:rsidRPr="00831573">
        <w:rPr>
          <w:noProof/>
          <w:lang w:val="en-GB"/>
        </w:rPr>
        <w:t>44</w:t>
      </w:r>
      <w:r w:rsidRPr="00831573">
        <w:rPr>
          <w:lang w:val="en-GB"/>
        </w:rPr>
        <w:fldChar w:fldCharType="end"/>
      </w:r>
      <w:r w:rsidRPr="00831573">
        <w:rPr>
          <w:lang w:val="en-GB"/>
        </w:rPr>
        <w:t xml:space="preserve"> to </w:t>
      </w:r>
      <w:r w:rsidRPr="00831573">
        <w:rPr>
          <w:lang w:val="en-GB"/>
        </w:rPr>
        <w:fldChar w:fldCharType="begin"/>
      </w:r>
      <w:r w:rsidRPr="00831573">
        <w:rPr>
          <w:lang w:val="en-GB"/>
        </w:rPr>
        <w:instrText xml:space="preserve"> REF InReMcCEnd \h </w:instrText>
      </w:r>
      <w:r w:rsidRPr="00831573">
        <w:rPr>
          <w:lang w:val="en-GB"/>
        </w:rPr>
      </w:r>
      <w:r w:rsidRPr="00831573">
        <w:rPr>
          <w:lang w:val="en-GB"/>
        </w:rPr>
        <w:fldChar w:fldCharType="separate"/>
      </w:r>
      <w:r w:rsidR="00831573" w:rsidRPr="00831573">
        <w:rPr>
          <w:noProof/>
          <w:lang w:val="en-GB"/>
        </w:rPr>
        <w:t>48</w:t>
      </w:r>
      <w:r w:rsidRPr="00831573">
        <w:rPr>
          <w:lang w:val="en-GB"/>
        </w:rPr>
        <w:fldChar w:fldCharType="end"/>
      </w:r>
      <w:r w:rsidRPr="00831573">
        <w:rPr>
          <w:lang w:val="en-GB"/>
        </w:rPr>
        <w:t xml:space="preserve"> above) applied in England and Wales.</w:t>
      </w:r>
    </w:p>
    <w:p w:rsidR="00F328B2" w:rsidRPr="00831573" w:rsidRDefault="00131FB6" w:rsidP="00831573">
      <w:pPr>
        <w:pStyle w:val="ECHRHeading2"/>
        <w:rPr>
          <w:lang w:val="en-GB"/>
        </w:rPr>
      </w:pPr>
      <w:r w:rsidRPr="00831573">
        <w:rPr>
          <w:lang w:val="en-GB"/>
        </w:rPr>
        <w:t>C</w:t>
      </w:r>
      <w:r w:rsidR="005D3B4E" w:rsidRPr="00831573">
        <w:rPr>
          <w:lang w:val="en-GB"/>
        </w:rPr>
        <w:t>.  </w:t>
      </w:r>
      <w:r w:rsidR="00F328B2" w:rsidRPr="00831573">
        <w:rPr>
          <w:lang w:val="en-GB"/>
        </w:rPr>
        <w:t>Human rights protection under domestic law</w:t>
      </w:r>
    </w:p>
    <w:p w:rsidR="00F328B2" w:rsidRPr="00831573" w:rsidRDefault="00F328B2" w:rsidP="00831573">
      <w:pPr>
        <w:pStyle w:val="ECHRHeading3"/>
        <w:rPr>
          <w:lang w:val="en-GB"/>
        </w:rPr>
      </w:pPr>
      <w:r w:rsidRPr="00831573">
        <w:rPr>
          <w:lang w:val="en-GB"/>
        </w:rPr>
        <w:t>1.</w:t>
      </w:r>
      <w:r w:rsidR="005D3B4E" w:rsidRPr="00831573">
        <w:rPr>
          <w:lang w:val="en-GB"/>
        </w:rPr>
        <w:t>  </w:t>
      </w:r>
      <w:r w:rsidRPr="00831573">
        <w:rPr>
          <w:lang w:val="en-GB"/>
        </w:rPr>
        <w:t>The Human Rights Act 1998</w:t>
      </w:r>
    </w:p>
    <w:bookmarkStart w:id="21" w:name="HRAstart"/>
    <w:bookmarkStart w:id="22" w:name="HRA3sub1"/>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50</w:t>
      </w:r>
      <w:r w:rsidRPr="00831573">
        <w:rPr>
          <w:lang w:val="en-GB"/>
        </w:rPr>
        <w:fldChar w:fldCharType="end"/>
      </w:r>
      <w:bookmarkEnd w:id="21"/>
      <w:bookmarkEnd w:id="22"/>
      <w:r w:rsidR="005D3B4E" w:rsidRPr="00831573">
        <w:rPr>
          <w:lang w:val="en-GB"/>
        </w:rPr>
        <w:t>.  </w:t>
      </w:r>
      <w:r w:rsidRPr="00831573">
        <w:rPr>
          <w:lang w:val="en-GB"/>
        </w:rPr>
        <w:t xml:space="preserve">Section 3(1) of the </w:t>
      </w:r>
      <w:r w:rsidRPr="00831573">
        <w:rPr>
          <w:iCs/>
          <w:lang w:val="en-GB"/>
        </w:rPr>
        <w:t xml:space="preserve">Human Rights Act 1998 (“the </w:t>
      </w:r>
      <w:r w:rsidR="001D7DE0" w:rsidRPr="00831573">
        <w:rPr>
          <w:iCs/>
          <w:lang w:val="en-GB"/>
        </w:rPr>
        <w:t>Human Rights</w:t>
      </w:r>
      <w:r w:rsidRPr="00831573">
        <w:rPr>
          <w:iCs/>
          <w:lang w:val="en-GB"/>
        </w:rPr>
        <w:t xml:space="preserve"> Act”)</w:t>
      </w:r>
      <w:r w:rsidR="00D5619D" w:rsidRPr="00831573">
        <w:rPr>
          <w:lang w:val="en-GB"/>
        </w:rPr>
        <w:t xml:space="preserve"> </w:t>
      </w:r>
      <w:r w:rsidRPr="00831573">
        <w:rPr>
          <w:lang w:val="en-GB"/>
        </w:rPr>
        <w:t xml:space="preserve">provides that primary and subordinate legislation must be read and given effect in a way which is compatible with </w:t>
      </w:r>
      <w:r w:rsidR="00A55628" w:rsidRPr="00831573">
        <w:rPr>
          <w:lang w:val="en-GB"/>
        </w:rPr>
        <w:t xml:space="preserve">Convention </w:t>
      </w:r>
      <w:r w:rsidRPr="00831573">
        <w:rPr>
          <w:lang w:val="en-GB"/>
        </w:rPr>
        <w:t>rights so far as it is possible to do so.</w:t>
      </w:r>
      <w:r w:rsidR="00D5619D" w:rsidRPr="00831573">
        <w:rPr>
          <w:lang w:val="en-GB"/>
        </w:rPr>
        <w:t xml:space="preserve"> </w:t>
      </w:r>
      <w:r w:rsidR="00A55628" w:rsidRPr="00831573">
        <w:rPr>
          <w:lang w:val="en-GB"/>
        </w:rPr>
        <w:t xml:space="preserve">Section 1(1) of the Act defines “Convention rights” as the rights and fundamental freedoms set out in Articles 2 to 12 and 14 of the Convention, Articles 1 to 3 of Protocol No. </w:t>
      </w:r>
      <w:r w:rsidR="00D5619D" w:rsidRPr="00831573">
        <w:rPr>
          <w:lang w:val="en-GB"/>
        </w:rPr>
        <w:t>1 and Article 1 of Protocol </w:t>
      </w:r>
      <w:r w:rsidR="004F4DEE" w:rsidRPr="00831573">
        <w:rPr>
          <w:lang w:val="en-GB"/>
        </w:rPr>
        <w:t>No. </w:t>
      </w:r>
      <w:r w:rsidR="00A55628" w:rsidRPr="00831573">
        <w:rPr>
          <w:lang w:val="en-GB"/>
        </w:rPr>
        <w:t>13.</w:t>
      </w:r>
    </w:p>
    <w:bookmarkStart w:id="23" w:name="HRA4sub2"/>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51</w:t>
      </w:r>
      <w:r w:rsidRPr="00831573">
        <w:rPr>
          <w:lang w:val="en-GB"/>
        </w:rPr>
        <w:fldChar w:fldCharType="end"/>
      </w:r>
      <w:bookmarkEnd w:id="23"/>
      <w:r w:rsidR="005D3B4E" w:rsidRPr="00831573">
        <w:rPr>
          <w:lang w:val="en-GB"/>
        </w:rPr>
        <w:t>.  </w:t>
      </w:r>
      <w:r w:rsidRPr="00831573">
        <w:rPr>
          <w:lang w:val="en-GB"/>
        </w:rPr>
        <w:t xml:space="preserve">Section 4(2) of the </w:t>
      </w:r>
      <w:r w:rsidR="001D7DE0" w:rsidRPr="00831573">
        <w:rPr>
          <w:lang w:val="en-GB"/>
        </w:rPr>
        <w:t>Human Rights</w:t>
      </w:r>
      <w:r w:rsidRPr="00831573">
        <w:rPr>
          <w:lang w:val="en-GB"/>
        </w:rPr>
        <w:t xml:space="preserve"> Act provides that domestic courts may make a declaration of incompatibility if they are satisfied that a provision of primary legislation is incomp</w:t>
      </w:r>
      <w:r w:rsidR="005605C6" w:rsidRPr="00831573">
        <w:rPr>
          <w:lang w:val="en-GB"/>
        </w:rPr>
        <w:t>atible with a Convention right.</w:t>
      </w:r>
    </w:p>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52</w:t>
      </w:r>
      <w:r w:rsidRPr="00831573">
        <w:rPr>
          <w:lang w:val="en-GB"/>
        </w:rPr>
        <w:fldChar w:fldCharType="end"/>
      </w:r>
      <w:r w:rsidRPr="00831573">
        <w:rPr>
          <w:lang w:val="en-GB"/>
        </w:rPr>
        <w:t>.</w:t>
      </w:r>
      <w:r w:rsidR="005D3B4E" w:rsidRPr="00831573">
        <w:rPr>
          <w:iCs/>
          <w:lang w:val="en-GB"/>
        </w:rPr>
        <w:t>  </w:t>
      </w:r>
      <w:r w:rsidRPr="00831573">
        <w:rPr>
          <w:iCs/>
          <w:lang w:val="en-GB"/>
        </w:rPr>
        <w:t xml:space="preserve">Section 6(1) of the </w:t>
      </w:r>
      <w:r w:rsidR="001D7DE0" w:rsidRPr="00831573">
        <w:rPr>
          <w:iCs/>
          <w:lang w:val="en-GB"/>
        </w:rPr>
        <w:t>Human Rights</w:t>
      </w:r>
      <w:r w:rsidRPr="00831573">
        <w:rPr>
          <w:iCs/>
          <w:lang w:val="en-GB"/>
        </w:rPr>
        <w:t xml:space="preserve"> Act provides that i</w:t>
      </w:r>
      <w:r w:rsidRPr="00831573">
        <w:rPr>
          <w:lang w:val="en-GB"/>
        </w:rPr>
        <w:t>t is unlawful for a public authority to act in a way which is incompatible with a Convention right. Section 6(3) clarifies that “public authority” includes a court or tribunal and any person certain of whose functions are functions of a public nature.</w:t>
      </w:r>
    </w:p>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53</w:t>
      </w:r>
      <w:r w:rsidRPr="00831573">
        <w:rPr>
          <w:lang w:val="en-GB"/>
        </w:rPr>
        <w:fldChar w:fldCharType="end"/>
      </w:r>
      <w:r w:rsidR="005D3B4E" w:rsidRPr="00831573">
        <w:rPr>
          <w:lang w:val="en-GB"/>
        </w:rPr>
        <w:t>.  </w:t>
      </w:r>
      <w:r w:rsidRPr="00831573">
        <w:rPr>
          <w:lang w:val="en-GB"/>
        </w:rPr>
        <w:t xml:space="preserve">Section 7(1) provides that a person claiming that a public authority has acted in a manner which is unlawful pursuant to section 6(1) of the </w:t>
      </w:r>
      <w:r w:rsidR="001D7DE0" w:rsidRPr="00831573">
        <w:rPr>
          <w:lang w:val="en-GB"/>
        </w:rPr>
        <w:t>Human Rights</w:t>
      </w:r>
      <w:r w:rsidRPr="00831573">
        <w:rPr>
          <w:lang w:val="en-GB"/>
        </w:rPr>
        <w:t xml:space="preserve"> Act, or that it proposes to act in such a manner, may bring proceedings against the public authority or rely on the Convention right(s) concerned in any legal proceedings. He may only bring proceedings or rely on the Convention right(s) if he is, or would be, a victim of the unlawful act.</w:t>
      </w:r>
    </w:p>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54</w:t>
      </w:r>
      <w:r w:rsidRPr="00831573">
        <w:rPr>
          <w:lang w:val="en-GB"/>
        </w:rPr>
        <w:fldChar w:fldCharType="end"/>
      </w:r>
      <w:r w:rsidR="005D3B4E" w:rsidRPr="00831573">
        <w:rPr>
          <w:lang w:val="en-GB"/>
        </w:rPr>
        <w:t>.  </w:t>
      </w:r>
      <w:r w:rsidRPr="00831573">
        <w:rPr>
          <w:lang w:val="en-GB"/>
        </w:rPr>
        <w:t>Section 8 of the Act sets out available remedies and provides:</w:t>
      </w:r>
    </w:p>
    <w:p w:rsidR="00F328B2" w:rsidRPr="00831573" w:rsidRDefault="005605C6" w:rsidP="00831573">
      <w:pPr>
        <w:pStyle w:val="ECHRParaQuote"/>
        <w:ind w:left="567"/>
      </w:pPr>
      <w:r w:rsidRPr="00831573">
        <w:t>“(1) </w:t>
      </w:r>
      <w:r w:rsidR="00F328B2" w:rsidRPr="00831573">
        <w:t>In relation to any act (or proposed act) of a public authority which the court finds is (or would be) unlawful, it may grant such relief or remedy, or make such order, within its powers as it considers just and appropriate.</w:t>
      </w:r>
    </w:p>
    <w:p w:rsidR="00F328B2" w:rsidRPr="00831573" w:rsidRDefault="00F87D13" w:rsidP="00831573">
      <w:pPr>
        <w:pStyle w:val="ECHRParaQuote"/>
        <w:ind w:left="567" w:firstLine="0"/>
        <w:rPr>
          <w:lang w:val="en-GB"/>
        </w:rPr>
      </w:pPr>
      <w:r w:rsidRPr="00831573">
        <w:rPr>
          <w:lang w:val="en-GB"/>
        </w:rPr>
        <w:t>...</w:t>
      </w:r>
    </w:p>
    <w:p w:rsidR="00F328B2" w:rsidRPr="00831573" w:rsidRDefault="005605C6" w:rsidP="00831573">
      <w:pPr>
        <w:pStyle w:val="ECHRParaQuote"/>
        <w:ind w:left="567"/>
        <w:rPr>
          <w:lang w:val="en-GB"/>
        </w:rPr>
      </w:pPr>
      <w:r w:rsidRPr="00831573">
        <w:rPr>
          <w:lang w:val="en-GB"/>
        </w:rPr>
        <w:t>(3) </w:t>
      </w:r>
      <w:r w:rsidR="00F328B2" w:rsidRPr="00831573">
        <w:rPr>
          <w:lang w:val="en-GB"/>
        </w:rPr>
        <w:t xml:space="preserve">No award of damages is to be made unless, taking account of all the circumstances of the case, </w:t>
      </w:r>
      <w:r w:rsidR="00F87D13" w:rsidRPr="00831573">
        <w:rPr>
          <w:lang w:val="en-GB"/>
        </w:rPr>
        <w:t>...</w:t>
      </w:r>
    </w:p>
    <w:p w:rsidR="00F328B2" w:rsidRPr="00831573" w:rsidRDefault="00F328B2" w:rsidP="00831573">
      <w:pPr>
        <w:pStyle w:val="ECHRParaQuote"/>
        <w:tabs>
          <w:tab w:val="left" w:pos="709"/>
        </w:tabs>
        <w:ind w:left="567"/>
        <w:rPr>
          <w:lang w:val="en-GB"/>
        </w:rPr>
      </w:pPr>
      <w:r w:rsidRPr="00831573">
        <w:rPr>
          <w:lang w:val="en-GB"/>
        </w:rPr>
        <w:t>the court is satisfied that the award is necessary to afford just satisfaction to the person in whose favour it is made.</w:t>
      </w:r>
    </w:p>
    <w:p w:rsidR="00F328B2" w:rsidRPr="00831573" w:rsidRDefault="005605C6" w:rsidP="00831573">
      <w:pPr>
        <w:pStyle w:val="ECHRParaQuote"/>
        <w:ind w:left="567"/>
        <w:rPr>
          <w:lang w:val="en-GB"/>
        </w:rPr>
      </w:pPr>
      <w:r w:rsidRPr="00831573">
        <w:rPr>
          <w:lang w:val="en-GB"/>
        </w:rPr>
        <w:t>(4) </w:t>
      </w:r>
      <w:r w:rsidR="00F328B2" w:rsidRPr="00831573">
        <w:rPr>
          <w:lang w:val="en-GB"/>
        </w:rPr>
        <w:t>In determining–</w:t>
      </w:r>
    </w:p>
    <w:p w:rsidR="00F328B2" w:rsidRPr="00831573" w:rsidRDefault="005605C6" w:rsidP="00831573">
      <w:pPr>
        <w:pStyle w:val="ECHRParaQuote"/>
        <w:ind w:left="567"/>
        <w:rPr>
          <w:lang w:val="en-GB"/>
        </w:rPr>
      </w:pPr>
      <w:r w:rsidRPr="00831573">
        <w:rPr>
          <w:lang w:val="en-GB"/>
        </w:rPr>
        <w:t>(a) </w:t>
      </w:r>
      <w:r w:rsidR="00F328B2" w:rsidRPr="00831573">
        <w:rPr>
          <w:lang w:val="en-GB"/>
        </w:rPr>
        <w:t xml:space="preserve">whether to award damages, </w:t>
      </w:r>
      <w:r w:rsidR="00F87D13" w:rsidRPr="00831573">
        <w:rPr>
          <w:lang w:val="en-GB"/>
        </w:rPr>
        <w:t>...</w:t>
      </w:r>
    </w:p>
    <w:p w:rsidR="00F328B2" w:rsidRPr="00831573" w:rsidRDefault="00F328B2" w:rsidP="00831573">
      <w:pPr>
        <w:pStyle w:val="ECHRParaQuote"/>
        <w:ind w:left="567"/>
        <w:rPr>
          <w:lang w:val="en-GB"/>
        </w:rPr>
      </w:pPr>
      <w:r w:rsidRPr="00831573">
        <w:rPr>
          <w:lang w:val="en-GB"/>
        </w:rPr>
        <w:t>the court must take into account the principles applied by the European Court of Human Rights in relation to the award of compensation under Article 41 of the Convention.”</w:t>
      </w:r>
    </w:p>
    <w:bookmarkStart w:id="24" w:name="HRA9sub3"/>
    <w:bookmarkStart w:id="25" w:name="HRAend"/>
    <w:p w:rsidR="00F328B2" w:rsidRPr="00831573" w:rsidRDefault="00F328B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55</w:t>
      </w:r>
      <w:r w:rsidRPr="00831573">
        <w:rPr>
          <w:lang w:val="en-GB"/>
        </w:rPr>
        <w:fldChar w:fldCharType="end"/>
      </w:r>
      <w:bookmarkEnd w:id="24"/>
      <w:bookmarkEnd w:id="25"/>
      <w:r w:rsidRPr="00831573">
        <w:rPr>
          <w:lang w:val="en-GB"/>
        </w:rPr>
        <w:t>.  </w:t>
      </w:r>
      <w:r w:rsidR="00251B99" w:rsidRPr="00831573">
        <w:rPr>
          <w:lang w:val="en-GB"/>
        </w:rPr>
        <w:t>S</w:t>
      </w:r>
      <w:r w:rsidRPr="00831573">
        <w:rPr>
          <w:lang w:val="en-GB"/>
        </w:rPr>
        <w:t>ection 9(3) limits the possibility of claiming damages where the act or failure of which an individual complains is a judicial act or failure:</w:t>
      </w:r>
    </w:p>
    <w:p w:rsidR="00F328B2" w:rsidRPr="00831573" w:rsidRDefault="00F328B2" w:rsidP="00831573">
      <w:pPr>
        <w:pStyle w:val="ECHRParaQuote"/>
        <w:tabs>
          <w:tab w:val="left" w:pos="709"/>
        </w:tabs>
        <w:ind w:left="567"/>
      </w:pPr>
      <w:r w:rsidRPr="00831573">
        <w:t>“In proceedings under this Act in respect of a judicial act done in good faith, damages may not be awarded otherwise than to compensate a person to the extent required by Article 5(5) of the Convention.”</w:t>
      </w:r>
    </w:p>
    <w:p w:rsidR="004A0264" w:rsidRPr="00831573" w:rsidRDefault="005D3B4E" w:rsidP="00831573">
      <w:pPr>
        <w:pStyle w:val="ECHRHeading3"/>
        <w:rPr>
          <w:lang w:val="en-GB"/>
        </w:rPr>
      </w:pPr>
      <w:r w:rsidRPr="00831573">
        <w:rPr>
          <w:lang w:val="en-GB"/>
        </w:rPr>
        <w:t>2.  </w:t>
      </w:r>
      <w:r w:rsidR="004A0264" w:rsidRPr="00831573">
        <w:rPr>
          <w:lang w:val="en-GB"/>
        </w:rPr>
        <w:t>The nature of the Convention in the domestic law of the United Kingdom</w:t>
      </w:r>
    </w:p>
    <w:bookmarkStart w:id="26" w:name="LyonsHLStart"/>
    <w:bookmarkStart w:id="27" w:name="ECHRNatureUKStart"/>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56</w:t>
      </w:r>
      <w:r w:rsidRPr="00831573">
        <w:rPr>
          <w:lang w:val="en-GB"/>
        </w:rPr>
        <w:fldChar w:fldCharType="end"/>
      </w:r>
      <w:bookmarkEnd w:id="26"/>
      <w:bookmarkEnd w:id="27"/>
      <w:r w:rsidRPr="00831573">
        <w:rPr>
          <w:lang w:val="en-GB"/>
        </w:rPr>
        <w:t xml:space="preserve">.  In </w:t>
      </w:r>
      <w:r w:rsidRPr="00831573">
        <w:rPr>
          <w:i/>
          <w:lang w:val="en-GB"/>
        </w:rPr>
        <w:t>R v</w:t>
      </w:r>
      <w:r w:rsidR="00F328B2" w:rsidRPr="00831573">
        <w:rPr>
          <w:i/>
          <w:lang w:val="en-GB"/>
        </w:rPr>
        <w:t>.</w:t>
      </w:r>
      <w:r w:rsidRPr="00831573">
        <w:rPr>
          <w:i/>
          <w:lang w:val="en-GB"/>
        </w:rPr>
        <w:t xml:space="preserve"> Lyons and </w:t>
      </w:r>
      <w:r w:rsidR="001D7DE0" w:rsidRPr="00831573">
        <w:rPr>
          <w:i/>
          <w:lang w:val="en-GB"/>
        </w:rPr>
        <w:t>O</w:t>
      </w:r>
      <w:r w:rsidRPr="00831573">
        <w:rPr>
          <w:i/>
          <w:lang w:val="en-GB"/>
        </w:rPr>
        <w:t>thers</w:t>
      </w:r>
      <w:r w:rsidRPr="00831573">
        <w:rPr>
          <w:lang w:val="en-GB"/>
        </w:rPr>
        <w:t xml:space="preserve"> [200</w:t>
      </w:r>
      <w:r w:rsidR="00F328B2" w:rsidRPr="00831573">
        <w:rPr>
          <w:lang w:val="en-GB"/>
        </w:rPr>
        <w:t>2</w:t>
      </w:r>
      <w:r w:rsidRPr="00831573">
        <w:rPr>
          <w:lang w:val="en-GB"/>
        </w:rPr>
        <w:t xml:space="preserve">] </w:t>
      </w:r>
      <w:r w:rsidR="00F328B2" w:rsidRPr="00831573">
        <w:rPr>
          <w:lang w:val="en-GB"/>
        </w:rPr>
        <w:t>UKHL 44</w:t>
      </w:r>
      <w:r w:rsidRPr="00831573">
        <w:rPr>
          <w:lang w:val="en-GB"/>
        </w:rPr>
        <w:t>, Lord Hoffman stated:</w:t>
      </w:r>
    </w:p>
    <w:p w:rsidR="004A0264" w:rsidRPr="00831573" w:rsidRDefault="004A0264" w:rsidP="00831573">
      <w:pPr>
        <w:pStyle w:val="JuQuotSub"/>
        <w:rPr>
          <w:lang w:val="en-GB"/>
        </w:rPr>
      </w:pPr>
      <w:r w:rsidRPr="00831573">
        <w:rPr>
          <w:lang w:val="en-GB"/>
        </w:rPr>
        <w:t>“Parliament may pass a law which mirrors the terms of the treaty and in that sense incorporates the treaty into English law. But even then, the metaphor of incorporation may be misleading. It is not the treaty but the statute which forms part of English law. And English courts will not (unless the statute expressly so provides) be bound to give effect to interpretations of the treaty by an international court, even though the United Kingdom is bound by international law to do so.”</w:t>
      </w:r>
    </w:p>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57</w:t>
      </w:r>
      <w:r w:rsidRPr="00831573">
        <w:rPr>
          <w:lang w:val="en-GB"/>
        </w:rPr>
        <w:fldChar w:fldCharType="end"/>
      </w:r>
      <w:r w:rsidR="005D3B4E" w:rsidRPr="00831573">
        <w:rPr>
          <w:lang w:val="en-GB"/>
        </w:rPr>
        <w:t>.  </w:t>
      </w:r>
      <w:r w:rsidRPr="00831573">
        <w:rPr>
          <w:lang w:val="en-GB"/>
        </w:rPr>
        <w:t xml:space="preserve">In </w:t>
      </w:r>
      <w:r w:rsidRPr="00831573">
        <w:rPr>
          <w:i/>
          <w:lang w:val="en-GB"/>
        </w:rPr>
        <w:t>In</w:t>
      </w:r>
      <w:r w:rsidRPr="00831573">
        <w:rPr>
          <w:lang w:val="en-GB"/>
        </w:rPr>
        <w:t xml:space="preserve"> </w:t>
      </w:r>
      <w:r w:rsidRPr="00831573">
        <w:rPr>
          <w:i/>
          <w:lang w:val="en-GB"/>
        </w:rPr>
        <w:t>Re McKerr</w:t>
      </w:r>
      <w:r w:rsidRPr="00831573">
        <w:rPr>
          <w:lang w:val="en-GB"/>
        </w:rPr>
        <w:t xml:space="preserve"> [2004] UKHL 12, Lord Nicholls stated:</w:t>
      </w:r>
    </w:p>
    <w:p w:rsidR="004A0264" w:rsidRPr="00831573" w:rsidRDefault="004A0264" w:rsidP="00831573">
      <w:pPr>
        <w:pStyle w:val="JuQuotSub"/>
        <w:rPr>
          <w:lang w:val="en-GB"/>
        </w:rPr>
      </w:pPr>
      <w:r w:rsidRPr="00831573">
        <w:rPr>
          <w:lang w:val="en-GB"/>
        </w:rPr>
        <w:t xml:space="preserve">“26. </w:t>
      </w:r>
      <w:r w:rsidR="00F87D13" w:rsidRPr="00831573">
        <w:rPr>
          <w:lang w:val="en-GB"/>
        </w:rPr>
        <w:t>...</w:t>
      </w:r>
      <w:r w:rsidRPr="00831573">
        <w:rPr>
          <w:lang w:val="en-GB"/>
        </w:rPr>
        <w:t xml:space="preserve"> I respectfully consider that some of these courts</w:t>
      </w:r>
      <w:r w:rsidR="002E6924" w:rsidRPr="00831573">
        <w:rPr>
          <w:lang w:val="en-GB"/>
        </w:rPr>
        <w:t xml:space="preserve"> </w:t>
      </w:r>
      <w:r w:rsidR="00F87D13" w:rsidRPr="00831573">
        <w:rPr>
          <w:lang w:val="en-GB"/>
        </w:rPr>
        <w:t>...</w:t>
      </w:r>
      <w:r w:rsidRPr="00831573">
        <w:rPr>
          <w:lang w:val="en-GB"/>
        </w:rPr>
        <w:t xml:space="preserve"> fell into error by failing to keep clearly in mind the distinction between (1) rights arising under the Convention and (2) rights created by the Human Rights Act by reference to the Convention. These two sets of rights now exist side by side. But there are significant differences between them. The former existed before the enactment of the Human Rights Act 1998 and they continue to exist. They are not as such part of this country</w:t>
      </w:r>
      <w:r w:rsidR="00831573" w:rsidRPr="00831573">
        <w:rPr>
          <w:lang w:val="en-GB"/>
        </w:rPr>
        <w:t>’</w:t>
      </w:r>
      <w:r w:rsidRPr="00831573">
        <w:rPr>
          <w:lang w:val="en-GB"/>
        </w:rPr>
        <w:t>s law because the Convention does not form part of this country</w:t>
      </w:r>
      <w:r w:rsidR="00831573" w:rsidRPr="00831573">
        <w:rPr>
          <w:lang w:val="en-GB"/>
        </w:rPr>
        <w:t>’</w:t>
      </w:r>
      <w:r w:rsidRPr="00831573">
        <w:rPr>
          <w:lang w:val="en-GB"/>
        </w:rPr>
        <w:t>s law. That is still the position. These rights, arising under the Convention, are to be contrasted with rights created by the Human Rights Act. The latter came into existence for the first time on 2</w:t>
      </w:r>
      <w:r w:rsidR="00E03F27" w:rsidRPr="00831573">
        <w:rPr>
          <w:lang w:val="en-GB"/>
        </w:rPr>
        <w:t xml:space="preserve"> </w:t>
      </w:r>
      <w:r w:rsidRPr="00831573">
        <w:rPr>
          <w:lang w:val="en-GB"/>
        </w:rPr>
        <w:t>October</w:t>
      </w:r>
      <w:r w:rsidR="00E03F27" w:rsidRPr="00831573">
        <w:rPr>
          <w:lang w:val="en-GB"/>
        </w:rPr>
        <w:t xml:space="preserve"> </w:t>
      </w:r>
      <w:r w:rsidRPr="00831573">
        <w:rPr>
          <w:lang w:val="en-GB"/>
        </w:rPr>
        <w:t>2000. They are part of this country</w:t>
      </w:r>
      <w:r w:rsidR="00831573" w:rsidRPr="00831573">
        <w:rPr>
          <w:lang w:val="en-GB"/>
        </w:rPr>
        <w:t>’</w:t>
      </w:r>
      <w:r w:rsidRPr="00831573">
        <w:rPr>
          <w:lang w:val="en-GB"/>
        </w:rPr>
        <w:t>s law. The extent of these rights, created as they were by the Human Rights Act, depends upon the proper interpretation of that Act.”</w:t>
      </w:r>
    </w:p>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58</w:t>
      </w:r>
      <w:r w:rsidRPr="00831573">
        <w:rPr>
          <w:lang w:val="en-GB"/>
        </w:rPr>
        <w:fldChar w:fldCharType="end"/>
      </w:r>
      <w:r w:rsidR="005D3B4E" w:rsidRPr="00831573">
        <w:rPr>
          <w:lang w:val="en-GB"/>
        </w:rPr>
        <w:t>.  </w:t>
      </w:r>
      <w:r w:rsidRPr="00831573">
        <w:rPr>
          <w:lang w:val="en-GB"/>
        </w:rPr>
        <w:t>Lord Hoffman stated:</w:t>
      </w:r>
    </w:p>
    <w:p w:rsidR="004A0264" w:rsidRPr="00831573" w:rsidRDefault="004A0264" w:rsidP="00831573">
      <w:pPr>
        <w:pStyle w:val="JuQuotSub"/>
        <w:rPr>
          <w:lang w:val="en-GB"/>
        </w:rPr>
      </w:pPr>
      <w:r w:rsidRPr="00831573">
        <w:rPr>
          <w:lang w:val="en-GB"/>
        </w:rPr>
        <w:t>“65.</w:t>
      </w:r>
      <w:r w:rsidR="005D4C06" w:rsidRPr="00831573">
        <w:rPr>
          <w:lang w:val="en-GB"/>
        </w:rPr>
        <w:t xml:space="preserve"> </w:t>
      </w:r>
      <w:r w:rsidRPr="00831573">
        <w:rPr>
          <w:lang w:val="en-GB"/>
        </w:rPr>
        <w:t>... Although people sometimes speak of the Convention having been incorporated into domestic law, that is a misleading metaphor. What the Act has done is to create domestic rights expressed in the same terms as those contained in the Convention. But they are domestic rights, not international rights. Their source is the statute, not the Convention. They are available against specific public authorities, not the United Kingdom as a state. And their meaning and application is a matter for domestic courts, not the court in Strasbourg.”</w:t>
      </w:r>
    </w:p>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59</w:t>
      </w:r>
      <w:r w:rsidRPr="00831573">
        <w:rPr>
          <w:lang w:val="en-GB"/>
        </w:rPr>
        <w:fldChar w:fldCharType="end"/>
      </w:r>
      <w:r w:rsidR="00870067" w:rsidRPr="00831573">
        <w:rPr>
          <w:lang w:val="en-GB"/>
        </w:rPr>
        <w:t>.  </w:t>
      </w:r>
      <w:r w:rsidRPr="00831573">
        <w:rPr>
          <w:lang w:val="en-GB"/>
        </w:rPr>
        <w:t xml:space="preserve">Finally, in </w:t>
      </w:r>
      <w:r w:rsidRPr="00831573">
        <w:rPr>
          <w:i/>
          <w:lang w:val="en-GB"/>
        </w:rPr>
        <w:t>In Re P</w:t>
      </w:r>
      <w:r w:rsidRPr="00831573">
        <w:rPr>
          <w:lang w:val="en-GB"/>
        </w:rPr>
        <w:t xml:space="preserve"> [200</w:t>
      </w:r>
      <w:r w:rsidR="00FB5992" w:rsidRPr="00831573">
        <w:rPr>
          <w:lang w:val="en-GB"/>
        </w:rPr>
        <w:t>8</w:t>
      </w:r>
      <w:r w:rsidRPr="00831573">
        <w:rPr>
          <w:lang w:val="en-GB"/>
        </w:rPr>
        <w:t xml:space="preserve">] </w:t>
      </w:r>
      <w:r w:rsidR="00FB5992" w:rsidRPr="00831573">
        <w:rPr>
          <w:lang w:val="en-GB"/>
        </w:rPr>
        <w:t>UKHL 38</w:t>
      </w:r>
      <w:r w:rsidRPr="00831573">
        <w:rPr>
          <w:lang w:val="en-GB"/>
        </w:rPr>
        <w:t>, Lord Hoffman observed:</w:t>
      </w:r>
    </w:p>
    <w:p w:rsidR="004A0264" w:rsidRPr="00831573" w:rsidRDefault="004A0264" w:rsidP="00831573">
      <w:pPr>
        <w:pStyle w:val="JuQuotSub"/>
        <w:rPr>
          <w:lang w:val="en-GB"/>
        </w:rPr>
      </w:pPr>
      <w:r w:rsidRPr="00831573">
        <w:rPr>
          <w:lang w:val="en-GB"/>
        </w:rPr>
        <w:t>“33</w:t>
      </w:r>
      <w:r w:rsidR="00FB5992" w:rsidRPr="00831573">
        <w:rPr>
          <w:lang w:val="en-GB"/>
        </w:rPr>
        <w:t>.</w:t>
      </w:r>
      <w:r w:rsidR="005605C6" w:rsidRPr="00831573">
        <w:rPr>
          <w:lang w:val="en-GB"/>
        </w:rPr>
        <w:t> </w:t>
      </w:r>
      <w:r w:rsidRPr="00831573">
        <w:rPr>
          <w:lang w:val="en-GB"/>
        </w:rPr>
        <w:t xml:space="preserve">As this House affirmed in </w:t>
      </w:r>
      <w:r w:rsidRPr="00831573">
        <w:rPr>
          <w:i/>
          <w:lang w:val="en-GB"/>
        </w:rPr>
        <w:t>In re McKerr</w:t>
      </w:r>
      <w:r w:rsidRPr="00831573">
        <w:rPr>
          <w:lang w:val="en-GB"/>
        </w:rPr>
        <w:t xml:space="preserve"> </w:t>
      </w:r>
      <w:r w:rsidR="00F87D13" w:rsidRPr="00831573">
        <w:rPr>
          <w:lang w:val="en-GB"/>
        </w:rPr>
        <w:t>...</w:t>
      </w:r>
      <w:r w:rsidRPr="00831573">
        <w:rPr>
          <w:lang w:val="en-GB"/>
        </w:rPr>
        <w:t xml:space="preserve"> </w:t>
      </w:r>
      <w:r w:rsidR="00831573" w:rsidRPr="00831573">
        <w:rPr>
          <w:lang w:val="en-GB"/>
        </w:rPr>
        <w:t>‘</w:t>
      </w:r>
      <w:r w:rsidRPr="00831573">
        <w:rPr>
          <w:lang w:val="en-GB"/>
        </w:rPr>
        <w:t>Convention rights</w:t>
      </w:r>
      <w:r w:rsidR="00831573" w:rsidRPr="00831573">
        <w:rPr>
          <w:lang w:val="en-GB"/>
        </w:rPr>
        <w:t>’</w:t>
      </w:r>
      <w:r w:rsidRPr="00831573">
        <w:rPr>
          <w:lang w:val="en-GB"/>
        </w:rPr>
        <w:t xml:space="preserve"> within the meaning of the 1998 Act are domestic and not international rights.”</w:t>
      </w:r>
    </w:p>
    <w:bookmarkStart w:id="28" w:name="ECHRNatureUKEnd"/>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60</w:t>
      </w:r>
      <w:r w:rsidRPr="00831573">
        <w:rPr>
          <w:lang w:val="en-GB"/>
        </w:rPr>
        <w:fldChar w:fldCharType="end"/>
      </w:r>
      <w:bookmarkEnd w:id="28"/>
      <w:r w:rsidR="00870067" w:rsidRPr="00831573">
        <w:rPr>
          <w:lang w:val="en-GB"/>
        </w:rPr>
        <w:t>.  </w:t>
      </w:r>
      <w:r w:rsidRPr="00831573">
        <w:rPr>
          <w:lang w:val="en-GB"/>
        </w:rPr>
        <w:t xml:space="preserve">Lord Mance also </w:t>
      </w:r>
      <w:r w:rsidR="001D54B8" w:rsidRPr="00831573">
        <w:rPr>
          <w:lang w:val="en-GB"/>
        </w:rPr>
        <w:t>commented</w:t>
      </w:r>
      <w:r w:rsidRPr="00831573">
        <w:rPr>
          <w:lang w:val="en-GB"/>
        </w:rPr>
        <w:t>:</w:t>
      </w:r>
    </w:p>
    <w:p w:rsidR="00251B99" w:rsidRPr="00831573" w:rsidRDefault="004A0264" w:rsidP="00831573">
      <w:pPr>
        <w:pStyle w:val="JuQuotSub"/>
        <w:rPr>
          <w:lang w:val="en-GB"/>
        </w:rPr>
      </w:pPr>
      <w:r w:rsidRPr="00831573">
        <w:rPr>
          <w:lang w:val="en-GB"/>
        </w:rPr>
        <w:t>“128</w:t>
      </w:r>
      <w:r w:rsidR="00FB5992" w:rsidRPr="00831573">
        <w:rPr>
          <w:lang w:val="en-GB"/>
        </w:rPr>
        <w:t>.</w:t>
      </w:r>
      <w:r w:rsidRPr="00831573">
        <w:rPr>
          <w:lang w:val="en-GB"/>
        </w:rPr>
        <w:t xml:space="preserve"> </w:t>
      </w:r>
      <w:r w:rsidR="00F87D13" w:rsidRPr="00831573">
        <w:rPr>
          <w:lang w:val="en-GB"/>
        </w:rPr>
        <w:t>...</w:t>
      </w:r>
      <w:r w:rsidRPr="00831573">
        <w:rPr>
          <w:lang w:val="en-GB"/>
        </w:rPr>
        <w:t xml:space="preserve"> The Act creates as </w:t>
      </w:r>
      <w:r w:rsidR="00831573" w:rsidRPr="00831573">
        <w:rPr>
          <w:lang w:val="en-GB"/>
        </w:rPr>
        <w:t>‘</w:t>
      </w:r>
      <w:r w:rsidRPr="00831573">
        <w:rPr>
          <w:lang w:val="en-GB"/>
        </w:rPr>
        <w:t>part of this country</w:t>
      </w:r>
      <w:r w:rsidR="00831573" w:rsidRPr="00831573">
        <w:rPr>
          <w:lang w:val="en-GB"/>
        </w:rPr>
        <w:t>’</w:t>
      </w:r>
      <w:r w:rsidRPr="00831573">
        <w:rPr>
          <w:lang w:val="en-GB"/>
        </w:rPr>
        <w:t>s law</w:t>
      </w:r>
      <w:r w:rsidR="00831573" w:rsidRPr="00831573">
        <w:rPr>
          <w:lang w:val="en-GB"/>
        </w:rPr>
        <w:t>’</w:t>
      </w:r>
      <w:r w:rsidRPr="00831573">
        <w:rPr>
          <w:lang w:val="en-GB"/>
        </w:rPr>
        <w:t xml:space="preserve"> rights in the same terms as the Convention rights, and the interpretation and impact of those new domestic rights depends upon the 1998 Act: see </w:t>
      </w:r>
      <w:r w:rsidRPr="00831573">
        <w:rPr>
          <w:i/>
          <w:lang w:val="en-GB"/>
        </w:rPr>
        <w:t>In re McKerr</w:t>
      </w:r>
      <w:r w:rsidR="00FB5992" w:rsidRPr="00831573">
        <w:rPr>
          <w:i/>
          <w:lang w:val="en-GB"/>
        </w:rPr>
        <w:t xml:space="preserve"> </w:t>
      </w:r>
      <w:r w:rsidR="00F87D13" w:rsidRPr="00831573">
        <w:rPr>
          <w:i/>
          <w:lang w:val="en-GB"/>
        </w:rPr>
        <w:t>...</w:t>
      </w:r>
      <w:r w:rsidRPr="00831573">
        <w:rPr>
          <w:lang w:val="en-GB"/>
        </w:rPr>
        <w:t>”</w:t>
      </w:r>
    </w:p>
    <w:p w:rsidR="004A0264" w:rsidRPr="00831573" w:rsidRDefault="00DC4078" w:rsidP="00831573">
      <w:pPr>
        <w:pStyle w:val="ECHRHeading2"/>
        <w:rPr>
          <w:lang w:val="en-GB"/>
        </w:rPr>
      </w:pPr>
      <w:r w:rsidRPr="00831573">
        <w:rPr>
          <w:lang w:val="en-GB"/>
        </w:rPr>
        <w:t>D</w:t>
      </w:r>
      <w:r w:rsidR="00870067" w:rsidRPr="00831573">
        <w:rPr>
          <w:lang w:val="en-GB"/>
        </w:rPr>
        <w:t>.  </w:t>
      </w:r>
      <w:r w:rsidR="004A0264" w:rsidRPr="00831573">
        <w:rPr>
          <w:lang w:val="en-GB"/>
        </w:rPr>
        <w:t>The effect of a violation of Article 6 on the lawfulness of a decision to detain</w:t>
      </w:r>
    </w:p>
    <w:bookmarkStart w:id="29" w:name="UdayRatra"/>
    <w:p w:rsidR="004A0264" w:rsidRPr="00831573" w:rsidRDefault="004A026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61</w:t>
      </w:r>
      <w:r w:rsidRPr="00831573">
        <w:rPr>
          <w:lang w:val="en-GB"/>
        </w:rPr>
        <w:fldChar w:fldCharType="end"/>
      </w:r>
      <w:bookmarkEnd w:id="29"/>
      <w:r w:rsidR="00870067" w:rsidRPr="00831573">
        <w:rPr>
          <w:lang w:val="en-GB"/>
        </w:rPr>
        <w:t>.  </w:t>
      </w:r>
      <w:r w:rsidRPr="00831573">
        <w:rPr>
          <w:lang w:val="en-GB"/>
        </w:rPr>
        <w:t xml:space="preserve">In </w:t>
      </w:r>
      <w:r w:rsidRPr="00831573">
        <w:rPr>
          <w:i/>
          <w:lang w:val="en-GB"/>
        </w:rPr>
        <w:t>Uday Ratra v</w:t>
      </w:r>
      <w:r w:rsidR="00251B99" w:rsidRPr="00831573">
        <w:rPr>
          <w:i/>
          <w:lang w:val="en-GB"/>
        </w:rPr>
        <w:t>.</w:t>
      </w:r>
      <w:r w:rsidRPr="00831573">
        <w:rPr>
          <w:i/>
          <w:lang w:val="en-GB"/>
        </w:rPr>
        <w:t xml:space="preserve"> Department for Constitutional Affairs</w:t>
      </w:r>
      <w:r w:rsidRPr="00831573">
        <w:rPr>
          <w:lang w:val="en-GB"/>
        </w:rPr>
        <w:t xml:space="preserve"> [2004] EWCA Civ 731, which concerned a claim for damages for false imprisonment following a committal for civil contempt, Lord Justice Tuckey, </w:t>
      </w:r>
      <w:r w:rsidR="00251B99" w:rsidRPr="00831573">
        <w:rPr>
          <w:lang w:val="en-GB"/>
        </w:rPr>
        <w:t>giving judgment for the court</w:t>
      </w:r>
      <w:r w:rsidRPr="00831573">
        <w:rPr>
          <w:lang w:val="en-GB"/>
        </w:rPr>
        <w:t>, observed:</w:t>
      </w:r>
    </w:p>
    <w:p w:rsidR="004A0264" w:rsidRPr="00831573" w:rsidRDefault="004A0264" w:rsidP="00831573">
      <w:pPr>
        <w:pStyle w:val="ECHRParaQuote"/>
        <w:rPr>
          <w:lang w:val="en-GB"/>
        </w:rPr>
      </w:pPr>
      <w:r w:rsidRPr="00831573">
        <w:rPr>
          <w:lang w:val="en-GB"/>
        </w:rPr>
        <w:t xml:space="preserve">“25 </w:t>
      </w:r>
      <w:r w:rsidR="00F87D13" w:rsidRPr="00831573">
        <w:rPr>
          <w:lang w:val="en-GB"/>
        </w:rPr>
        <w:t>...</w:t>
      </w:r>
      <w:r w:rsidRPr="00831573">
        <w:rPr>
          <w:lang w:val="en-GB"/>
        </w:rPr>
        <w:t xml:space="preserve"> It is clear from the decision in </w:t>
      </w:r>
      <w:r w:rsidRPr="00831573">
        <w:rPr>
          <w:i/>
          <w:lang w:val="en-GB"/>
        </w:rPr>
        <w:t>Benham</w:t>
      </w:r>
      <w:r w:rsidRPr="00831573">
        <w:rPr>
          <w:lang w:val="en-GB"/>
        </w:rPr>
        <w:t xml:space="preserve"> itself that not every breach of Article</w:t>
      </w:r>
      <w:r w:rsidR="004E494A" w:rsidRPr="00831573">
        <w:rPr>
          <w:lang w:val="en-GB"/>
        </w:rPr>
        <w:t> </w:t>
      </w:r>
      <w:r w:rsidRPr="00831573">
        <w:rPr>
          <w:lang w:val="en-GB"/>
        </w:rPr>
        <w:t xml:space="preserve">6 will constitute unlawfulness for the purposes of Article 5. The undecided question is whether serious breaches of Article 6 could have this effect. </w:t>
      </w:r>
      <w:r w:rsidR="00F87D13" w:rsidRPr="00831573">
        <w:rPr>
          <w:lang w:val="en-GB"/>
        </w:rPr>
        <w:t>...</w:t>
      </w:r>
    </w:p>
    <w:p w:rsidR="006920CF" w:rsidRPr="00831573" w:rsidRDefault="004A0264" w:rsidP="00831573">
      <w:pPr>
        <w:pStyle w:val="ECHRParaQuote"/>
        <w:rPr>
          <w:lang w:val="en-GB"/>
        </w:rPr>
      </w:pPr>
      <w:r w:rsidRPr="00831573">
        <w:rPr>
          <w:lang w:val="en-GB"/>
        </w:rPr>
        <w:t xml:space="preserve">26 </w:t>
      </w:r>
      <w:r w:rsidR="00F87D13" w:rsidRPr="00831573">
        <w:rPr>
          <w:lang w:val="en-GB"/>
        </w:rPr>
        <w:t>...</w:t>
      </w:r>
      <w:r w:rsidRPr="00831573">
        <w:rPr>
          <w:lang w:val="en-GB"/>
        </w:rPr>
        <w:t xml:space="preserve"> I think this is a difficult and important issue which the courts will need to resolve in a case where it matters and with the benefit of full argument.”</w:t>
      </w:r>
    </w:p>
    <w:p w:rsidR="00014566" w:rsidRPr="00831573" w:rsidRDefault="00014566" w:rsidP="00831573">
      <w:pPr>
        <w:pStyle w:val="ECHRTitle1"/>
        <w:rPr>
          <w:lang w:val="en-GB"/>
        </w:rPr>
      </w:pPr>
      <w:r w:rsidRPr="00831573">
        <w:rPr>
          <w:lang w:val="en-GB"/>
        </w:rPr>
        <w:t>THE LAW</w:t>
      </w:r>
    </w:p>
    <w:p w:rsidR="000F49BF" w:rsidRPr="00831573" w:rsidRDefault="000F49BF" w:rsidP="00831573">
      <w:pPr>
        <w:pStyle w:val="ECHRHeading1"/>
        <w:rPr>
          <w:lang w:val="en-GB"/>
        </w:rPr>
      </w:pPr>
      <w:r w:rsidRPr="00831573">
        <w:rPr>
          <w:lang w:val="en-GB"/>
        </w:rPr>
        <w:t>I.  ALLEGED VIOLATION OF ARTICLE 5 OF THE CONVENTION</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62</w:t>
      </w:r>
      <w:r w:rsidRPr="00831573">
        <w:rPr>
          <w:lang w:val="en-GB"/>
        </w:rPr>
        <w:fldChar w:fldCharType="end"/>
      </w:r>
      <w:r w:rsidR="000F49BF" w:rsidRPr="00831573">
        <w:rPr>
          <w:lang w:val="en-GB"/>
        </w:rPr>
        <w:t xml:space="preserve">.  The applicant </w:t>
      </w:r>
      <w:r w:rsidR="00206C51" w:rsidRPr="00831573">
        <w:rPr>
          <w:lang w:val="en-GB"/>
        </w:rPr>
        <w:t>argued</w:t>
      </w:r>
      <w:r w:rsidR="000F49BF" w:rsidRPr="00831573">
        <w:rPr>
          <w:lang w:val="en-GB"/>
        </w:rPr>
        <w:t xml:space="preserve"> that his committal to prison following the hearing in July 2005 breached his right to liberty under Article 5 </w:t>
      </w:r>
      <w:r w:rsidR="000F49BF" w:rsidRPr="00831573">
        <w:rPr>
          <w:rFonts w:cstheme="minorHAnsi"/>
          <w:lang w:val="en-GB"/>
        </w:rPr>
        <w:t>§</w:t>
      </w:r>
      <w:r w:rsidR="000F49BF" w:rsidRPr="00831573">
        <w:rPr>
          <w:lang w:val="en-GB"/>
        </w:rPr>
        <w:t xml:space="preserve"> 1 of the Convention</w:t>
      </w:r>
      <w:r w:rsidR="00353D1B" w:rsidRPr="00831573">
        <w:rPr>
          <w:lang w:val="en-GB"/>
        </w:rPr>
        <w:t>, which</w:t>
      </w:r>
      <w:r w:rsidR="00E47B9F" w:rsidRPr="00831573">
        <w:rPr>
          <w:lang w:val="en-GB"/>
        </w:rPr>
        <w:t xml:space="preserve"> </w:t>
      </w:r>
      <w:r w:rsidR="000F49BF" w:rsidRPr="00831573">
        <w:rPr>
          <w:lang w:val="en-GB"/>
        </w:rPr>
        <w:t>reads in relevant part as follows:</w:t>
      </w:r>
    </w:p>
    <w:p w:rsidR="000F49BF" w:rsidRPr="00831573" w:rsidRDefault="005605C6" w:rsidP="00831573">
      <w:pPr>
        <w:pStyle w:val="ECHRParaQuote"/>
        <w:rPr>
          <w:lang w:val="en-GB"/>
        </w:rPr>
      </w:pPr>
      <w:r w:rsidRPr="00831573">
        <w:rPr>
          <w:lang w:val="en-GB"/>
        </w:rPr>
        <w:t>“1. </w:t>
      </w:r>
      <w:r w:rsidR="000F49BF" w:rsidRPr="00831573">
        <w:rPr>
          <w:lang w:val="en-GB"/>
        </w:rPr>
        <w:t>Everyone has the right to liberty and security of person. No one shall be deprived of his liberty save in the following cases and in accordance with a procedure prescribed by law:</w:t>
      </w:r>
    </w:p>
    <w:p w:rsidR="000F49BF" w:rsidRPr="00831573" w:rsidRDefault="005605C6" w:rsidP="00831573">
      <w:pPr>
        <w:pStyle w:val="ECHRParaQuote"/>
        <w:rPr>
          <w:lang w:val="en-GB"/>
        </w:rPr>
      </w:pPr>
      <w:r w:rsidRPr="00831573">
        <w:rPr>
          <w:lang w:val="en-GB"/>
        </w:rPr>
        <w:t>(a) </w:t>
      </w:r>
      <w:r w:rsidR="000F49BF" w:rsidRPr="00831573">
        <w:rPr>
          <w:lang w:val="en-GB"/>
        </w:rPr>
        <w:t>the lawful detention of a person after conviction by a competent court;</w:t>
      </w:r>
    </w:p>
    <w:p w:rsidR="000F49BF" w:rsidRPr="00831573" w:rsidRDefault="005605C6" w:rsidP="00831573">
      <w:pPr>
        <w:pStyle w:val="ECHRParaQuote"/>
        <w:rPr>
          <w:lang w:val="en-GB"/>
        </w:rPr>
      </w:pPr>
      <w:r w:rsidRPr="00831573">
        <w:rPr>
          <w:lang w:val="en-GB"/>
        </w:rPr>
        <w:t>(b) </w:t>
      </w:r>
      <w:r w:rsidR="000F49BF" w:rsidRPr="00831573">
        <w:rPr>
          <w:lang w:val="en-GB"/>
        </w:rPr>
        <w:t>the lawful arrest or detention of a person for non-compliance with the lawful order of a court or in order to secure the fulfilment of any obligation prescribed by law”</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63</w:t>
      </w:r>
      <w:r w:rsidRPr="00831573">
        <w:rPr>
          <w:lang w:val="en-GB"/>
        </w:rPr>
        <w:fldChar w:fldCharType="end"/>
      </w:r>
      <w:r w:rsidR="000F49BF" w:rsidRPr="00831573">
        <w:rPr>
          <w:lang w:val="en-GB"/>
        </w:rPr>
        <w:t xml:space="preserve">.  The Government contested </w:t>
      </w:r>
      <w:r w:rsidR="00904A15" w:rsidRPr="00831573">
        <w:rPr>
          <w:lang w:val="en-GB"/>
        </w:rPr>
        <w:t xml:space="preserve">that </w:t>
      </w:r>
      <w:r w:rsidR="000F49BF" w:rsidRPr="00831573">
        <w:rPr>
          <w:lang w:val="en-GB"/>
        </w:rPr>
        <w:t>argument.</w:t>
      </w:r>
    </w:p>
    <w:p w:rsidR="000F49BF" w:rsidRPr="00831573" w:rsidRDefault="000F49BF" w:rsidP="00831573">
      <w:pPr>
        <w:pStyle w:val="ECHRHeading2"/>
        <w:rPr>
          <w:lang w:val="en-GB"/>
        </w:rPr>
      </w:pPr>
      <w:r w:rsidRPr="00831573">
        <w:rPr>
          <w:lang w:val="en-GB"/>
        </w:rPr>
        <w:t>A. </w:t>
      </w:r>
      <w:r w:rsidR="00BC23A4" w:rsidRPr="00831573">
        <w:rPr>
          <w:lang w:val="en-GB"/>
        </w:rPr>
        <w:t> </w:t>
      </w:r>
      <w:r w:rsidRPr="00831573">
        <w:rPr>
          <w:lang w:val="en-GB"/>
        </w:rPr>
        <w:t>Admissibility</w:t>
      </w:r>
    </w:p>
    <w:p w:rsidR="003A546D" w:rsidRPr="00831573" w:rsidRDefault="0089270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64</w:t>
      </w:r>
      <w:r w:rsidRPr="00831573">
        <w:rPr>
          <w:lang w:val="en-GB"/>
        </w:rPr>
        <w:fldChar w:fldCharType="end"/>
      </w:r>
      <w:r w:rsidR="00BC23A4" w:rsidRPr="00831573">
        <w:rPr>
          <w:lang w:val="en-GB"/>
        </w:rPr>
        <w:t>.  </w:t>
      </w:r>
      <w:r w:rsidR="003A546D" w:rsidRPr="00831573">
        <w:rPr>
          <w:lang w:val="en-GB"/>
        </w:rPr>
        <w:t xml:space="preserve">The Court is satisfied that the </w:t>
      </w:r>
      <w:r w:rsidR="00872BAA" w:rsidRPr="00831573">
        <w:rPr>
          <w:lang w:val="en-GB"/>
        </w:rPr>
        <w:t xml:space="preserve">complaint </w:t>
      </w:r>
      <w:r w:rsidR="003A546D" w:rsidRPr="00831573">
        <w:rPr>
          <w:lang w:val="en-GB"/>
        </w:rPr>
        <w:t xml:space="preserve">raises arguable issues under Article </w:t>
      </w:r>
      <w:r w:rsidR="001B1DEE" w:rsidRPr="00831573">
        <w:rPr>
          <w:lang w:val="en-GB"/>
        </w:rPr>
        <w:t>5</w:t>
      </w:r>
      <w:r w:rsidR="003A546D" w:rsidRPr="00831573">
        <w:rPr>
          <w:lang w:val="en-GB"/>
        </w:rPr>
        <w:t xml:space="preserve"> § 1 of the Convention, so that it cannot be rejected as manifestly ill-founded within the meaning of Article 35 § 3 (a) of the Convention. The Court further considers that the </w:t>
      </w:r>
      <w:r w:rsidR="00872BAA" w:rsidRPr="00831573">
        <w:rPr>
          <w:lang w:val="en-GB"/>
        </w:rPr>
        <w:t xml:space="preserve">complaint </w:t>
      </w:r>
      <w:r w:rsidR="003A546D" w:rsidRPr="00831573">
        <w:rPr>
          <w:lang w:val="en-GB"/>
        </w:rPr>
        <w:t>is not inadmissible on any other grounds. It must therefore be declared admissible.</w:t>
      </w:r>
    </w:p>
    <w:p w:rsidR="000F49BF" w:rsidRPr="00831573" w:rsidRDefault="00252242" w:rsidP="00831573">
      <w:pPr>
        <w:pStyle w:val="ECHRHeading2"/>
        <w:rPr>
          <w:lang w:val="en-GB"/>
        </w:rPr>
      </w:pPr>
      <w:r w:rsidRPr="00831573">
        <w:rPr>
          <w:lang w:val="en-GB"/>
        </w:rPr>
        <w:t>B.  </w:t>
      </w:r>
      <w:r w:rsidR="000F49BF" w:rsidRPr="00831573">
        <w:rPr>
          <w:lang w:val="en-GB"/>
        </w:rPr>
        <w:t>Merits</w:t>
      </w:r>
    </w:p>
    <w:p w:rsidR="000F49BF" w:rsidRPr="00831573" w:rsidRDefault="0083614B" w:rsidP="00831573">
      <w:pPr>
        <w:pStyle w:val="ECHRHeading3"/>
        <w:rPr>
          <w:lang w:val="en-GB"/>
        </w:rPr>
      </w:pPr>
      <w:r w:rsidRPr="00831573">
        <w:rPr>
          <w:lang w:val="en-GB"/>
        </w:rPr>
        <w:t>1</w:t>
      </w:r>
      <w:r w:rsidR="00252242" w:rsidRPr="00831573">
        <w:rPr>
          <w:lang w:val="en-GB"/>
        </w:rPr>
        <w:t>.  </w:t>
      </w:r>
      <w:r w:rsidR="000F49BF" w:rsidRPr="00831573">
        <w:rPr>
          <w:lang w:val="en-GB"/>
        </w:rPr>
        <w:t>The parties</w:t>
      </w:r>
      <w:r w:rsidR="00831573" w:rsidRPr="00831573">
        <w:rPr>
          <w:lang w:val="en-GB"/>
        </w:rPr>
        <w:t>’</w:t>
      </w:r>
      <w:r w:rsidR="000F49BF" w:rsidRPr="00831573">
        <w:rPr>
          <w:lang w:val="en-GB"/>
        </w:rPr>
        <w:t xml:space="preserve"> submissions</w:t>
      </w:r>
    </w:p>
    <w:p w:rsidR="002B4402" w:rsidRPr="00831573" w:rsidRDefault="00874BD6" w:rsidP="00831573">
      <w:pPr>
        <w:pStyle w:val="ECHRHeading4"/>
        <w:rPr>
          <w:lang w:val="en-GB"/>
        </w:rPr>
      </w:pPr>
      <w:r w:rsidRPr="00831573">
        <w:rPr>
          <w:lang w:val="en-GB"/>
        </w:rPr>
        <w:t>(a)  </w:t>
      </w:r>
      <w:r w:rsidR="002B4402" w:rsidRPr="00831573">
        <w:rPr>
          <w:lang w:val="en-GB"/>
        </w:rPr>
        <w:t>The applicant</w:t>
      </w:r>
    </w:p>
    <w:p w:rsidR="002B4402" w:rsidRPr="00831573" w:rsidRDefault="002B4402" w:rsidP="00831573">
      <w:pPr>
        <w:pStyle w:val="ECHRPara"/>
        <w:rPr>
          <w:rFonts w:cstheme="minorHAns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65</w:t>
      </w:r>
      <w:r w:rsidRPr="00831573">
        <w:rPr>
          <w:lang w:val="en-GB"/>
        </w:rPr>
        <w:fldChar w:fldCharType="end"/>
      </w:r>
      <w:r w:rsidR="00252242" w:rsidRPr="00831573">
        <w:rPr>
          <w:lang w:val="en-GB"/>
        </w:rPr>
        <w:t>.  </w:t>
      </w:r>
      <w:r w:rsidRPr="00831573">
        <w:rPr>
          <w:lang w:val="en-GB"/>
        </w:rPr>
        <w:t xml:space="preserve">The applicant argued that his detention should be considered under Article 5 </w:t>
      </w:r>
      <w:r w:rsidRPr="00831573">
        <w:rPr>
          <w:rFonts w:cstheme="minorHAnsi"/>
          <w:lang w:val="en-GB"/>
        </w:rPr>
        <w:t>§</w:t>
      </w:r>
      <w:r w:rsidRPr="00831573">
        <w:rPr>
          <w:lang w:val="en-GB"/>
        </w:rPr>
        <w:t xml:space="preserve"> 1 (a). </w:t>
      </w:r>
      <w:r w:rsidR="00093086" w:rsidRPr="00831573">
        <w:rPr>
          <w:lang w:val="en-GB"/>
        </w:rPr>
        <w:t>He observed that contempt was treated by domestic law as a criminal matter.</w:t>
      </w:r>
    </w:p>
    <w:p w:rsidR="002B4402" w:rsidRPr="00831573" w:rsidRDefault="0025674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66</w:t>
      </w:r>
      <w:r w:rsidRPr="00831573">
        <w:rPr>
          <w:lang w:val="en-GB"/>
        </w:rPr>
        <w:fldChar w:fldCharType="end"/>
      </w:r>
      <w:r w:rsidR="00252242" w:rsidRPr="00831573">
        <w:rPr>
          <w:lang w:val="en-GB"/>
        </w:rPr>
        <w:t>.  </w:t>
      </w:r>
      <w:r w:rsidRPr="00831573">
        <w:rPr>
          <w:lang w:val="en-GB"/>
        </w:rPr>
        <w:t xml:space="preserve">The applicant argued that, because the </w:t>
      </w:r>
      <w:r w:rsidR="004B7139" w:rsidRPr="00831573">
        <w:rPr>
          <w:lang w:val="en-GB"/>
        </w:rPr>
        <w:t xml:space="preserve">Human Rights </w:t>
      </w:r>
      <w:r w:rsidRPr="00831573">
        <w:rPr>
          <w:lang w:val="en-GB"/>
        </w:rPr>
        <w:t xml:space="preserve">Act (see </w:t>
      </w:r>
      <w:r w:rsidR="00E36332" w:rsidRPr="00831573">
        <w:rPr>
          <w:lang w:val="en-GB"/>
        </w:rPr>
        <w:t>paragraphs</w:t>
      </w:r>
      <w:r w:rsidR="00252242" w:rsidRPr="00831573">
        <w:rPr>
          <w:lang w:val="en-GB"/>
        </w:rPr>
        <w:t> </w:t>
      </w:r>
      <w:r w:rsidR="00E36332" w:rsidRPr="00831573">
        <w:rPr>
          <w:lang w:val="en-GB"/>
        </w:rPr>
        <w:fldChar w:fldCharType="begin"/>
      </w:r>
      <w:r w:rsidR="00E36332" w:rsidRPr="00831573">
        <w:rPr>
          <w:lang w:val="en-GB"/>
        </w:rPr>
        <w:instrText xml:space="preserve"> REF HRAstart \h  \* MERGEFORMAT </w:instrText>
      </w:r>
      <w:r w:rsidR="00E36332" w:rsidRPr="00831573">
        <w:rPr>
          <w:lang w:val="en-GB"/>
        </w:rPr>
      </w:r>
      <w:r w:rsidR="00E36332" w:rsidRPr="00831573">
        <w:rPr>
          <w:lang w:val="en-GB"/>
        </w:rPr>
        <w:fldChar w:fldCharType="separate"/>
      </w:r>
      <w:r w:rsidR="00831573" w:rsidRPr="00831573">
        <w:rPr>
          <w:lang w:val="en-GB"/>
        </w:rPr>
        <w:t>50</w:t>
      </w:r>
      <w:r w:rsidR="00E36332" w:rsidRPr="00831573">
        <w:rPr>
          <w:lang w:val="en-GB"/>
        </w:rPr>
        <w:fldChar w:fldCharType="end"/>
      </w:r>
      <w:r w:rsidR="00843272" w:rsidRPr="00831573">
        <w:rPr>
          <w:lang w:val="en-GB"/>
        </w:rPr>
        <w:noBreakHyphen/>
      </w:r>
      <w:r w:rsidR="008D1334" w:rsidRPr="00831573">
        <w:rPr>
          <w:lang w:val="en-GB"/>
        </w:rPr>
        <w:fldChar w:fldCharType="begin"/>
      </w:r>
      <w:r w:rsidR="008D1334" w:rsidRPr="00831573">
        <w:rPr>
          <w:lang w:val="en-GB"/>
        </w:rPr>
        <w:instrText xml:space="preserve"> REF HRAend \h </w:instrText>
      </w:r>
      <w:r w:rsidR="008D1334" w:rsidRPr="00831573">
        <w:rPr>
          <w:lang w:val="en-GB"/>
        </w:rPr>
      </w:r>
      <w:r w:rsidR="008D1334" w:rsidRPr="00831573">
        <w:rPr>
          <w:lang w:val="en-GB"/>
        </w:rPr>
        <w:fldChar w:fldCharType="separate"/>
      </w:r>
      <w:r w:rsidR="00831573" w:rsidRPr="00831573">
        <w:rPr>
          <w:noProof/>
          <w:lang w:val="en-GB"/>
        </w:rPr>
        <w:t>55</w:t>
      </w:r>
      <w:r w:rsidR="008D1334" w:rsidRPr="00831573">
        <w:rPr>
          <w:lang w:val="en-GB"/>
        </w:rPr>
        <w:fldChar w:fldCharType="end"/>
      </w:r>
      <w:r w:rsidRPr="00831573">
        <w:rPr>
          <w:lang w:val="en-GB"/>
        </w:rPr>
        <w:t xml:space="preserve"> above) incorporated Article 6 into the domestic law of the United Kingdom, any violation of Article 6 that occurred during his committal hearing automatically rendered his detention not </w:t>
      </w:r>
      <w:r w:rsidR="00CB49AA" w:rsidRPr="00831573">
        <w:rPr>
          <w:lang w:val="en-GB"/>
        </w:rPr>
        <w:t>“</w:t>
      </w:r>
      <w:r w:rsidRPr="00831573">
        <w:rPr>
          <w:lang w:val="en-GB"/>
        </w:rPr>
        <w:t xml:space="preserve">in accordance with </w:t>
      </w:r>
      <w:r w:rsidR="00F046A0" w:rsidRPr="00831573">
        <w:rPr>
          <w:lang w:val="en-GB"/>
        </w:rPr>
        <w:t xml:space="preserve">a procedure prescribed by </w:t>
      </w:r>
      <w:r w:rsidRPr="00831573">
        <w:rPr>
          <w:lang w:val="en-GB"/>
        </w:rPr>
        <w:t>law</w:t>
      </w:r>
      <w:r w:rsidR="00CB49AA" w:rsidRPr="00831573">
        <w:rPr>
          <w:lang w:val="en-GB"/>
        </w:rPr>
        <w:t>”</w:t>
      </w:r>
      <w:r w:rsidRPr="00831573">
        <w:rPr>
          <w:lang w:val="en-GB"/>
        </w:rPr>
        <w:t xml:space="preserve"> and therefore unlawful under Article 5</w:t>
      </w:r>
      <w:r w:rsidR="00831573" w:rsidRPr="00831573">
        <w:rPr>
          <w:lang w:val="en-GB"/>
        </w:rPr>
        <w:t xml:space="preserve"> </w:t>
      </w:r>
      <w:r w:rsidRPr="00831573">
        <w:rPr>
          <w:rFonts w:cstheme="minorHAnsi"/>
          <w:lang w:val="en-GB"/>
        </w:rPr>
        <w:t>§</w:t>
      </w:r>
      <w:r w:rsidRPr="00831573">
        <w:rPr>
          <w:lang w:val="en-GB"/>
        </w:rPr>
        <w:t xml:space="preserve"> 1. He </w:t>
      </w:r>
      <w:r w:rsidR="00904A15" w:rsidRPr="00831573">
        <w:rPr>
          <w:lang w:val="en-GB"/>
        </w:rPr>
        <w:t>relied on</w:t>
      </w:r>
      <w:r w:rsidRPr="00831573">
        <w:rPr>
          <w:lang w:val="en-GB"/>
        </w:rPr>
        <w:t xml:space="preserve"> </w:t>
      </w:r>
      <w:r w:rsidRPr="00831573">
        <w:rPr>
          <w:i/>
          <w:szCs w:val="24"/>
          <w:lang w:val="en-GB"/>
        </w:rPr>
        <w:t>Nakach v. the Netherlands</w:t>
      </w:r>
      <w:r w:rsidR="00297BE5" w:rsidRPr="00831573">
        <w:rPr>
          <w:szCs w:val="24"/>
          <w:lang w:val="en-GB"/>
        </w:rPr>
        <w:t>, no. 5379/02, §§ 40</w:t>
      </w:r>
      <w:r w:rsidR="00297BE5" w:rsidRPr="00831573">
        <w:rPr>
          <w:szCs w:val="24"/>
          <w:lang w:val="en-GB"/>
        </w:rPr>
        <w:noBreakHyphen/>
      </w:r>
      <w:r w:rsidRPr="00831573">
        <w:rPr>
          <w:szCs w:val="24"/>
          <w:lang w:val="en-GB"/>
        </w:rPr>
        <w:t>43, 30 June 2005</w:t>
      </w:r>
      <w:r w:rsidR="00904A15" w:rsidRPr="00831573">
        <w:rPr>
          <w:szCs w:val="24"/>
          <w:lang w:val="en-GB"/>
        </w:rPr>
        <w:t>;</w:t>
      </w:r>
      <w:r w:rsidRPr="00831573">
        <w:rPr>
          <w:lang w:val="en-GB"/>
        </w:rPr>
        <w:t xml:space="preserve"> </w:t>
      </w:r>
      <w:r w:rsidRPr="00831573">
        <w:rPr>
          <w:i/>
          <w:szCs w:val="24"/>
          <w:lang w:val="en-GB"/>
        </w:rPr>
        <w:t>Schenkel v. the Netherlands</w:t>
      </w:r>
      <w:r w:rsidRPr="00831573">
        <w:rPr>
          <w:szCs w:val="24"/>
          <w:lang w:val="en-GB"/>
        </w:rPr>
        <w:t>,</w:t>
      </w:r>
      <w:r w:rsidR="00E03F27" w:rsidRPr="00831573">
        <w:rPr>
          <w:szCs w:val="24"/>
          <w:lang w:val="en-GB"/>
        </w:rPr>
        <w:t xml:space="preserve"> </w:t>
      </w:r>
      <w:r w:rsidRPr="00831573">
        <w:rPr>
          <w:szCs w:val="24"/>
          <w:lang w:val="en-GB"/>
        </w:rPr>
        <w:t xml:space="preserve">no. 62015/00, </w:t>
      </w:r>
      <w:r w:rsidR="00073972" w:rsidRPr="00831573">
        <w:rPr>
          <w:lang w:val="en-GB"/>
        </w:rPr>
        <w:t>27 October</w:t>
      </w:r>
      <w:r w:rsidR="00E03F27" w:rsidRPr="00831573">
        <w:rPr>
          <w:lang w:val="en-GB"/>
        </w:rPr>
        <w:t xml:space="preserve"> </w:t>
      </w:r>
      <w:r w:rsidRPr="00831573">
        <w:rPr>
          <w:lang w:val="en-GB"/>
        </w:rPr>
        <w:t>2005</w:t>
      </w:r>
      <w:r w:rsidR="00904A15" w:rsidRPr="00831573">
        <w:rPr>
          <w:lang w:val="en-GB"/>
        </w:rPr>
        <w:t>;</w:t>
      </w:r>
      <w:r w:rsidRPr="00831573">
        <w:rPr>
          <w:lang w:val="en-GB"/>
        </w:rPr>
        <w:t xml:space="preserve"> and </w:t>
      </w:r>
      <w:r w:rsidRPr="00831573">
        <w:rPr>
          <w:i/>
          <w:lang w:val="en-GB"/>
        </w:rPr>
        <w:t>Bik v.</w:t>
      </w:r>
      <w:r w:rsidR="00E03F27" w:rsidRPr="00831573">
        <w:rPr>
          <w:i/>
          <w:lang w:val="en-GB"/>
        </w:rPr>
        <w:t xml:space="preserve"> </w:t>
      </w:r>
      <w:r w:rsidRPr="00831573">
        <w:rPr>
          <w:i/>
          <w:lang w:val="en-GB"/>
        </w:rPr>
        <w:t>Russia</w:t>
      </w:r>
      <w:r w:rsidRPr="00831573">
        <w:rPr>
          <w:lang w:val="en-GB"/>
        </w:rPr>
        <w:t>,</w:t>
      </w:r>
      <w:r w:rsidR="00E03F27" w:rsidRPr="00831573">
        <w:rPr>
          <w:lang w:val="en-GB"/>
        </w:rPr>
        <w:t xml:space="preserve"> </w:t>
      </w:r>
      <w:r w:rsidRPr="00831573">
        <w:rPr>
          <w:lang w:val="en-GB"/>
        </w:rPr>
        <w:t>no.</w:t>
      </w:r>
      <w:r w:rsidR="00E03F27" w:rsidRPr="00831573">
        <w:rPr>
          <w:lang w:val="en-GB"/>
        </w:rPr>
        <w:t xml:space="preserve"> </w:t>
      </w:r>
      <w:r w:rsidRPr="00831573">
        <w:rPr>
          <w:lang w:val="en-GB"/>
        </w:rPr>
        <w:t>26321/03</w:t>
      </w:r>
      <w:r w:rsidRPr="00831573">
        <w:rPr>
          <w:snapToGrid w:val="0"/>
          <w:lang w:val="en-GB"/>
        </w:rPr>
        <w:t>, 22 April 2010</w:t>
      </w:r>
      <w:r w:rsidRPr="00831573">
        <w:rPr>
          <w:lang w:val="en-GB"/>
        </w:rPr>
        <w:t>.</w:t>
      </w:r>
    </w:p>
    <w:p w:rsidR="009F00FC" w:rsidRPr="00831573" w:rsidRDefault="009F00F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67</w:t>
      </w:r>
      <w:r w:rsidRPr="00831573">
        <w:rPr>
          <w:lang w:val="en-GB"/>
        </w:rPr>
        <w:fldChar w:fldCharType="end"/>
      </w:r>
      <w:r w:rsidR="00E25249" w:rsidRPr="00831573">
        <w:rPr>
          <w:lang w:val="en-GB"/>
        </w:rPr>
        <w:t>.  </w:t>
      </w:r>
      <w:r w:rsidR="00872BAA" w:rsidRPr="00831573">
        <w:rPr>
          <w:lang w:val="en-GB"/>
        </w:rPr>
        <w:t xml:space="preserve">The applicant contended </w:t>
      </w:r>
      <w:r w:rsidR="00904A15" w:rsidRPr="00831573">
        <w:rPr>
          <w:lang w:val="en-GB"/>
        </w:rPr>
        <w:t xml:space="preserve">in the alternative </w:t>
      </w:r>
      <w:r w:rsidR="00872BAA" w:rsidRPr="00831573">
        <w:rPr>
          <w:lang w:val="en-GB"/>
        </w:rPr>
        <w:t>that t</w:t>
      </w:r>
      <w:r w:rsidRPr="00831573">
        <w:rPr>
          <w:lang w:val="en-GB"/>
        </w:rPr>
        <w:t xml:space="preserve">here had been a gross and obvious irregularity within the meaning of </w:t>
      </w:r>
      <w:r w:rsidRPr="00831573">
        <w:rPr>
          <w:i/>
          <w:szCs w:val="24"/>
          <w:lang w:val="en-GB"/>
        </w:rPr>
        <w:t>Lloyd and Others</w:t>
      </w:r>
      <w:r w:rsidRPr="00831573">
        <w:rPr>
          <w:szCs w:val="24"/>
          <w:lang w:val="en-GB"/>
        </w:rPr>
        <w:t>, cited above.</w:t>
      </w:r>
    </w:p>
    <w:p w:rsidR="009F00FC" w:rsidRPr="00831573" w:rsidRDefault="00874BD6" w:rsidP="00831573">
      <w:pPr>
        <w:pStyle w:val="ECHRHeading4"/>
        <w:rPr>
          <w:lang w:val="en-GB"/>
        </w:rPr>
      </w:pPr>
      <w:r w:rsidRPr="00831573">
        <w:rPr>
          <w:lang w:val="en-GB"/>
        </w:rPr>
        <w:t>(b)  </w:t>
      </w:r>
      <w:r w:rsidR="009F00FC" w:rsidRPr="00831573">
        <w:rPr>
          <w:lang w:val="en-GB"/>
        </w:rPr>
        <w:t>The Government</w:t>
      </w:r>
    </w:p>
    <w:bookmarkStart w:id="30" w:name="GovtSubsA5Start"/>
    <w:p w:rsidR="002B4402" w:rsidRPr="00831573" w:rsidRDefault="002B4402"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68</w:t>
      </w:r>
      <w:r w:rsidRPr="00831573">
        <w:rPr>
          <w:lang w:val="en-GB"/>
        </w:rPr>
        <w:fldChar w:fldCharType="end"/>
      </w:r>
      <w:bookmarkEnd w:id="30"/>
      <w:r w:rsidR="00E25249" w:rsidRPr="00831573">
        <w:rPr>
          <w:lang w:val="en-GB"/>
        </w:rPr>
        <w:t>.  </w:t>
      </w:r>
      <w:r w:rsidRPr="00831573">
        <w:rPr>
          <w:lang w:val="en-GB"/>
        </w:rPr>
        <w:t>The Government argued that the applicant</w:t>
      </w:r>
      <w:r w:rsidR="00831573" w:rsidRPr="00831573">
        <w:rPr>
          <w:lang w:val="en-GB"/>
        </w:rPr>
        <w:t>’</w:t>
      </w:r>
      <w:r w:rsidRPr="00831573">
        <w:rPr>
          <w:lang w:val="en-GB"/>
        </w:rPr>
        <w:t>s det</w:t>
      </w:r>
      <w:r w:rsidR="005605C6" w:rsidRPr="00831573">
        <w:rPr>
          <w:lang w:val="en-GB"/>
        </w:rPr>
        <w:t>ention was covered by Article</w:t>
      </w:r>
      <w:r w:rsidR="00E03F27" w:rsidRPr="00831573">
        <w:rPr>
          <w:lang w:val="en-GB"/>
        </w:rPr>
        <w:t xml:space="preserve"> </w:t>
      </w:r>
      <w:r w:rsidR="005605C6" w:rsidRPr="00831573">
        <w:rPr>
          <w:lang w:val="en-GB"/>
        </w:rPr>
        <w:t xml:space="preserve">5 </w:t>
      </w:r>
      <w:r w:rsidRPr="00831573">
        <w:rPr>
          <w:rFonts w:cstheme="minorHAnsi"/>
          <w:lang w:val="en-GB"/>
        </w:rPr>
        <w:t>§</w:t>
      </w:r>
      <w:r w:rsidR="00E03F27" w:rsidRPr="00831573">
        <w:rPr>
          <w:lang w:val="en-GB"/>
        </w:rPr>
        <w:t xml:space="preserve"> </w:t>
      </w:r>
      <w:r w:rsidRPr="00831573">
        <w:rPr>
          <w:lang w:val="en-GB"/>
        </w:rPr>
        <w:t>1</w:t>
      </w:r>
      <w:r w:rsidR="00E03F27" w:rsidRPr="00831573">
        <w:rPr>
          <w:lang w:val="en-GB"/>
        </w:rPr>
        <w:t xml:space="preserve"> </w:t>
      </w:r>
      <w:r w:rsidRPr="00831573">
        <w:rPr>
          <w:lang w:val="en-GB"/>
        </w:rPr>
        <w:t xml:space="preserve">(b) because he had been detained for non-compliance with an undertaking and a court order and/or the detention was to secure his compliance with the undertaking and court order. </w:t>
      </w:r>
      <w:r w:rsidR="00904A15" w:rsidRPr="00831573">
        <w:rPr>
          <w:lang w:val="en-GB"/>
        </w:rPr>
        <w:t>They relied on</w:t>
      </w:r>
      <w:r w:rsidRPr="00831573">
        <w:rPr>
          <w:lang w:val="en-GB"/>
        </w:rPr>
        <w:t xml:space="preserve"> </w:t>
      </w:r>
      <w:r w:rsidRPr="00831573">
        <w:rPr>
          <w:i/>
          <w:lang w:val="en-GB"/>
        </w:rPr>
        <w:t>Benham</w:t>
      </w:r>
      <w:r w:rsidR="00843272" w:rsidRPr="00831573">
        <w:rPr>
          <w:lang w:val="en-GB"/>
        </w:rPr>
        <w:t>,</w:t>
      </w:r>
      <w:r w:rsidRPr="00831573">
        <w:rPr>
          <w:lang w:val="en-GB"/>
        </w:rPr>
        <w:t xml:space="preserve"> </w:t>
      </w:r>
      <w:r w:rsidRPr="00831573">
        <w:rPr>
          <w:i/>
          <w:lang w:val="en-GB"/>
        </w:rPr>
        <w:t>Perks and Others</w:t>
      </w:r>
      <w:r w:rsidR="00843272" w:rsidRPr="00831573">
        <w:rPr>
          <w:lang w:val="en-GB"/>
        </w:rPr>
        <w:t>,</w:t>
      </w:r>
      <w:r w:rsidRPr="00831573">
        <w:rPr>
          <w:lang w:val="en-GB"/>
        </w:rPr>
        <w:t xml:space="preserve"> and </w:t>
      </w:r>
      <w:r w:rsidRPr="00831573">
        <w:rPr>
          <w:i/>
          <w:szCs w:val="24"/>
          <w:lang w:val="en-GB"/>
        </w:rPr>
        <w:t>Lloyd and Others</w:t>
      </w:r>
      <w:r w:rsidRPr="00831573">
        <w:rPr>
          <w:szCs w:val="24"/>
          <w:lang w:val="en-GB"/>
        </w:rPr>
        <w:t xml:space="preserve">, </w:t>
      </w:r>
      <w:r w:rsidR="00663199" w:rsidRPr="00831573">
        <w:rPr>
          <w:szCs w:val="24"/>
          <w:lang w:val="en-GB"/>
        </w:rPr>
        <w:t xml:space="preserve">all </w:t>
      </w:r>
      <w:r w:rsidRPr="00831573">
        <w:rPr>
          <w:szCs w:val="24"/>
          <w:lang w:val="en-GB"/>
        </w:rPr>
        <w:t>cited above.</w:t>
      </w:r>
    </w:p>
    <w:p w:rsidR="00256748" w:rsidRPr="00831573" w:rsidRDefault="0025674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69</w:t>
      </w:r>
      <w:r w:rsidRPr="00831573">
        <w:rPr>
          <w:lang w:val="en-GB"/>
        </w:rPr>
        <w:fldChar w:fldCharType="end"/>
      </w:r>
      <w:r w:rsidR="00CA6F81" w:rsidRPr="00831573">
        <w:rPr>
          <w:lang w:val="en-GB"/>
        </w:rPr>
        <w:t>.  </w:t>
      </w:r>
      <w:r w:rsidR="00CB49AA" w:rsidRPr="00831573">
        <w:rPr>
          <w:lang w:val="en-GB"/>
        </w:rPr>
        <w:t>In t</w:t>
      </w:r>
      <w:r w:rsidRPr="00831573">
        <w:rPr>
          <w:lang w:val="en-GB"/>
        </w:rPr>
        <w:t>he Government</w:t>
      </w:r>
      <w:r w:rsidR="00831573" w:rsidRPr="00831573">
        <w:rPr>
          <w:lang w:val="en-GB"/>
        </w:rPr>
        <w:t>’</w:t>
      </w:r>
      <w:r w:rsidR="00CB49AA" w:rsidRPr="00831573">
        <w:rPr>
          <w:lang w:val="en-GB"/>
        </w:rPr>
        <w:t xml:space="preserve">s submission, </w:t>
      </w:r>
      <w:r w:rsidRPr="00831573">
        <w:rPr>
          <w:lang w:val="en-GB"/>
        </w:rPr>
        <w:t>violation of the applicant</w:t>
      </w:r>
      <w:r w:rsidR="00831573" w:rsidRPr="00831573">
        <w:rPr>
          <w:lang w:val="en-GB"/>
        </w:rPr>
        <w:t>’</w:t>
      </w:r>
      <w:r w:rsidRPr="00831573">
        <w:rPr>
          <w:lang w:val="en-GB"/>
        </w:rPr>
        <w:t xml:space="preserve">s Article 6 rights did not necessarily mean that his detention was unlawful for the purpose of Article 5. </w:t>
      </w:r>
      <w:r w:rsidR="00663199" w:rsidRPr="00831573">
        <w:rPr>
          <w:lang w:val="en-GB"/>
        </w:rPr>
        <w:t>T</w:t>
      </w:r>
      <w:r w:rsidRPr="00831573">
        <w:rPr>
          <w:lang w:val="en-GB"/>
        </w:rPr>
        <w:t xml:space="preserve">hey </w:t>
      </w:r>
      <w:r w:rsidR="00977A76" w:rsidRPr="00831573">
        <w:rPr>
          <w:lang w:val="en-GB"/>
        </w:rPr>
        <w:t xml:space="preserve">relied on </w:t>
      </w:r>
      <w:r w:rsidRPr="00831573">
        <w:rPr>
          <w:i/>
          <w:lang w:val="en-GB"/>
        </w:rPr>
        <w:t>Benham</w:t>
      </w:r>
      <w:r w:rsidRPr="00831573">
        <w:rPr>
          <w:lang w:val="en-GB"/>
        </w:rPr>
        <w:t xml:space="preserve">, cited above, </w:t>
      </w:r>
      <w:r w:rsidR="00663199" w:rsidRPr="00831573">
        <w:rPr>
          <w:rFonts w:cstheme="minorHAnsi"/>
          <w:lang w:val="en-GB"/>
        </w:rPr>
        <w:t>§</w:t>
      </w:r>
      <w:r w:rsidR="00663199" w:rsidRPr="00831573">
        <w:rPr>
          <w:lang w:val="en-GB"/>
        </w:rPr>
        <w:t xml:space="preserve"> </w:t>
      </w:r>
      <w:r w:rsidR="00DD730B" w:rsidRPr="00831573">
        <w:rPr>
          <w:lang w:val="en-GB"/>
        </w:rPr>
        <w:t xml:space="preserve">47 </w:t>
      </w:r>
      <w:r w:rsidRPr="00831573">
        <w:rPr>
          <w:lang w:val="en-GB"/>
        </w:rPr>
        <w:t xml:space="preserve">and </w:t>
      </w:r>
      <w:r w:rsidRPr="00831573">
        <w:rPr>
          <w:i/>
          <w:lang w:val="en-GB"/>
        </w:rPr>
        <w:t>Lloyd and Others</w:t>
      </w:r>
      <w:r w:rsidRPr="00831573">
        <w:rPr>
          <w:lang w:val="en-GB"/>
        </w:rPr>
        <w:t xml:space="preserve">, cited above, </w:t>
      </w:r>
      <w:r w:rsidRPr="00831573">
        <w:rPr>
          <w:rFonts w:cstheme="minorHAnsi"/>
          <w:lang w:val="en-GB"/>
        </w:rPr>
        <w:t>§</w:t>
      </w:r>
      <w:r w:rsidRPr="00831573">
        <w:rPr>
          <w:lang w:val="en-GB"/>
        </w:rPr>
        <w:t xml:space="preserve"> 114. Only if a violation of Article 6 amounted to a “flagrant disregard” of the applicant</w:t>
      </w:r>
      <w:r w:rsidR="00831573" w:rsidRPr="00831573">
        <w:rPr>
          <w:lang w:val="en-GB"/>
        </w:rPr>
        <w:t>’</w:t>
      </w:r>
      <w:r w:rsidRPr="00831573">
        <w:rPr>
          <w:lang w:val="en-GB"/>
        </w:rPr>
        <w:t>s rights or led to a “gross or obvious irregularity” would the resultant deprivation of liberty be rendered unlawful.</w:t>
      </w:r>
    </w:p>
    <w:p w:rsidR="00A20A0B" w:rsidRPr="00831573" w:rsidRDefault="00A20A0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70</w:t>
      </w:r>
      <w:r w:rsidRPr="00831573">
        <w:rPr>
          <w:lang w:val="en-GB"/>
        </w:rPr>
        <w:fldChar w:fldCharType="end"/>
      </w:r>
      <w:r w:rsidRPr="00831573">
        <w:rPr>
          <w:lang w:val="en-GB"/>
        </w:rPr>
        <w:t>.  The Government adopted Mr Justice Blake</w:t>
      </w:r>
      <w:r w:rsidR="00831573" w:rsidRPr="00831573">
        <w:rPr>
          <w:lang w:val="en-GB"/>
        </w:rPr>
        <w:t>’</w:t>
      </w:r>
      <w:r w:rsidRPr="00831573">
        <w:rPr>
          <w:lang w:val="en-GB"/>
        </w:rPr>
        <w:t xml:space="preserve">s conclusion that there was no irregularity and his reasons for arriving at it (see paragraphs </w:t>
      </w:r>
      <w:r w:rsidRPr="00831573">
        <w:rPr>
          <w:lang w:val="en-GB"/>
        </w:rPr>
        <w:fldChar w:fldCharType="begin"/>
      </w:r>
      <w:r w:rsidRPr="00831573">
        <w:rPr>
          <w:lang w:val="en-GB"/>
        </w:rPr>
        <w:instrText xml:space="preserve"> REF HCGaOPIStart \h </w:instrText>
      </w:r>
      <w:r w:rsidRPr="00831573">
        <w:rPr>
          <w:lang w:val="en-GB"/>
        </w:rPr>
      </w:r>
      <w:r w:rsidRPr="00831573">
        <w:rPr>
          <w:lang w:val="en-GB"/>
        </w:rPr>
        <w:fldChar w:fldCharType="separate"/>
      </w:r>
      <w:r w:rsidR="00831573" w:rsidRPr="00831573">
        <w:rPr>
          <w:noProof/>
          <w:lang w:val="en-GB"/>
        </w:rPr>
        <w:t>32</w:t>
      </w:r>
      <w:r w:rsidRPr="00831573">
        <w:rPr>
          <w:lang w:val="en-GB"/>
        </w:rPr>
        <w:fldChar w:fldCharType="end"/>
      </w:r>
      <w:r w:rsidRPr="00831573">
        <w:rPr>
          <w:lang w:val="en-GB"/>
        </w:rPr>
        <w:t>-</w:t>
      </w:r>
      <w:r w:rsidRPr="00831573">
        <w:rPr>
          <w:lang w:val="en-GB"/>
        </w:rPr>
        <w:fldChar w:fldCharType="begin"/>
      </w:r>
      <w:r w:rsidRPr="00831573">
        <w:rPr>
          <w:lang w:val="en-GB"/>
        </w:rPr>
        <w:instrText xml:space="preserve"> REF HCGaOPIEnd \h </w:instrText>
      </w:r>
      <w:r w:rsidRPr="00831573">
        <w:rPr>
          <w:lang w:val="en-GB"/>
        </w:rPr>
      </w:r>
      <w:r w:rsidRPr="00831573">
        <w:rPr>
          <w:lang w:val="en-GB"/>
        </w:rPr>
        <w:fldChar w:fldCharType="separate"/>
      </w:r>
      <w:r w:rsidR="00831573" w:rsidRPr="00831573">
        <w:rPr>
          <w:noProof/>
          <w:lang w:val="en-GB"/>
        </w:rPr>
        <w:t>33</w:t>
      </w:r>
      <w:r w:rsidRPr="00831573">
        <w:rPr>
          <w:lang w:val="en-GB"/>
        </w:rPr>
        <w:fldChar w:fldCharType="end"/>
      </w:r>
      <w:r w:rsidRPr="00831573">
        <w:rPr>
          <w:lang w:val="en-GB"/>
        </w:rPr>
        <w:t xml:space="preserve"> above).</w:t>
      </w:r>
    </w:p>
    <w:p w:rsidR="00634452" w:rsidRPr="00831573" w:rsidRDefault="00AE1F98" w:rsidP="00831573">
      <w:pPr>
        <w:pStyle w:val="ECHRPara"/>
        <w:rPr>
          <w:rFonts w:cstheme="minorHAns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71</w:t>
      </w:r>
      <w:r w:rsidRPr="00831573">
        <w:rPr>
          <w:lang w:val="en-GB"/>
        </w:rPr>
        <w:fldChar w:fldCharType="end"/>
      </w:r>
      <w:r w:rsidR="00AF2B85" w:rsidRPr="00831573">
        <w:rPr>
          <w:lang w:val="en-GB"/>
        </w:rPr>
        <w:t>.</w:t>
      </w:r>
      <w:r w:rsidR="00CA6F81" w:rsidRPr="00831573">
        <w:rPr>
          <w:lang w:val="en-GB"/>
        </w:rPr>
        <w:t>  </w:t>
      </w:r>
      <w:r w:rsidR="00977A76" w:rsidRPr="00831573">
        <w:rPr>
          <w:lang w:val="en-GB"/>
        </w:rPr>
        <w:t xml:space="preserve">Referring to </w:t>
      </w:r>
      <w:r w:rsidR="00977A76" w:rsidRPr="00831573">
        <w:rPr>
          <w:i/>
          <w:lang w:val="en-GB"/>
        </w:rPr>
        <w:t>Winterwerp v. the Netherlands</w:t>
      </w:r>
      <w:r w:rsidR="00977A76" w:rsidRPr="00831573">
        <w:rPr>
          <w:lang w:val="en-GB"/>
        </w:rPr>
        <w:t>, 24 October 1979, § 40, Series A no. 33, t</w:t>
      </w:r>
      <w:r w:rsidR="00AF2B85" w:rsidRPr="00831573">
        <w:rPr>
          <w:lang w:val="en-GB"/>
        </w:rPr>
        <w:t xml:space="preserve">he Government </w:t>
      </w:r>
      <w:r w:rsidR="00CB49AA" w:rsidRPr="00831573">
        <w:rPr>
          <w:lang w:val="en-GB"/>
        </w:rPr>
        <w:t xml:space="preserve">contended </w:t>
      </w:r>
      <w:r w:rsidR="00AF2B85" w:rsidRPr="00831573">
        <w:rPr>
          <w:lang w:val="en-GB"/>
        </w:rPr>
        <w:t xml:space="preserve">that </w:t>
      </w:r>
      <w:r w:rsidR="00977A76" w:rsidRPr="00831573">
        <w:rPr>
          <w:lang w:val="en-GB"/>
        </w:rPr>
        <w:t xml:space="preserve">the Court should apply </w:t>
      </w:r>
      <w:r w:rsidR="00AF2B85" w:rsidRPr="00831573">
        <w:rPr>
          <w:lang w:val="en-GB"/>
        </w:rPr>
        <w:t xml:space="preserve">a margin of appreciation </w:t>
      </w:r>
      <w:r w:rsidR="00977A76" w:rsidRPr="00831573">
        <w:rPr>
          <w:lang w:val="en-GB"/>
        </w:rPr>
        <w:t>when it</w:t>
      </w:r>
      <w:r w:rsidR="00AF2B85" w:rsidRPr="00831573">
        <w:rPr>
          <w:lang w:val="en-GB"/>
        </w:rPr>
        <w:t xml:space="preserve"> </w:t>
      </w:r>
      <w:r w:rsidR="008630A6" w:rsidRPr="00831573">
        <w:rPr>
          <w:lang w:val="en-GB"/>
        </w:rPr>
        <w:t xml:space="preserve">considered </w:t>
      </w:r>
      <w:r w:rsidR="00AF2B85" w:rsidRPr="00831573">
        <w:rPr>
          <w:lang w:val="en-GB"/>
        </w:rPr>
        <w:t xml:space="preserve">whether there </w:t>
      </w:r>
      <w:r w:rsidR="008630A6" w:rsidRPr="00831573">
        <w:rPr>
          <w:lang w:val="en-GB"/>
        </w:rPr>
        <w:t xml:space="preserve">had </w:t>
      </w:r>
      <w:r w:rsidR="00AF2B85" w:rsidRPr="00831573">
        <w:rPr>
          <w:lang w:val="en-GB"/>
        </w:rPr>
        <w:t>been</w:t>
      </w:r>
      <w:r w:rsidR="00E03F27" w:rsidRPr="00831573">
        <w:rPr>
          <w:lang w:val="en-GB"/>
        </w:rPr>
        <w:t xml:space="preserve"> compliance with domestic law.</w:t>
      </w:r>
    </w:p>
    <w:bookmarkStart w:id="31" w:name="GovtSubsA5End"/>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72</w:t>
      </w:r>
      <w:r w:rsidRPr="00831573">
        <w:rPr>
          <w:lang w:val="en-GB"/>
        </w:rPr>
        <w:fldChar w:fldCharType="end"/>
      </w:r>
      <w:bookmarkEnd w:id="31"/>
      <w:r w:rsidR="00CA6F81" w:rsidRPr="00831573">
        <w:rPr>
          <w:lang w:val="en-GB"/>
        </w:rPr>
        <w:t>.  </w:t>
      </w:r>
      <w:r w:rsidR="000F49BF" w:rsidRPr="00831573">
        <w:rPr>
          <w:lang w:val="en-GB"/>
        </w:rPr>
        <w:t>Finally</w:t>
      </w:r>
      <w:r w:rsidR="008630A6" w:rsidRPr="00831573">
        <w:rPr>
          <w:lang w:val="en-GB"/>
        </w:rPr>
        <w:t>,</w:t>
      </w:r>
      <w:r w:rsidR="000F49BF" w:rsidRPr="00831573">
        <w:rPr>
          <w:lang w:val="en-GB"/>
        </w:rPr>
        <w:t xml:space="preserve"> the Government argued that the detention was not arbitrary because the </w:t>
      </w:r>
      <w:r w:rsidR="00F046A0" w:rsidRPr="00831573">
        <w:rPr>
          <w:lang w:val="en-GB"/>
        </w:rPr>
        <w:t xml:space="preserve">County Court </w:t>
      </w:r>
      <w:r w:rsidR="000F49BF" w:rsidRPr="00831573">
        <w:rPr>
          <w:lang w:val="en-GB"/>
        </w:rPr>
        <w:t>judge had not acted in bad faith or neglected to attempt to apply the law correctly.</w:t>
      </w:r>
    </w:p>
    <w:p w:rsidR="00690DD5" w:rsidRPr="00831573" w:rsidRDefault="0083614B" w:rsidP="00831573">
      <w:pPr>
        <w:pStyle w:val="ECHRHeading3"/>
        <w:rPr>
          <w:lang w:val="en-GB"/>
        </w:rPr>
      </w:pPr>
      <w:r w:rsidRPr="00831573">
        <w:rPr>
          <w:lang w:val="en-GB"/>
        </w:rPr>
        <w:t>2</w:t>
      </w:r>
      <w:r w:rsidR="00CA6F81" w:rsidRPr="00831573">
        <w:rPr>
          <w:lang w:val="en-GB"/>
        </w:rPr>
        <w:t>.  </w:t>
      </w:r>
      <w:r w:rsidR="000F49BF" w:rsidRPr="00831573">
        <w:rPr>
          <w:lang w:val="en-GB"/>
        </w:rPr>
        <w:t>The Court</w:t>
      </w:r>
      <w:r w:rsidR="00831573" w:rsidRPr="00831573">
        <w:rPr>
          <w:lang w:val="en-GB"/>
        </w:rPr>
        <w:t>’</w:t>
      </w:r>
      <w:r w:rsidR="000F49BF" w:rsidRPr="00831573">
        <w:rPr>
          <w:lang w:val="en-GB"/>
        </w:rPr>
        <w:t>s assessment</w:t>
      </w:r>
    </w:p>
    <w:p w:rsidR="00F6138A" w:rsidRPr="00831573" w:rsidRDefault="0083614B" w:rsidP="00831573">
      <w:pPr>
        <w:pStyle w:val="ECHRHeading4"/>
        <w:rPr>
          <w:lang w:val="en-GB"/>
        </w:rPr>
      </w:pPr>
      <w:r w:rsidRPr="00831573">
        <w:rPr>
          <w:lang w:val="en-GB"/>
        </w:rPr>
        <w:t>(</w:t>
      </w:r>
      <w:r w:rsidR="002E0050" w:rsidRPr="00831573">
        <w:rPr>
          <w:lang w:val="en-GB"/>
        </w:rPr>
        <w:t>a</w:t>
      </w:r>
      <w:r w:rsidRPr="00831573">
        <w:rPr>
          <w:lang w:val="en-GB"/>
        </w:rPr>
        <w:t>)</w:t>
      </w:r>
      <w:r w:rsidR="00874BD6" w:rsidRPr="00831573">
        <w:rPr>
          <w:lang w:val="en-GB"/>
        </w:rPr>
        <w:t>  </w:t>
      </w:r>
      <w:r w:rsidR="000F49BF" w:rsidRPr="00831573">
        <w:rPr>
          <w:lang w:val="en-GB"/>
        </w:rPr>
        <w:t>The applicability of Article 5 § 1 (a) and/or Article 5 § 1 (b)</w:t>
      </w:r>
    </w:p>
    <w:bookmarkStart w:id="32" w:name="A5OneGeneral"/>
    <w:p w:rsidR="00D24436" w:rsidRPr="00831573" w:rsidRDefault="00AE1F98" w:rsidP="00831573">
      <w:pPr>
        <w:pStyle w:val="ECHRPara"/>
        <w:rPr>
          <w:rFonts w:asciiTheme="majorHAnsi" w:eastAsiaTheme="majorEastAsia" w:hAnsiTheme="majorHAnsi" w:cstheme="majorBidi"/>
          <w:bCs/>
          <w: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73</w:t>
      </w:r>
      <w:r w:rsidRPr="00831573">
        <w:rPr>
          <w:lang w:val="en-GB"/>
        </w:rPr>
        <w:fldChar w:fldCharType="end"/>
      </w:r>
      <w:bookmarkEnd w:id="32"/>
      <w:r w:rsidR="008C7824" w:rsidRPr="00831573">
        <w:rPr>
          <w:lang w:val="en-GB"/>
        </w:rPr>
        <w:t>.  </w:t>
      </w:r>
      <w:r w:rsidR="000F49BF" w:rsidRPr="00831573">
        <w:rPr>
          <w:lang w:val="en-GB"/>
        </w:rPr>
        <w:t xml:space="preserve">Article 5 § 1 contains an exhaustive list of permissible grounds of deprivation of liberty. </w:t>
      </w:r>
      <w:r w:rsidR="00D24436" w:rsidRPr="00831573">
        <w:rPr>
          <w:lang w:val="en-GB"/>
        </w:rPr>
        <w:t>T</w:t>
      </w:r>
      <w:r w:rsidR="000F49BF" w:rsidRPr="00831573">
        <w:rPr>
          <w:lang w:val="en-GB"/>
        </w:rPr>
        <w:t>he applicability of one ground does not necessarily preclude that of another</w:t>
      </w:r>
      <w:r w:rsidR="008630A6" w:rsidRPr="00831573">
        <w:rPr>
          <w:lang w:val="en-GB"/>
        </w:rPr>
        <w:t>. D</w:t>
      </w:r>
      <w:r w:rsidR="000F49BF" w:rsidRPr="00831573">
        <w:rPr>
          <w:lang w:val="en-GB"/>
        </w:rPr>
        <w:t>etention may, depending on the circumstances, be justified under more than one sub</w:t>
      </w:r>
      <w:r w:rsidR="000F49BF" w:rsidRPr="00831573">
        <w:rPr>
          <w:lang w:val="en-GB"/>
        </w:rPr>
        <w:noBreakHyphen/>
        <w:t xml:space="preserve">paragraph (see, for example, </w:t>
      </w:r>
      <w:r w:rsidR="000F49BF" w:rsidRPr="00831573">
        <w:rPr>
          <w:i/>
          <w:lang w:val="en-GB"/>
        </w:rPr>
        <w:t>Eriksen v.</w:t>
      </w:r>
      <w:r w:rsidR="00CB6A74" w:rsidRPr="00831573">
        <w:rPr>
          <w:i/>
          <w:lang w:val="en-GB"/>
        </w:rPr>
        <w:t> </w:t>
      </w:r>
      <w:r w:rsidR="000F49BF" w:rsidRPr="00831573">
        <w:rPr>
          <w:i/>
          <w:lang w:val="en-GB"/>
        </w:rPr>
        <w:t>Norway</w:t>
      </w:r>
      <w:r w:rsidR="000F49BF" w:rsidRPr="00831573">
        <w:rPr>
          <w:lang w:val="en-GB"/>
        </w:rPr>
        <w:t xml:space="preserve">, 27 May 1997, § 76, Reports 1997-III and </w:t>
      </w:r>
      <w:r w:rsidR="000F49BF" w:rsidRPr="00831573">
        <w:rPr>
          <w:i/>
          <w:lang w:val="en-GB"/>
        </w:rPr>
        <w:t>Gatt v.</w:t>
      </w:r>
      <w:r w:rsidR="00E03F27" w:rsidRPr="00831573">
        <w:rPr>
          <w:i/>
          <w:lang w:val="en-GB"/>
        </w:rPr>
        <w:t xml:space="preserve"> </w:t>
      </w:r>
      <w:r w:rsidR="000F49BF" w:rsidRPr="00831573">
        <w:rPr>
          <w:i/>
          <w:lang w:val="en-GB"/>
        </w:rPr>
        <w:t>Malta</w:t>
      </w:r>
      <w:r w:rsidR="000F49BF" w:rsidRPr="00831573">
        <w:rPr>
          <w:lang w:val="en-GB"/>
        </w:rPr>
        <w:t>,</w:t>
      </w:r>
      <w:r w:rsidR="008C7824" w:rsidRPr="00831573">
        <w:rPr>
          <w:lang w:val="en-GB"/>
        </w:rPr>
        <w:t xml:space="preserve"> </w:t>
      </w:r>
      <w:r w:rsidR="000F49BF" w:rsidRPr="00831573">
        <w:rPr>
          <w:lang w:val="en-GB"/>
        </w:rPr>
        <w:t>no.</w:t>
      </w:r>
      <w:r w:rsidR="00CB6A74" w:rsidRPr="00831573">
        <w:rPr>
          <w:lang w:val="en-GB"/>
        </w:rPr>
        <w:t> </w:t>
      </w:r>
      <w:r w:rsidR="000F49BF" w:rsidRPr="00831573">
        <w:rPr>
          <w:lang w:val="en-GB"/>
        </w:rPr>
        <w:t xml:space="preserve">28221/08, § 35, ECHR 2010). In </w:t>
      </w:r>
      <w:r w:rsidR="000F49BF" w:rsidRPr="00831573">
        <w:rPr>
          <w:i/>
          <w:lang w:val="en-GB"/>
        </w:rPr>
        <w:t>Gatt</w:t>
      </w:r>
      <w:r w:rsidR="000F49BF" w:rsidRPr="00831573">
        <w:rPr>
          <w:lang w:val="en-GB"/>
        </w:rPr>
        <w:t>,</w:t>
      </w:r>
      <w:r w:rsidR="008630A6" w:rsidRPr="00831573">
        <w:rPr>
          <w:lang w:val="en-GB"/>
        </w:rPr>
        <w:t xml:space="preserve"> </w:t>
      </w:r>
      <w:r w:rsidR="008630A6" w:rsidRPr="00831573">
        <w:rPr>
          <w:rFonts w:cstheme="minorHAnsi"/>
          <w:lang w:val="en-GB"/>
        </w:rPr>
        <w:t>§</w:t>
      </w:r>
      <w:r w:rsidR="008630A6" w:rsidRPr="00831573">
        <w:rPr>
          <w:lang w:val="en-GB"/>
        </w:rPr>
        <w:t xml:space="preserve"> 35,</w:t>
      </w:r>
      <w:r w:rsidR="000F49BF" w:rsidRPr="00831573">
        <w:rPr>
          <w:lang w:val="en-GB"/>
        </w:rPr>
        <w:t xml:space="preserve"> the Court </w:t>
      </w:r>
      <w:r w:rsidR="0049799D" w:rsidRPr="00831573">
        <w:rPr>
          <w:lang w:val="en-GB"/>
        </w:rPr>
        <w:t>decid</w:t>
      </w:r>
      <w:r w:rsidR="000F49BF" w:rsidRPr="00831573">
        <w:rPr>
          <w:lang w:val="en-GB"/>
        </w:rPr>
        <w:t xml:space="preserve">ed that the same reasoning </w:t>
      </w:r>
      <w:r w:rsidR="008630A6" w:rsidRPr="00831573">
        <w:rPr>
          <w:lang w:val="en-GB"/>
        </w:rPr>
        <w:t xml:space="preserve">applied </w:t>
      </w:r>
      <w:r w:rsidR="000F49BF" w:rsidRPr="00831573">
        <w:rPr>
          <w:lang w:val="en-GB"/>
        </w:rPr>
        <w:t>to separate limbs of the same sub-paragraph.</w:t>
      </w:r>
    </w:p>
    <w:bookmarkStart w:id="33" w:name="A5OneNarrowInt"/>
    <w:p w:rsidR="000F49BF" w:rsidRPr="00831573" w:rsidRDefault="00D24436"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74</w:t>
      </w:r>
      <w:r w:rsidRPr="00831573">
        <w:rPr>
          <w:lang w:val="en-GB"/>
        </w:rPr>
        <w:fldChar w:fldCharType="end"/>
      </w:r>
      <w:bookmarkEnd w:id="33"/>
      <w:r w:rsidRPr="00831573">
        <w:rPr>
          <w:lang w:val="en-GB"/>
        </w:rPr>
        <w:t>.  </w:t>
      </w:r>
      <w:r w:rsidR="00432343" w:rsidRPr="00831573">
        <w:rPr>
          <w:lang w:val="en-GB"/>
        </w:rPr>
        <w:t xml:space="preserve">Only a narrow interpretation of the permissible grounds </w:t>
      </w:r>
      <w:r w:rsidRPr="00831573">
        <w:rPr>
          <w:lang w:val="en-GB"/>
        </w:rPr>
        <w:t xml:space="preserve">is </w:t>
      </w:r>
      <w:r w:rsidR="00432343" w:rsidRPr="00831573">
        <w:rPr>
          <w:lang w:val="en-GB"/>
        </w:rPr>
        <w:t xml:space="preserve">consistent with the aim of Article 5 </w:t>
      </w:r>
      <w:r w:rsidR="00432343" w:rsidRPr="00831573">
        <w:rPr>
          <w:rFonts w:cstheme="minorHAnsi"/>
          <w:lang w:val="en-GB"/>
        </w:rPr>
        <w:t>§</w:t>
      </w:r>
      <w:r w:rsidR="00432343" w:rsidRPr="00831573">
        <w:rPr>
          <w:lang w:val="en-GB"/>
        </w:rPr>
        <w:t xml:space="preserve"> 1, namely to ensure that no one </w:t>
      </w:r>
      <w:r w:rsidR="00DD730B" w:rsidRPr="00831573">
        <w:rPr>
          <w:lang w:val="en-GB"/>
        </w:rPr>
        <w:t xml:space="preserve">is </w:t>
      </w:r>
      <w:r w:rsidR="00432343" w:rsidRPr="00831573">
        <w:rPr>
          <w:lang w:val="en-GB"/>
        </w:rPr>
        <w:t>arbitrarily deprived of his liberty (</w:t>
      </w:r>
      <w:r w:rsidRPr="00831573">
        <w:rPr>
          <w:lang w:val="en-GB"/>
        </w:rPr>
        <w:t xml:space="preserve">see </w:t>
      </w:r>
      <w:r w:rsidR="00432343" w:rsidRPr="00831573">
        <w:rPr>
          <w:i/>
          <w:lang w:val="en-GB"/>
        </w:rPr>
        <w:t>Ostendorf v.</w:t>
      </w:r>
      <w:r w:rsidR="00CB6A74" w:rsidRPr="00831573">
        <w:rPr>
          <w:i/>
          <w:lang w:val="en-GB"/>
        </w:rPr>
        <w:t xml:space="preserve"> </w:t>
      </w:r>
      <w:r w:rsidR="00432343" w:rsidRPr="00831573">
        <w:rPr>
          <w:i/>
          <w:lang w:val="en-GB"/>
        </w:rPr>
        <w:t>Germany</w:t>
      </w:r>
      <w:r w:rsidR="00432343" w:rsidRPr="00831573">
        <w:rPr>
          <w:lang w:val="en-GB"/>
        </w:rPr>
        <w:t>,</w:t>
      </w:r>
      <w:r w:rsidR="00CB6A74" w:rsidRPr="00831573">
        <w:rPr>
          <w:lang w:val="en-GB"/>
        </w:rPr>
        <w:t xml:space="preserve"> </w:t>
      </w:r>
      <w:r w:rsidR="00432343" w:rsidRPr="00831573">
        <w:rPr>
          <w:lang w:val="en-GB"/>
        </w:rPr>
        <w:t>no.</w:t>
      </w:r>
      <w:r w:rsidR="00CB6A74" w:rsidRPr="00831573">
        <w:rPr>
          <w:lang w:val="en-GB"/>
        </w:rPr>
        <w:t xml:space="preserve"> </w:t>
      </w:r>
      <w:r w:rsidR="00432343" w:rsidRPr="00831573">
        <w:rPr>
          <w:lang w:val="en-GB"/>
        </w:rPr>
        <w:t>15598/08</w:t>
      </w:r>
      <w:r w:rsidR="00432343" w:rsidRPr="00831573">
        <w:rPr>
          <w:snapToGrid w:val="0"/>
          <w:lang w:val="en-GB"/>
        </w:rPr>
        <w:t>,</w:t>
      </w:r>
      <w:r w:rsidR="00CB6A74" w:rsidRPr="00831573">
        <w:rPr>
          <w:snapToGrid w:val="0"/>
          <w:lang w:val="en-GB"/>
        </w:rPr>
        <w:t xml:space="preserve"> </w:t>
      </w:r>
      <w:r w:rsidR="00432343" w:rsidRPr="00831573">
        <w:rPr>
          <w:snapToGrid w:val="0"/>
          <w:lang w:val="en-GB"/>
        </w:rPr>
        <w:t>§</w:t>
      </w:r>
      <w:r w:rsidR="00CB6A74" w:rsidRPr="00831573">
        <w:rPr>
          <w:snapToGrid w:val="0"/>
          <w:lang w:val="en-GB"/>
        </w:rPr>
        <w:t> </w:t>
      </w:r>
      <w:r w:rsidR="00432343" w:rsidRPr="00831573">
        <w:rPr>
          <w:snapToGrid w:val="0"/>
          <w:lang w:val="en-GB"/>
        </w:rPr>
        <w:t>65,</w:t>
      </w:r>
      <w:r w:rsidR="00831573" w:rsidRPr="00831573">
        <w:rPr>
          <w:snapToGrid w:val="0"/>
          <w:lang w:val="en-GB"/>
        </w:rPr>
        <w:t xml:space="preserve"> </w:t>
      </w:r>
      <w:r w:rsidR="00432343" w:rsidRPr="00831573">
        <w:rPr>
          <w:lang w:val="en-GB"/>
        </w:rPr>
        <w:t>7</w:t>
      </w:r>
      <w:r w:rsidR="00CB6A74" w:rsidRPr="00831573">
        <w:rPr>
          <w:snapToGrid w:val="0"/>
          <w:lang w:val="en-GB"/>
        </w:rPr>
        <w:t> </w:t>
      </w:r>
      <w:r w:rsidR="00432343" w:rsidRPr="00831573">
        <w:rPr>
          <w:snapToGrid w:val="0"/>
          <w:lang w:val="en-GB"/>
        </w:rPr>
        <w:t>March 2013</w:t>
      </w:r>
      <w:r w:rsidR="00432343" w:rsidRPr="00831573">
        <w:rPr>
          <w:lang w:val="en-GB"/>
        </w:rPr>
        <w:t>)</w:t>
      </w:r>
      <w:r w:rsidR="00E03F27" w:rsidRPr="00831573">
        <w:rPr>
          <w:lang w:val="en-GB"/>
        </w:rPr>
        <w:t>.</w:t>
      </w:r>
    </w:p>
    <w:bookmarkStart w:id="34" w:name="A51adefinition"/>
    <w:p w:rsidR="00B33EAD" w:rsidRPr="00831573" w:rsidRDefault="00DA1FE1"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75</w:t>
      </w:r>
      <w:r w:rsidRPr="00831573">
        <w:rPr>
          <w:lang w:val="en-GB"/>
        </w:rPr>
        <w:fldChar w:fldCharType="end"/>
      </w:r>
      <w:bookmarkEnd w:id="34"/>
      <w:r w:rsidR="008C7824" w:rsidRPr="00831573">
        <w:rPr>
          <w:lang w:val="en-GB"/>
        </w:rPr>
        <w:t>.  </w:t>
      </w:r>
      <w:r w:rsidR="00B33EAD" w:rsidRPr="00831573">
        <w:rPr>
          <w:lang w:val="en-GB"/>
        </w:rPr>
        <w:t xml:space="preserve">In </w:t>
      </w:r>
      <w:r w:rsidR="00B33EAD" w:rsidRPr="00831573">
        <w:rPr>
          <w:i/>
          <w:lang w:val="en-GB"/>
        </w:rPr>
        <w:t>Engel and Others v. the Netherlands</w:t>
      </w:r>
      <w:r w:rsidR="00B33EAD" w:rsidRPr="00831573">
        <w:rPr>
          <w:lang w:val="en-GB"/>
        </w:rPr>
        <w:t>, 8</w:t>
      </w:r>
      <w:r w:rsidR="00E03F27" w:rsidRPr="00831573">
        <w:rPr>
          <w:lang w:val="en-GB"/>
        </w:rPr>
        <w:t xml:space="preserve"> </w:t>
      </w:r>
      <w:r w:rsidR="00B33EAD" w:rsidRPr="00831573">
        <w:rPr>
          <w:lang w:val="en-GB"/>
        </w:rPr>
        <w:t>June 1976, § 68, Series A no. 22</w:t>
      </w:r>
      <w:r w:rsidR="00CB6A74" w:rsidRPr="00831573">
        <w:rPr>
          <w:lang w:val="en-GB"/>
        </w:rPr>
        <w:t>,</w:t>
      </w:r>
      <w:r w:rsidR="00B33EAD" w:rsidRPr="00831573">
        <w:rPr>
          <w:lang w:val="en-GB"/>
        </w:rPr>
        <w:t xml:space="preserve"> the Court decided that Article 5</w:t>
      </w:r>
      <w:r w:rsidR="00E03F27" w:rsidRPr="00831573">
        <w:rPr>
          <w:lang w:val="en-GB"/>
        </w:rPr>
        <w:t xml:space="preserve"> </w:t>
      </w:r>
      <w:r w:rsidR="00B33EAD" w:rsidRPr="00831573">
        <w:rPr>
          <w:lang w:val="en-GB"/>
        </w:rPr>
        <w:t xml:space="preserve">§ 1 (a) did not make any distinction based on the </w:t>
      </w:r>
      <w:r w:rsidR="00401E68" w:rsidRPr="00831573">
        <w:rPr>
          <w:lang w:val="en-GB"/>
        </w:rPr>
        <w:t xml:space="preserve">domestic </w:t>
      </w:r>
      <w:r w:rsidR="00B33EAD" w:rsidRPr="00831573">
        <w:rPr>
          <w:lang w:val="en-GB"/>
        </w:rPr>
        <w:t xml:space="preserve">legal character of the offence of which a person had been found guilty. Accordingly, </w:t>
      </w:r>
      <w:r w:rsidR="00977A76" w:rsidRPr="00831573">
        <w:rPr>
          <w:lang w:val="en-GB"/>
        </w:rPr>
        <w:t>Article 5</w:t>
      </w:r>
      <w:r w:rsidR="00E03F27" w:rsidRPr="00831573">
        <w:rPr>
          <w:lang w:val="en-GB"/>
        </w:rPr>
        <w:t xml:space="preserve"> </w:t>
      </w:r>
      <w:r w:rsidR="00977A76" w:rsidRPr="00831573">
        <w:rPr>
          <w:lang w:val="en-GB"/>
        </w:rPr>
        <w:t>§ 1 (a)</w:t>
      </w:r>
      <w:r w:rsidR="00B33EAD" w:rsidRPr="00831573">
        <w:rPr>
          <w:lang w:val="en-GB"/>
        </w:rPr>
        <w:t xml:space="preserve"> applied to any </w:t>
      </w:r>
      <w:r w:rsidR="00CB6A74" w:rsidRPr="00831573">
        <w:rPr>
          <w:lang w:val="en-GB"/>
        </w:rPr>
        <w:t>“</w:t>
      </w:r>
      <w:r w:rsidR="00B33EAD" w:rsidRPr="00831573">
        <w:rPr>
          <w:lang w:val="en-GB"/>
        </w:rPr>
        <w:t>conviction</w:t>
      </w:r>
      <w:r w:rsidR="00CB6A74" w:rsidRPr="00831573">
        <w:rPr>
          <w:lang w:val="en-GB"/>
        </w:rPr>
        <w:t>”</w:t>
      </w:r>
      <w:r w:rsidR="00B33EAD" w:rsidRPr="00831573">
        <w:rPr>
          <w:lang w:val="en-GB"/>
        </w:rPr>
        <w:t>, whether the conviction was classified as criminal or disciplinary by the internal law of the State in question</w:t>
      </w:r>
      <w:r w:rsidR="00401E68" w:rsidRPr="00831573">
        <w:rPr>
          <w:lang w:val="en-GB"/>
        </w:rPr>
        <w:t xml:space="preserve"> (see also more recently </w:t>
      </w:r>
      <w:r w:rsidR="00401E68" w:rsidRPr="00831573">
        <w:rPr>
          <w:i/>
          <w:lang w:val="en-GB"/>
        </w:rPr>
        <w:t>Galstyan v.</w:t>
      </w:r>
      <w:r w:rsidR="00E03F27" w:rsidRPr="00831573">
        <w:rPr>
          <w:i/>
          <w:lang w:val="en-GB"/>
        </w:rPr>
        <w:t xml:space="preserve"> </w:t>
      </w:r>
      <w:r w:rsidR="00401E68" w:rsidRPr="00831573">
        <w:rPr>
          <w:i/>
          <w:lang w:val="en-GB"/>
        </w:rPr>
        <w:t>Armenia</w:t>
      </w:r>
      <w:r w:rsidR="00401E68" w:rsidRPr="00831573">
        <w:rPr>
          <w:lang w:val="en-GB"/>
        </w:rPr>
        <w:t>, no. 26986/03, § 46, 15 November 2007)</w:t>
      </w:r>
      <w:r w:rsidR="00B33EAD" w:rsidRPr="00831573">
        <w:rPr>
          <w:lang w:val="en-GB"/>
        </w:rPr>
        <w:t>.</w:t>
      </w:r>
    </w:p>
    <w:bookmarkStart w:id="35" w:name="A51aAutonomous"/>
    <w:p w:rsidR="000F49BF" w:rsidRPr="00831573" w:rsidRDefault="00B33EA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76</w:t>
      </w:r>
      <w:r w:rsidRPr="00831573">
        <w:rPr>
          <w:lang w:val="en-GB"/>
        </w:rPr>
        <w:fldChar w:fldCharType="end"/>
      </w:r>
      <w:bookmarkEnd w:id="35"/>
      <w:r w:rsidRPr="00831573">
        <w:rPr>
          <w:lang w:val="en-GB"/>
        </w:rPr>
        <w:t>. </w:t>
      </w:r>
      <w:r w:rsidR="008C7824" w:rsidRPr="00831573">
        <w:rPr>
          <w:lang w:val="en-GB"/>
        </w:rPr>
        <w:t> </w:t>
      </w:r>
      <w:r w:rsidR="00B9031B" w:rsidRPr="00831573">
        <w:rPr>
          <w:lang w:val="en-GB"/>
        </w:rPr>
        <w:t>“Conviction” has an autonomous meaning for the purposes of Article 5</w:t>
      </w:r>
      <w:r w:rsidR="00E03F27" w:rsidRPr="00831573">
        <w:rPr>
          <w:lang w:val="en-GB"/>
        </w:rPr>
        <w:t xml:space="preserve"> </w:t>
      </w:r>
      <w:r w:rsidR="00B9031B" w:rsidRPr="00831573">
        <w:rPr>
          <w:lang w:val="en-GB"/>
        </w:rPr>
        <w:t xml:space="preserve">§ 1 (a) </w:t>
      </w:r>
      <w:r w:rsidR="008630A6" w:rsidRPr="00831573">
        <w:rPr>
          <w:lang w:val="en-GB"/>
        </w:rPr>
        <w:t>(</w:t>
      </w:r>
      <w:r w:rsidR="00401E68" w:rsidRPr="00831573">
        <w:rPr>
          <w:i/>
          <w:lang w:val="en-GB"/>
        </w:rPr>
        <w:t>Engel</w:t>
      </w:r>
      <w:r w:rsidR="00B9031B" w:rsidRPr="00831573">
        <w:rPr>
          <w:lang w:val="en-GB"/>
        </w:rPr>
        <w:t>,</w:t>
      </w:r>
      <w:r w:rsidR="00401E68" w:rsidRPr="00831573">
        <w:rPr>
          <w:lang w:val="en-GB"/>
        </w:rPr>
        <w:t xml:space="preserve"> cited above,</w:t>
      </w:r>
      <w:r w:rsidR="00B9031B" w:rsidRPr="00831573">
        <w:rPr>
          <w:lang w:val="en-GB"/>
        </w:rPr>
        <w:t xml:space="preserve"> § 68</w:t>
      </w:r>
      <w:r w:rsidR="008630A6" w:rsidRPr="00831573">
        <w:rPr>
          <w:lang w:val="en-GB"/>
        </w:rPr>
        <w:t>)</w:t>
      </w:r>
      <w:r w:rsidR="00B9031B" w:rsidRPr="00831573">
        <w:rPr>
          <w:lang w:val="en-GB"/>
        </w:rPr>
        <w:t>.</w:t>
      </w:r>
      <w:r w:rsidRPr="00831573">
        <w:rPr>
          <w:lang w:val="en-GB"/>
        </w:rPr>
        <w:t xml:space="preserve"> </w:t>
      </w:r>
      <w:r w:rsidR="008630A6" w:rsidRPr="00831573">
        <w:rPr>
          <w:lang w:val="en-GB"/>
        </w:rPr>
        <w:t xml:space="preserve">The Court has </w:t>
      </w:r>
      <w:r w:rsidR="00B9031B" w:rsidRPr="00831573">
        <w:rPr>
          <w:lang w:val="en-GB"/>
        </w:rPr>
        <w:t xml:space="preserve">interpreted </w:t>
      </w:r>
      <w:r w:rsidR="008630A6" w:rsidRPr="00831573">
        <w:rPr>
          <w:lang w:val="en-GB"/>
        </w:rPr>
        <w:t xml:space="preserve">“conviction” </w:t>
      </w:r>
      <w:r w:rsidR="00B9031B" w:rsidRPr="00831573">
        <w:rPr>
          <w:lang w:val="en-GB"/>
        </w:rPr>
        <w:t>as requiring both a finding of guilt after it has been established in accordance with the law that there has been an offence and the imposition of a penalty or other measure involving deprivation of liberty</w:t>
      </w:r>
      <w:r w:rsidR="008630A6" w:rsidRPr="00831573">
        <w:rPr>
          <w:lang w:val="en-GB"/>
        </w:rPr>
        <w:t xml:space="preserve"> (</w:t>
      </w:r>
      <w:r w:rsidR="00B9031B" w:rsidRPr="00831573">
        <w:rPr>
          <w:lang w:val="en-GB"/>
        </w:rPr>
        <w:t xml:space="preserve">see </w:t>
      </w:r>
      <w:r w:rsidR="00B9031B" w:rsidRPr="00831573">
        <w:rPr>
          <w:i/>
          <w:lang w:val="en-GB"/>
        </w:rPr>
        <w:t>James,</w:t>
      </w:r>
      <w:r w:rsidR="008D1334" w:rsidRPr="00831573">
        <w:rPr>
          <w:i/>
          <w:lang w:val="en-GB"/>
        </w:rPr>
        <w:t> </w:t>
      </w:r>
      <w:r w:rsidR="00B9031B" w:rsidRPr="00831573">
        <w:rPr>
          <w:i/>
          <w:lang w:val="en-GB"/>
        </w:rPr>
        <w:t>Wells and Lee v. the United Kingdom</w:t>
      </w:r>
      <w:r w:rsidR="00B9031B" w:rsidRPr="00831573">
        <w:rPr>
          <w:lang w:val="en-GB"/>
        </w:rPr>
        <w:t>, nos. 25119/09, 57715/09 and 57877/09</w:t>
      </w:r>
      <w:r w:rsidR="00B9031B" w:rsidRPr="00831573">
        <w:rPr>
          <w:snapToGrid w:val="0"/>
          <w:lang w:val="en-GB"/>
        </w:rPr>
        <w:t xml:space="preserve">, § 189, 18 September 2012 and </w:t>
      </w:r>
      <w:r w:rsidR="00B9031B" w:rsidRPr="00831573">
        <w:rPr>
          <w:i/>
          <w:lang w:val="en-GB"/>
        </w:rPr>
        <w:t>Del Rio Prada</w:t>
      </w:r>
      <w:r w:rsidR="00B9031B" w:rsidRPr="00831573">
        <w:rPr>
          <w:lang w:val="en-GB"/>
        </w:rPr>
        <w:t xml:space="preserve"> </w:t>
      </w:r>
      <w:r w:rsidR="00B9031B" w:rsidRPr="00831573">
        <w:rPr>
          <w:i/>
          <w:lang w:val="en-GB"/>
        </w:rPr>
        <w:t xml:space="preserve">v. Spain </w:t>
      </w:r>
      <w:r w:rsidR="00B9031B" w:rsidRPr="00831573">
        <w:rPr>
          <w:lang w:val="en-GB"/>
        </w:rPr>
        <w:t>[GC],</w:t>
      </w:r>
      <w:r w:rsidR="00E03F27" w:rsidRPr="00831573">
        <w:rPr>
          <w:lang w:val="en-GB"/>
        </w:rPr>
        <w:t xml:space="preserve"> </w:t>
      </w:r>
      <w:r w:rsidR="00B9031B" w:rsidRPr="00831573">
        <w:rPr>
          <w:lang w:val="en-GB"/>
        </w:rPr>
        <w:t>no.</w:t>
      </w:r>
      <w:r w:rsidR="00CB6A74" w:rsidRPr="00831573">
        <w:rPr>
          <w:lang w:val="en-GB"/>
        </w:rPr>
        <w:t> </w:t>
      </w:r>
      <w:r w:rsidR="00B9031B" w:rsidRPr="00831573">
        <w:rPr>
          <w:lang w:val="en-GB"/>
        </w:rPr>
        <w:t>42750/09</w:t>
      </w:r>
      <w:r w:rsidR="00B9031B" w:rsidRPr="00831573">
        <w:rPr>
          <w:snapToGrid w:val="0"/>
          <w:lang w:val="en-GB"/>
        </w:rPr>
        <w:t xml:space="preserve">, § 123, </w:t>
      </w:r>
      <w:r w:rsidR="00B9031B" w:rsidRPr="00831573">
        <w:rPr>
          <w:lang w:val="en-GB"/>
        </w:rPr>
        <w:t>ECHR 2013</w:t>
      </w:r>
      <w:r w:rsidR="008630A6" w:rsidRPr="00831573">
        <w:rPr>
          <w:lang w:val="en-GB"/>
        </w:rPr>
        <w:t>)</w:t>
      </w:r>
      <w:r w:rsidR="00B9031B" w:rsidRPr="00831573">
        <w:rPr>
          <w:lang w:val="en-GB"/>
        </w:rPr>
        <w:t>.</w:t>
      </w:r>
    </w:p>
    <w:p w:rsidR="00EF4492" w:rsidRPr="00831573" w:rsidRDefault="00EF4492" w:rsidP="00831573">
      <w:pPr>
        <w:pStyle w:val="ECHRPara"/>
        <w:rPr>
          <w: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77</w:t>
      </w:r>
      <w:r w:rsidRPr="00831573">
        <w:rPr>
          <w:lang w:val="en-GB"/>
        </w:rPr>
        <w:fldChar w:fldCharType="end"/>
      </w:r>
      <w:r w:rsidR="008C7824" w:rsidRPr="00831573">
        <w:rPr>
          <w:lang w:val="en-GB"/>
        </w:rPr>
        <w:t>.  </w:t>
      </w:r>
      <w:r w:rsidR="00F12954" w:rsidRPr="00831573">
        <w:rPr>
          <w:lang w:val="en-GB"/>
        </w:rPr>
        <w:t>Under the first limb of Article 5 § 1 (b)</w:t>
      </w:r>
      <w:r w:rsidR="00EE5121" w:rsidRPr="00831573">
        <w:rPr>
          <w:lang w:val="en-GB"/>
        </w:rPr>
        <w:t>, as</w:t>
      </w:r>
      <w:r w:rsidR="00F12954" w:rsidRPr="00831573">
        <w:rPr>
          <w:lang w:val="en-GB"/>
        </w:rPr>
        <w:t xml:space="preserve"> the Court has explained </w:t>
      </w:r>
      <w:r w:rsidR="00DD730B" w:rsidRPr="00831573">
        <w:rPr>
          <w:lang w:val="en-GB"/>
        </w:rPr>
        <w:t>in its case-law</w:t>
      </w:r>
      <w:r w:rsidR="00EE5121" w:rsidRPr="00831573">
        <w:rPr>
          <w:lang w:val="en-GB"/>
        </w:rPr>
        <w:t>,</w:t>
      </w:r>
      <w:r w:rsidR="00DD730B" w:rsidRPr="00831573">
        <w:rPr>
          <w:lang w:val="en-GB"/>
        </w:rPr>
        <w:t xml:space="preserve"> </w:t>
      </w:r>
      <w:r w:rsidR="00F12954" w:rsidRPr="00831573">
        <w:rPr>
          <w:lang w:val="en-GB"/>
        </w:rPr>
        <w:t>a</w:t>
      </w:r>
      <w:r w:rsidR="005B2C6B" w:rsidRPr="00831573">
        <w:rPr>
          <w:lang w:val="en-GB"/>
        </w:rPr>
        <w:t xml:space="preserve"> person arrested or detained </w:t>
      </w:r>
      <w:r w:rsidR="00A70C84" w:rsidRPr="00831573">
        <w:rPr>
          <w:lang w:val="en-GB"/>
        </w:rPr>
        <w:t xml:space="preserve">for “non-compliance” with </w:t>
      </w:r>
      <w:r w:rsidR="005B2C6B" w:rsidRPr="00831573">
        <w:rPr>
          <w:lang w:val="en-GB"/>
        </w:rPr>
        <w:t>a</w:t>
      </w:r>
      <w:r w:rsidR="00A70C84" w:rsidRPr="00831573">
        <w:rPr>
          <w:lang w:val="en-GB"/>
        </w:rPr>
        <w:t xml:space="preserve"> “lawful order of a court” </w:t>
      </w:r>
      <w:r w:rsidR="005B2C6B" w:rsidRPr="00831573">
        <w:rPr>
          <w:lang w:val="en-GB"/>
        </w:rPr>
        <w:t>must have</w:t>
      </w:r>
      <w:r w:rsidR="00A70C84" w:rsidRPr="00831573">
        <w:rPr>
          <w:lang w:val="en-GB"/>
        </w:rPr>
        <w:t xml:space="preserve"> had an opportunity to comply with such an order and have failed to do so (see </w:t>
      </w:r>
      <w:r w:rsidR="005B2C6B" w:rsidRPr="00831573">
        <w:rPr>
          <w:i/>
          <w:lang w:val="en-GB"/>
        </w:rPr>
        <w:t>Beiere v. Latvia</w:t>
      </w:r>
      <w:r w:rsidR="005B2C6B" w:rsidRPr="00831573">
        <w:rPr>
          <w:lang w:val="en-GB"/>
        </w:rPr>
        <w:t>, no. 30954/05</w:t>
      </w:r>
      <w:r w:rsidR="005B2C6B" w:rsidRPr="00831573">
        <w:rPr>
          <w:snapToGrid w:val="0"/>
          <w:szCs w:val="24"/>
          <w:lang w:val="en-GB"/>
        </w:rPr>
        <w:t xml:space="preserve">, § 49, 29 November 2011 and </w:t>
      </w:r>
      <w:r w:rsidR="005B2C6B" w:rsidRPr="00831573">
        <w:rPr>
          <w:i/>
          <w:lang w:val="en-GB"/>
        </w:rPr>
        <w:t>O.G.</w:t>
      </w:r>
      <w:r w:rsidR="005B2C6B" w:rsidRPr="00831573">
        <w:rPr>
          <w:lang w:val="en-GB"/>
        </w:rPr>
        <w:t xml:space="preserve"> </w:t>
      </w:r>
      <w:r w:rsidR="005B2C6B" w:rsidRPr="00831573">
        <w:rPr>
          <w:i/>
          <w:lang w:val="en-GB"/>
        </w:rPr>
        <w:t>v. Latvia</w:t>
      </w:r>
      <w:r w:rsidR="005B2C6B" w:rsidRPr="00831573">
        <w:rPr>
          <w:lang w:val="en-GB"/>
        </w:rPr>
        <w:t>, no. 66095/09</w:t>
      </w:r>
      <w:r w:rsidR="005B2C6B" w:rsidRPr="00831573">
        <w:rPr>
          <w:snapToGrid w:val="0"/>
          <w:lang w:val="en-GB"/>
        </w:rPr>
        <w:t>, § 88, 23 September 2014</w:t>
      </w:r>
      <w:r w:rsidR="00E03F27" w:rsidRPr="00831573">
        <w:rPr>
          <w:lang w:val="en-GB"/>
        </w:rPr>
        <w:t>).</w:t>
      </w:r>
    </w:p>
    <w:p w:rsidR="00E72D2F" w:rsidRPr="00831573" w:rsidRDefault="00AF30E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78</w:t>
      </w:r>
      <w:r w:rsidRPr="00831573">
        <w:rPr>
          <w:lang w:val="en-GB"/>
        </w:rPr>
        <w:fldChar w:fldCharType="end"/>
      </w:r>
      <w:r w:rsidR="008C7824" w:rsidRPr="00831573">
        <w:rPr>
          <w:lang w:val="en-GB"/>
        </w:rPr>
        <w:t>.  </w:t>
      </w:r>
      <w:r w:rsidR="00977A76" w:rsidRPr="00831573">
        <w:rPr>
          <w:lang w:val="en-GB"/>
        </w:rPr>
        <w:t>A</w:t>
      </w:r>
      <w:r w:rsidRPr="00831573">
        <w:rPr>
          <w:lang w:val="en-GB"/>
        </w:rPr>
        <w:t xml:space="preserve">s regards the </w:t>
      </w:r>
      <w:r w:rsidR="00E72D2F" w:rsidRPr="00831573">
        <w:rPr>
          <w:lang w:val="en-GB"/>
        </w:rPr>
        <w:t>aim</w:t>
      </w:r>
      <w:r w:rsidRPr="00831573">
        <w:rPr>
          <w:lang w:val="en-GB"/>
        </w:rPr>
        <w:t xml:space="preserve"> of the detention under the first limb of Article</w:t>
      </w:r>
      <w:r w:rsidR="00977A76" w:rsidRPr="00831573">
        <w:rPr>
          <w:lang w:val="en-GB"/>
        </w:rPr>
        <w:t> </w:t>
      </w:r>
      <w:r w:rsidRPr="00831573">
        <w:rPr>
          <w:lang w:val="en-GB"/>
        </w:rPr>
        <w:t>5</w:t>
      </w:r>
      <w:r w:rsidR="00831573" w:rsidRPr="00831573">
        <w:rPr>
          <w:lang w:val="en-GB"/>
        </w:rPr>
        <w:t xml:space="preserve"> </w:t>
      </w:r>
      <w:r w:rsidRPr="00831573">
        <w:rPr>
          <w:lang w:val="en-GB"/>
        </w:rPr>
        <w:t>§</w:t>
      </w:r>
      <w:r w:rsidR="00977A76" w:rsidRPr="00831573">
        <w:rPr>
          <w:lang w:val="en-GB"/>
        </w:rPr>
        <w:t> </w:t>
      </w:r>
      <w:r w:rsidRPr="00831573">
        <w:rPr>
          <w:lang w:val="en-GB"/>
        </w:rPr>
        <w:t>1 (b), the Court observes that</w:t>
      </w:r>
      <w:r w:rsidR="00E72D2F" w:rsidRPr="00831573">
        <w:rPr>
          <w:lang w:val="en-GB"/>
        </w:rPr>
        <w:t xml:space="preserve"> in </w:t>
      </w:r>
      <w:r w:rsidR="00E72D2F" w:rsidRPr="00831573">
        <w:rPr>
          <w:i/>
          <w:lang w:val="en-GB"/>
        </w:rPr>
        <w:t>Gatt</w:t>
      </w:r>
      <w:r w:rsidR="00E72D2F" w:rsidRPr="00831573">
        <w:rPr>
          <w:lang w:val="en-GB"/>
        </w:rPr>
        <w:t xml:space="preserve">, cited above, the </w:t>
      </w:r>
      <w:r w:rsidR="00EE5121" w:rsidRPr="00831573">
        <w:rPr>
          <w:lang w:val="en-GB"/>
        </w:rPr>
        <w:t xml:space="preserve">respondent </w:t>
      </w:r>
      <w:r w:rsidR="00E72D2F" w:rsidRPr="00831573">
        <w:rPr>
          <w:lang w:val="en-GB"/>
        </w:rPr>
        <w:t>Government</w:t>
      </w:r>
      <w:r w:rsidR="00831573" w:rsidRPr="00831573">
        <w:rPr>
          <w:lang w:val="en-GB"/>
        </w:rPr>
        <w:t>’</w:t>
      </w:r>
      <w:r w:rsidR="00E72D2F" w:rsidRPr="00831573">
        <w:rPr>
          <w:lang w:val="en-GB"/>
        </w:rPr>
        <w:t xml:space="preserve">s argument </w:t>
      </w:r>
      <w:r w:rsidR="00EE5121" w:rsidRPr="00831573">
        <w:rPr>
          <w:lang w:val="en-GB"/>
        </w:rPr>
        <w:t xml:space="preserve">in that case </w:t>
      </w:r>
      <w:r w:rsidR="00CA28BA" w:rsidRPr="00831573">
        <w:rPr>
          <w:lang w:val="en-GB"/>
        </w:rPr>
        <w:t>clearly indicated</w:t>
      </w:r>
      <w:r w:rsidR="00E72D2F" w:rsidRPr="00831573">
        <w:rPr>
          <w:lang w:val="en-GB"/>
        </w:rPr>
        <w:t xml:space="preserve"> that the purpose of the relevant detention involved a punitive element (ibid., § 33). In its </w:t>
      </w:r>
      <w:r w:rsidR="00E67357" w:rsidRPr="00831573">
        <w:rPr>
          <w:lang w:val="en-GB"/>
        </w:rPr>
        <w:t xml:space="preserve">own </w:t>
      </w:r>
      <w:r w:rsidR="00E72D2F" w:rsidRPr="00831573">
        <w:rPr>
          <w:lang w:val="en-GB"/>
        </w:rPr>
        <w:t>subsequent analysis</w:t>
      </w:r>
      <w:r w:rsidR="006B61EE" w:rsidRPr="00831573">
        <w:rPr>
          <w:lang w:val="en-GB"/>
        </w:rPr>
        <w:t xml:space="preserve"> (ibid., §§ 37-44)</w:t>
      </w:r>
      <w:r w:rsidR="00E72D2F" w:rsidRPr="00831573">
        <w:rPr>
          <w:lang w:val="en-GB"/>
        </w:rPr>
        <w:t xml:space="preserve">, the Court </w:t>
      </w:r>
      <w:r w:rsidR="00430449" w:rsidRPr="00831573">
        <w:rPr>
          <w:lang w:val="en-GB"/>
        </w:rPr>
        <w:t>decided</w:t>
      </w:r>
      <w:r w:rsidR="006B61EE" w:rsidRPr="00831573">
        <w:rPr>
          <w:lang w:val="en-GB"/>
        </w:rPr>
        <w:t xml:space="preserve"> that the first limb applied.</w:t>
      </w:r>
      <w:r w:rsidR="007A1E41" w:rsidRPr="00831573">
        <w:rPr>
          <w:lang w:val="en-GB"/>
        </w:rPr>
        <w:t xml:space="preserve"> Accordingly</w:t>
      </w:r>
      <w:r w:rsidR="00CA28BA" w:rsidRPr="00831573">
        <w:rPr>
          <w:lang w:val="en-GB"/>
        </w:rPr>
        <w:t>,</w:t>
      </w:r>
      <w:r w:rsidR="007A1E41" w:rsidRPr="00831573">
        <w:rPr>
          <w:lang w:val="en-GB"/>
        </w:rPr>
        <w:t xml:space="preserve"> the Court accepted that punishment was a permissible aim of the detention.</w:t>
      </w:r>
    </w:p>
    <w:p w:rsidR="00F67A0A" w:rsidRPr="00831573" w:rsidRDefault="000510D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79</w:t>
      </w:r>
      <w:r w:rsidRPr="00831573">
        <w:rPr>
          <w:lang w:val="en-GB"/>
        </w:rPr>
        <w:fldChar w:fldCharType="end"/>
      </w:r>
      <w:r w:rsidRPr="00831573">
        <w:rPr>
          <w:lang w:val="en-GB"/>
        </w:rPr>
        <w:t>.</w:t>
      </w:r>
      <w:r w:rsidR="008C7824" w:rsidRPr="00831573">
        <w:rPr>
          <w:lang w:val="en-GB"/>
        </w:rPr>
        <w:t>  </w:t>
      </w:r>
      <w:r w:rsidR="00E67357" w:rsidRPr="00831573">
        <w:rPr>
          <w:lang w:val="en-GB"/>
        </w:rPr>
        <w:t>T</w:t>
      </w:r>
      <w:r w:rsidRPr="00831573">
        <w:rPr>
          <w:lang w:val="en-GB"/>
        </w:rPr>
        <w:t xml:space="preserve">he requirements </w:t>
      </w:r>
      <w:r w:rsidR="00D101B0" w:rsidRPr="00831573">
        <w:rPr>
          <w:lang w:val="en-GB"/>
        </w:rPr>
        <w:t>of the second limb o</w:t>
      </w:r>
      <w:r w:rsidR="00F67A0A" w:rsidRPr="00831573">
        <w:rPr>
          <w:lang w:val="en-GB"/>
        </w:rPr>
        <w:t xml:space="preserve">f </w:t>
      </w:r>
      <w:r w:rsidR="00E67357" w:rsidRPr="00831573">
        <w:rPr>
          <w:lang w:val="en-GB"/>
        </w:rPr>
        <w:t xml:space="preserve">Article 5 § 1 (b) were considered </w:t>
      </w:r>
      <w:r w:rsidR="00F67A0A" w:rsidRPr="00831573">
        <w:rPr>
          <w:lang w:val="en-GB"/>
        </w:rPr>
        <w:t>in detail</w:t>
      </w:r>
      <w:r w:rsidR="00E67357" w:rsidRPr="00831573">
        <w:rPr>
          <w:lang w:val="en-GB"/>
        </w:rPr>
        <w:t xml:space="preserve"> in </w:t>
      </w:r>
      <w:r w:rsidR="00E67357" w:rsidRPr="00831573">
        <w:rPr>
          <w:i/>
          <w:lang w:val="en-GB"/>
        </w:rPr>
        <w:t>Ostendorf</w:t>
      </w:r>
      <w:r w:rsidR="00E67357" w:rsidRPr="00831573">
        <w:rPr>
          <w:lang w:val="en-GB"/>
        </w:rPr>
        <w:t>, cited above</w:t>
      </w:r>
      <w:r w:rsidR="00F67A0A" w:rsidRPr="00831573">
        <w:rPr>
          <w:lang w:val="en-GB"/>
        </w:rPr>
        <w:t>.</w:t>
      </w:r>
      <w:r w:rsidR="00E03F27" w:rsidRPr="00831573">
        <w:rPr>
          <w:lang w:val="en-GB"/>
        </w:rPr>
        <w:t xml:space="preserve"> </w:t>
      </w:r>
      <w:r w:rsidR="00F67A0A" w:rsidRPr="00831573">
        <w:rPr>
          <w:lang w:val="en-GB"/>
        </w:rPr>
        <w:t>Referring</w:t>
      </w:r>
      <w:r w:rsidR="00B94C92" w:rsidRPr="00831573">
        <w:rPr>
          <w:lang w:val="en-GB"/>
        </w:rPr>
        <w:t>,</w:t>
      </w:r>
      <w:r w:rsidR="00F67A0A" w:rsidRPr="00831573">
        <w:rPr>
          <w:lang w:val="en-GB"/>
        </w:rPr>
        <w:t xml:space="preserve"> </w:t>
      </w:r>
      <w:r w:rsidR="00F67A0A" w:rsidRPr="00831573">
        <w:rPr>
          <w:i/>
          <w:lang w:val="en-GB"/>
        </w:rPr>
        <w:t>inter alia</w:t>
      </w:r>
      <w:r w:rsidR="00B94C92" w:rsidRPr="00831573">
        <w:rPr>
          <w:lang w:val="en-GB"/>
        </w:rPr>
        <w:t>,</w:t>
      </w:r>
      <w:r w:rsidR="00F67A0A" w:rsidRPr="00831573">
        <w:rPr>
          <w:i/>
          <w:lang w:val="en-GB"/>
        </w:rPr>
        <w:t xml:space="preserve"> </w:t>
      </w:r>
      <w:r w:rsidR="00F67A0A" w:rsidRPr="00831573">
        <w:rPr>
          <w:lang w:val="en-GB"/>
        </w:rPr>
        <w:t xml:space="preserve">to </w:t>
      </w:r>
      <w:r w:rsidR="00F67A0A" w:rsidRPr="00831573">
        <w:rPr>
          <w:i/>
          <w:lang w:val="en-GB"/>
        </w:rPr>
        <w:t>Gatt</w:t>
      </w:r>
      <w:r w:rsidR="00F67A0A" w:rsidRPr="00831573">
        <w:rPr>
          <w:lang w:val="en-GB"/>
        </w:rPr>
        <w:t xml:space="preserve">, cited above, § 46, the Court </w:t>
      </w:r>
      <w:r w:rsidR="00E67357" w:rsidRPr="00831573">
        <w:rPr>
          <w:lang w:val="en-GB"/>
        </w:rPr>
        <w:t xml:space="preserve">held </w:t>
      </w:r>
      <w:r w:rsidR="00F67A0A" w:rsidRPr="00831573">
        <w:rPr>
          <w:lang w:val="en-GB"/>
        </w:rPr>
        <w:t>that</w:t>
      </w:r>
      <w:r w:rsidR="00E67357" w:rsidRPr="00831573">
        <w:rPr>
          <w:lang w:val="en-GB"/>
        </w:rPr>
        <w:t>,</w:t>
      </w:r>
      <w:r w:rsidR="00F67A0A" w:rsidRPr="00831573">
        <w:rPr>
          <w:lang w:val="en-GB"/>
        </w:rPr>
        <w:t xml:space="preserve"> in order to be covered by </w:t>
      </w:r>
      <w:r w:rsidR="00E67357" w:rsidRPr="00831573">
        <w:rPr>
          <w:lang w:val="en-GB"/>
        </w:rPr>
        <w:t>that provision</w:t>
      </w:r>
      <w:r w:rsidR="00F67A0A" w:rsidRPr="00831573">
        <w:rPr>
          <w:lang w:val="en-GB"/>
        </w:rPr>
        <w:t>, the arrest and detention had to aim at</w:t>
      </w:r>
      <w:r w:rsidR="00B94C92" w:rsidRPr="00831573">
        <w:rPr>
          <w:lang w:val="en-GB"/>
        </w:rPr>
        <w:t>,</w:t>
      </w:r>
      <w:r w:rsidR="00F67A0A" w:rsidRPr="00831573">
        <w:rPr>
          <w:lang w:val="en-GB"/>
        </w:rPr>
        <w:t xml:space="preserve"> or directly contribute to</w:t>
      </w:r>
      <w:r w:rsidR="00B94C92" w:rsidRPr="00831573">
        <w:rPr>
          <w:lang w:val="en-GB"/>
        </w:rPr>
        <w:t>,</w:t>
      </w:r>
      <w:r w:rsidR="00F67A0A" w:rsidRPr="00831573">
        <w:rPr>
          <w:lang w:val="en-GB"/>
        </w:rPr>
        <w:t xml:space="preserve"> securing the fulfilment of the obligation and not be punitive in character. If </w:t>
      </w:r>
      <w:r w:rsidR="00F12954" w:rsidRPr="00831573">
        <w:rPr>
          <w:lang w:val="en-GB"/>
        </w:rPr>
        <w:t xml:space="preserve">the second limb of </w:t>
      </w:r>
      <w:r w:rsidR="00F67A0A" w:rsidRPr="00831573">
        <w:rPr>
          <w:lang w:val="en-GB"/>
        </w:rPr>
        <w:t>sub</w:t>
      </w:r>
      <w:r w:rsidR="00F67A0A" w:rsidRPr="00831573">
        <w:rPr>
          <w:lang w:val="en-GB"/>
        </w:rPr>
        <w:noBreakHyphen/>
        <w:t xml:space="preserve">paragraph (b) could be extended to cover punishments, such punishments would be deprived of the fundamental guarantees of </w:t>
      </w:r>
      <w:r w:rsidR="008B725B" w:rsidRPr="00831573">
        <w:rPr>
          <w:lang w:val="en-GB"/>
        </w:rPr>
        <w:t>Article</w:t>
      </w:r>
      <w:r w:rsidR="00DD7B00" w:rsidRPr="00831573">
        <w:rPr>
          <w:lang w:val="en-GB"/>
        </w:rPr>
        <w:t> </w:t>
      </w:r>
      <w:r w:rsidR="008B725B" w:rsidRPr="00831573">
        <w:rPr>
          <w:lang w:val="en-GB"/>
        </w:rPr>
        <w:t>5 §</w:t>
      </w:r>
      <w:r w:rsidR="00DC6FA2" w:rsidRPr="00831573">
        <w:rPr>
          <w:lang w:val="en-GB"/>
        </w:rPr>
        <w:t> </w:t>
      </w:r>
      <w:r w:rsidR="008B725B" w:rsidRPr="00831573">
        <w:rPr>
          <w:lang w:val="en-GB"/>
        </w:rPr>
        <w:t>1 (a)</w:t>
      </w:r>
      <w:r w:rsidR="00F67A0A" w:rsidRPr="00831573">
        <w:rPr>
          <w:lang w:val="en-GB"/>
        </w:rPr>
        <w:t xml:space="preserve"> (</w:t>
      </w:r>
      <w:r w:rsidR="005D4C06" w:rsidRPr="00831573">
        <w:rPr>
          <w:i/>
          <w:lang w:val="en-GB"/>
        </w:rPr>
        <w:t>Ostendorf</w:t>
      </w:r>
      <w:r w:rsidR="005D4C06" w:rsidRPr="00831573">
        <w:rPr>
          <w:lang w:val="en-GB"/>
        </w:rPr>
        <w:t>, cited above</w:t>
      </w:r>
      <w:r w:rsidR="00F67A0A" w:rsidRPr="00831573">
        <w:rPr>
          <w:lang w:val="en-GB"/>
        </w:rPr>
        <w:t>, § 71).</w:t>
      </w:r>
    </w:p>
    <w:p w:rsidR="0069028C" w:rsidRPr="00831573" w:rsidRDefault="0069028C" w:rsidP="00831573">
      <w:pPr>
        <w:pStyle w:val="ECHRHeading5"/>
        <w:rPr>
          <w:lang w:val="en-GB"/>
        </w:rPr>
      </w:pPr>
      <w:r w:rsidRPr="00831573">
        <w:rPr>
          <w:lang w:val="en-GB"/>
        </w:rPr>
        <w:t xml:space="preserve">Application of the principles </w:t>
      </w:r>
      <w:r w:rsidR="00283E0B" w:rsidRPr="00831573">
        <w:rPr>
          <w:lang w:val="en-GB"/>
        </w:rPr>
        <w:t xml:space="preserve">on applicability </w:t>
      </w:r>
      <w:r w:rsidRPr="00831573">
        <w:rPr>
          <w:lang w:val="en-GB"/>
        </w:rPr>
        <w:t>to the facts of the case</w:t>
      </w:r>
    </w:p>
    <w:p w:rsidR="00810A7C" w:rsidRPr="00831573" w:rsidRDefault="0069028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80</w:t>
      </w:r>
      <w:r w:rsidRPr="00831573">
        <w:rPr>
          <w:lang w:val="en-GB"/>
        </w:rPr>
        <w:fldChar w:fldCharType="end"/>
      </w:r>
      <w:r w:rsidRPr="00831573">
        <w:rPr>
          <w:lang w:val="en-GB"/>
        </w:rPr>
        <w:t>.</w:t>
      </w:r>
      <w:r w:rsidR="003C0C13" w:rsidRPr="00831573">
        <w:rPr>
          <w:lang w:val="en-GB"/>
        </w:rPr>
        <w:t>  </w:t>
      </w:r>
      <w:r w:rsidR="00DA7357" w:rsidRPr="00831573">
        <w:rPr>
          <w:lang w:val="en-GB"/>
        </w:rPr>
        <w:t>Although the applicant submits that civil contempt is criminal in nature under domestic law, in the recent case</w:t>
      </w:r>
      <w:r w:rsidR="00E07C2F" w:rsidRPr="00831573">
        <w:rPr>
          <w:lang w:val="en-GB"/>
        </w:rPr>
        <w:t xml:space="preserve"> of</w:t>
      </w:r>
      <w:r w:rsidR="00DA7357" w:rsidRPr="00831573">
        <w:rPr>
          <w:lang w:val="en-GB"/>
        </w:rPr>
        <w:t xml:space="preserve"> </w:t>
      </w:r>
      <w:r w:rsidR="00DA7357" w:rsidRPr="00831573">
        <w:rPr>
          <w:i/>
          <w:lang w:val="en-GB"/>
        </w:rPr>
        <w:t>R v</w:t>
      </w:r>
      <w:r w:rsidR="00620FE3" w:rsidRPr="00831573">
        <w:rPr>
          <w:i/>
          <w:lang w:val="en-GB"/>
        </w:rPr>
        <w:t>.</w:t>
      </w:r>
      <w:r w:rsidR="00DA7357" w:rsidRPr="00831573">
        <w:rPr>
          <w:i/>
          <w:lang w:val="en-GB"/>
        </w:rPr>
        <w:t> O</w:t>
      </w:r>
      <w:r w:rsidR="00831573" w:rsidRPr="00831573">
        <w:rPr>
          <w:i/>
          <w:lang w:val="en-GB"/>
        </w:rPr>
        <w:t>’</w:t>
      </w:r>
      <w:r w:rsidR="00DA7357" w:rsidRPr="00831573">
        <w:rPr>
          <w:i/>
          <w:lang w:val="en-GB"/>
        </w:rPr>
        <w:t xml:space="preserve">Brien </w:t>
      </w:r>
      <w:r w:rsidR="00E03F27" w:rsidRPr="00831573">
        <w:rPr>
          <w:lang w:val="en-GB"/>
        </w:rPr>
        <w:t>(see paragraph </w:t>
      </w:r>
      <w:r w:rsidR="00DA7357" w:rsidRPr="00831573">
        <w:rPr>
          <w:lang w:val="en-GB"/>
        </w:rPr>
        <w:fldChar w:fldCharType="begin"/>
      </w:r>
      <w:r w:rsidR="00DA7357" w:rsidRPr="00831573">
        <w:rPr>
          <w:lang w:val="en-GB"/>
        </w:rPr>
        <w:instrText xml:space="preserve"> REF Obrien \h  \* MERGEFORMAT </w:instrText>
      </w:r>
      <w:r w:rsidR="00DA7357" w:rsidRPr="00831573">
        <w:rPr>
          <w:lang w:val="en-GB"/>
        </w:rPr>
      </w:r>
      <w:r w:rsidR="00DA7357" w:rsidRPr="00831573">
        <w:rPr>
          <w:lang w:val="en-GB"/>
        </w:rPr>
        <w:fldChar w:fldCharType="separate"/>
      </w:r>
      <w:r w:rsidR="00831573" w:rsidRPr="00831573">
        <w:rPr>
          <w:lang w:val="en-GB"/>
        </w:rPr>
        <w:t>38</w:t>
      </w:r>
      <w:r w:rsidR="00DA7357" w:rsidRPr="00831573">
        <w:rPr>
          <w:lang w:val="en-GB"/>
        </w:rPr>
        <w:fldChar w:fldCharType="end"/>
      </w:r>
      <w:r w:rsidR="00DA7357" w:rsidRPr="00831573">
        <w:rPr>
          <w:lang w:val="en-GB"/>
        </w:rPr>
        <w:t xml:space="preserve"> above)</w:t>
      </w:r>
      <w:r w:rsidR="00DA7357" w:rsidRPr="00831573">
        <w:rPr>
          <w:i/>
          <w:lang w:val="en-GB"/>
        </w:rPr>
        <w:t xml:space="preserve"> </w:t>
      </w:r>
      <w:r w:rsidR="00DA7357" w:rsidRPr="00831573">
        <w:rPr>
          <w:lang w:val="en-GB"/>
        </w:rPr>
        <w:t xml:space="preserve">the Supreme Court decided that civil contempt </w:t>
      </w:r>
      <w:r w:rsidR="00F9721F" w:rsidRPr="00831573">
        <w:rPr>
          <w:lang w:val="en-GB"/>
        </w:rPr>
        <w:t>did not constitute a criminal offence</w:t>
      </w:r>
      <w:r w:rsidR="00E07C2F" w:rsidRPr="00831573">
        <w:rPr>
          <w:lang w:val="en-GB"/>
        </w:rPr>
        <w:t xml:space="preserve"> as such</w:t>
      </w:r>
      <w:r w:rsidR="00F9721F" w:rsidRPr="00831573">
        <w:rPr>
          <w:lang w:val="en-GB"/>
        </w:rPr>
        <w:t xml:space="preserve"> in domestic law</w:t>
      </w:r>
      <w:r w:rsidR="00DA7357" w:rsidRPr="00831573">
        <w:rPr>
          <w:lang w:val="en-GB"/>
        </w:rPr>
        <w:t>.</w:t>
      </w:r>
      <w:r w:rsidR="00F9721F" w:rsidRPr="00831573">
        <w:rPr>
          <w:lang w:val="en-GB"/>
        </w:rPr>
        <w:t xml:space="preserve"> </w:t>
      </w:r>
      <w:r w:rsidR="00810A7C" w:rsidRPr="00831573">
        <w:rPr>
          <w:lang w:val="en-GB"/>
        </w:rPr>
        <w:t xml:space="preserve">The </w:t>
      </w:r>
      <w:r w:rsidR="00F9721F" w:rsidRPr="00831573">
        <w:rPr>
          <w:lang w:val="en-GB"/>
        </w:rPr>
        <w:t xml:space="preserve">Government </w:t>
      </w:r>
      <w:r w:rsidR="00E07C2F" w:rsidRPr="00831573">
        <w:rPr>
          <w:lang w:val="en-GB"/>
        </w:rPr>
        <w:t xml:space="preserve">had also </w:t>
      </w:r>
      <w:r w:rsidR="00810A7C" w:rsidRPr="00831573">
        <w:rPr>
          <w:lang w:val="en-GB"/>
        </w:rPr>
        <w:t>argued</w:t>
      </w:r>
      <w:r w:rsidR="00E07C2F" w:rsidRPr="00831573">
        <w:rPr>
          <w:lang w:val="en-GB"/>
        </w:rPr>
        <w:t>,</w:t>
      </w:r>
      <w:r w:rsidR="00810A7C" w:rsidRPr="00831573">
        <w:rPr>
          <w:lang w:val="en-GB"/>
        </w:rPr>
        <w:t xml:space="preserve"> in </w:t>
      </w:r>
      <w:r w:rsidR="00E07C2F" w:rsidRPr="00831573">
        <w:rPr>
          <w:lang w:val="en-GB"/>
        </w:rPr>
        <w:t xml:space="preserve">the earlier case of </w:t>
      </w:r>
      <w:r w:rsidR="00810A7C" w:rsidRPr="00831573">
        <w:rPr>
          <w:i/>
          <w:lang w:val="en-GB"/>
        </w:rPr>
        <w:t>Harman v. the United Kingdom</w:t>
      </w:r>
      <w:r w:rsidR="00E03F27" w:rsidRPr="00831573">
        <w:rPr>
          <w:lang w:val="en-GB"/>
        </w:rPr>
        <w:t>, no. </w:t>
      </w:r>
      <w:r w:rsidR="00810A7C" w:rsidRPr="00831573">
        <w:rPr>
          <w:lang w:val="en-GB"/>
        </w:rPr>
        <w:t>10038/82, Commission decision of 11</w:t>
      </w:r>
      <w:r w:rsidR="007E1BD9" w:rsidRPr="00831573">
        <w:rPr>
          <w:lang w:val="en-GB"/>
        </w:rPr>
        <w:t> </w:t>
      </w:r>
      <w:r w:rsidR="00810A7C" w:rsidRPr="00831573">
        <w:rPr>
          <w:lang w:val="en-GB"/>
        </w:rPr>
        <w:t xml:space="preserve">May 1984, DR 38, p. 53, that Ms Harman </w:t>
      </w:r>
      <w:r w:rsidR="004077B0" w:rsidRPr="00831573">
        <w:rPr>
          <w:lang w:val="en-GB"/>
        </w:rPr>
        <w:t>had not been</w:t>
      </w:r>
      <w:r w:rsidR="00810A7C" w:rsidRPr="00831573">
        <w:rPr>
          <w:lang w:val="en-GB"/>
        </w:rPr>
        <w:t xml:space="preserve"> convicted of a criminal offence when the domestic courts had found that she had committed a civil contempt.</w:t>
      </w:r>
      <w:r w:rsidR="00DA7357" w:rsidRPr="00831573">
        <w:rPr>
          <w:lang w:val="en-GB"/>
        </w:rPr>
        <w:t xml:space="preserve"> </w:t>
      </w:r>
      <w:r w:rsidR="00E07C2F" w:rsidRPr="00831573">
        <w:rPr>
          <w:lang w:val="en-GB"/>
        </w:rPr>
        <w:t>T</w:t>
      </w:r>
      <w:r w:rsidR="00DA7357" w:rsidRPr="00831573">
        <w:rPr>
          <w:lang w:val="en-GB"/>
        </w:rPr>
        <w:t xml:space="preserve">he </w:t>
      </w:r>
      <w:r w:rsidR="00810A7C" w:rsidRPr="00831573">
        <w:rPr>
          <w:lang w:val="en-GB"/>
        </w:rPr>
        <w:t xml:space="preserve">Court </w:t>
      </w:r>
      <w:r w:rsidR="00E07C2F" w:rsidRPr="00831573">
        <w:rPr>
          <w:lang w:val="en-GB"/>
        </w:rPr>
        <w:t xml:space="preserve">is accordingly led to </w:t>
      </w:r>
      <w:r w:rsidR="00810A7C" w:rsidRPr="00831573">
        <w:rPr>
          <w:lang w:val="en-GB"/>
        </w:rPr>
        <w:t>find</w:t>
      </w:r>
      <w:r w:rsidR="00E07C2F" w:rsidRPr="00831573">
        <w:rPr>
          <w:lang w:val="en-GB"/>
        </w:rPr>
        <w:t xml:space="preserve"> </w:t>
      </w:r>
      <w:r w:rsidR="00810A7C" w:rsidRPr="00831573">
        <w:rPr>
          <w:lang w:val="en-GB"/>
        </w:rPr>
        <w:t xml:space="preserve">that the </w:t>
      </w:r>
      <w:r w:rsidR="00DA7357" w:rsidRPr="00831573">
        <w:rPr>
          <w:lang w:val="en-GB"/>
        </w:rPr>
        <w:t>County Court</w:t>
      </w:r>
      <w:r w:rsidR="00831573" w:rsidRPr="00831573">
        <w:rPr>
          <w:lang w:val="en-GB"/>
        </w:rPr>
        <w:t>’</w:t>
      </w:r>
      <w:r w:rsidR="00DA7357" w:rsidRPr="00831573">
        <w:rPr>
          <w:lang w:val="en-GB"/>
        </w:rPr>
        <w:t xml:space="preserve">s decision to </w:t>
      </w:r>
      <w:r w:rsidR="00E07C2F" w:rsidRPr="00831573">
        <w:rPr>
          <w:lang w:val="en-GB"/>
        </w:rPr>
        <w:t xml:space="preserve">hold </w:t>
      </w:r>
      <w:r w:rsidR="00DA7357" w:rsidRPr="00831573">
        <w:rPr>
          <w:lang w:val="en-GB"/>
        </w:rPr>
        <w:t xml:space="preserve">the applicant in contempt </w:t>
      </w:r>
      <w:r w:rsidR="00E07C2F" w:rsidRPr="00831573">
        <w:rPr>
          <w:lang w:val="en-GB"/>
        </w:rPr>
        <w:t xml:space="preserve">of court </w:t>
      </w:r>
      <w:r w:rsidR="00DA7357" w:rsidRPr="00831573">
        <w:rPr>
          <w:lang w:val="en-GB"/>
        </w:rPr>
        <w:t xml:space="preserve">did not amount to a conviction </w:t>
      </w:r>
      <w:r w:rsidR="008E5ACD" w:rsidRPr="00831573">
        <w:rPr>
          <w:lang w:val="en-GB"/>
        </w:rPr>
        <w:t>in</w:t>
      </w:r>
      <w:r w:rsidR="00DA7357" w:rsidRPr="00831573">
        <w:rPr>
          <w:lang w:val="en-GB"/>
        </w:rPr>
        <w:t xml:space="preserve"> domestic law.</w:t>
      </w:r>
    </w:p>
    <w:p w:rsidR="00DA7357" w:rsidRPr="00831573" w:rsidRDefault="00810A7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81</w:t>
      </w:r>
      <w:r w:rsidRPr="00831573">
        <w:rPr>
          <w:lang w:val="en-GB"/>
        </w:rPr>
        <w:fldChar w:fldCharType="end"/>
      </w:r>
      <w:r w:rsidRPr="00831573">
        <w:rPr>
          <w:lang w:val="en-GB"/>
        </w:rPr>
        <w:t>.  </w:t>
      </w:r>
      <w:r w:rsidR="00E07C2F" w:rsidRPr="00831573">
        <w:rPr>
          <w:lang w:val="en-GB"/>
        </w:rPr>
        <w:t>I</w:t>
      </w:r>
      <w:r w:rsidR="002B6CFD" w:rsidRPr="00831573">
        <w:rPr>
          <w:lang w:val="en-GB"/>
        </w:rPr>
        <w:t>n order to decide whether Article</w:t>
      </w:r>
      <w:r w:rsidR="00DA7357" w:rsidRPr="00831573">
        <w:rPr>
          <w:lang w:val="en-GB"/>
        </w:rPr>
        <w:t> </w:t>
      </w:r>
      <w:r w:rsidR="002B6CFD" w:rsidRPr="00831573">
        <w:rPr>
          <w:lang w:val="en-GB"/>
        </w:rPr>
        <w:t xml:space="preserve">5 § 1 (a) applies </w:t>
      </w:r>
      <w:r w:rsidR="00BE5B87" w:rsidRPr="00831573">
        <w:rPr>
          <w:lang w:val="en-GB"/>
        </w:rPr>
        <w:t xml:space="preserve">in the present </w:t>
      </w:r>
      <w:r w:rsidR="00620FE3" w:rsidRPr="00831573">
        <w:rPr>
          <w:lang w:val="en-GB"/>
        </w:rPr>
        <w:t>case</w:t>
      </w:r>
      <w:r w:rsidR="00BE5B87" w:rsidRPr="00831573">
        <w:rPr>
          <w:lang w:val="en-GB"/>
        </w:rPr>
        <w:t xml:space="preserve">, </w:t>
      </w:r>
      <w:r w:rsidR="002B6CFD" w:rsidRPr="00831573">
        <w:rPr>
          <w:lang w:val="en-GB"/>
        </w:rPr>
        <w:t>the Court must</w:t>
      </w:r>
      <w:r w:rsidR="00E07C2F" w:rsidRPr="00831573">
        <w:rPr>
          <w:lang w:val="en-GB"/>
        </w:rPr>
        <w:t xml:space="preserve"> therefore determine</w:t>
      </w:r>
      <w:r w:rsidR="002B6CFD" w:rsidRPr="00831573">
        <w:rPr>
          <w:lang w:val="en-GB"/>
        </w:rPr>
        <w:t xml:space="preserve"> whether the applicant was </w:t>
      </w:r>
      <w:r w:rsidR="00E07C2F" w:rsidRPr="00831573">
        <w:rPr>
          <w:lang w:val="en-GB"/>
        </w:rPr>
        <w:t>“</w:t>
      </w:r>
      <w:r w:rsidR="002B6CFD" w:rsidRPr="00831573">
        <w:rPr>
          <w:lang w:val="en-GB"/>
        </w:rPr>
        <w:t>convicted</w:t>
      </w:r>
      <w:r w:rsidR="00E07C2F" w:rsidRPr="00831573">
        <w:rPr>
          <w:lang w:val="en-GB"/>
        </w:rPr>
        <w:t>”</w:t>
      </w:r>
      <w:r w:rsidR="002B6CFD" w:rsidRPr="00831573">
        <w:rPr>
          <w:lang w:val="en-GB"/>
        </w:rPr>
        <w:t xml:space="preserve"> </w:t>
      </w:r>
      <w:r w:rsidR="00DA7357" w:rsidRPr="00831573">
        <w:rPr>
          <w:lang w:val="en-GB"/>
        </w:rPr>
        <w:t xml:space="preserve">within </w:t>
      </w:r>
      <w:r w:rsidR="00620FE3" w:rsidRPr="00831573">
        <w:rPr>
          <w:lang w:val="en-GB"/>
        </w:rPr>
        <w:t>that term</w:t>
      </w:r>
      <w:r w:rsidR="00831573" w:rsidRPr="00831573">
        <w:rPr>
          <w:lang w:val="en-GB"/>
        </w:rPr>
        <w:t>’</w:t>
      </w:r>
      <w:r w:rsidR="00620FE3" w:rsidRPr="00831573">
        <w:rPr>
          <w:lang w:val="en-GB"/>
        </w:rPr>
        <w:t xml:space="preserve">s </w:t>
      </w:r>
      <w:r w:rsidR="00DA7357" w:rsidRPr="00831573">
        <w:rPr>
          <w:lang w:val="en-GB"/>
        </w:rPr>
        <w:t xml:space="preserve">autonomous meaning under the Convention (see paragraph </w:t>
      </w:r>
      <w:r w:rsidR="00401E68" w:rsidRPr="00831573">
        <w:rPr>
          <w:lang w:val="en-GB"/>
        </w:rPr>
        <w:fldChar w:fldCharType="begin"/>
      </w:r>
      <w:r w:rsidR="00401E68" w:rsidRPr="00831573">
        <w:rPr>
          <w:lang w:val="en-GB"/>
        </w:rPr>
        <w:instrText xml:space="preserve"> REF A51aAutonomous \h </w:instrText>
      </w:r>
      <w:r w:rsidR="00401E68" w:rsidRPr="00831573">
        <w:rPr>
          <w:lang w:val="en-GB"/>
        </w:rPr>
      </w:r>
      <w:r w:rsidR="00401E68" w:rsidRPr="00831573">
        <w:rPr>
          <w:lang w:val="en-GB"/>
        </w:rPr>
        <w:fldChar w:fldCharType="separate"/>
      </w:r>
      <w:r w:rsidR="00831573" w:rsidRPr="00831573">
        <w:rPr>
          <w:noProof/>
          <w:lang w:val="en-GB"/>
        </w:rPr>
        <w:t>76</w:t>
      </w:r>
      <w:r w:rsidR="00401E68" w:rsidRPr="00831573">
        <w:rPr>
          <w:lang w:val="en-GB"/>
        </w:rPr>
        <w:fldChar w:fldCharType="end"/>
      </w:r>
      <w:r w:rsidR="00DA7357" w:rsidRPr="00831573">
        <w:rPr>
          <w:lang w:val="en-GB"/>
        </w:rPr>
        <w:t xml:space="preserve"> above)</w:t>
      </w:r>
      <w:r w:rsidR="002B6CFD" w:rsidRPr="00831573">
        <w:rPr>
          <w:lang w:val="en-GB"/>
        </w:rPr>
        <w:t>.</w:t>
      </w:r>
    </w:p>
    <w:p w:rsidR="002E03AA" w:rsidRPr="00831573" w:rsidRDefault="007036D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82</w:t>
      </w:r>
      <w:r w:rsidRPr="00831573">
        <w:rPr>
          <w:lang w:val="en-GB"/>
        </w:rPr>
        <w:fldChar w:fldCharType="end"/>
      </w:r>
      <w:r w:rsidRPr="00831573">
        <w:rPr>
          <w:lang w:val="en-GB"/>
        </w:rPr>
        <w:t>.  </w:t>
      </w:r>
      <w:r w:rsidR="00DA7357" w:rsidRPr="00831573">
        <w:rPr>
          <w:lang w:val="en-GB"/>
        </w:rPr>
        <w:t xml:space="preserve">As regards </w:t>
      </w:r>
      <w:r w:rsidRPr="00831573">
        <w:rPr>
          <w:lang w:val="en-GB"/>
        </w:rPr>
        <w:t>the first condition stated in the Court</w:t>
      </w:r>
      <w:r w:rsidR="00831573" w:rsidRPr="00831573">
        <w:rPr>
          <w:lang w:val="en-GB"/>
        </w:rPr>
        <w:t>’</w:t>
      </w:r>
      <w:r w:rsidRPr="00831573">
        <w:rPr>
          <w:lang w:val="en-GB"/>
        </w:rPr>
        <w:t xml:space="preserve">s case-law for the existence of a “conviction” </w:t>
      </w:r>
      <w:r w:rsidR="00723B5B" w:rsidRPr="00831573">
        <w:rPr>
          <w:lang w:val="en-GB"/>
        </w:rPr>
        <w:t>wi</w:t>
      </w:r>
      <w:r w:rsidRPr="00831573">
        <w:rPr>
          <w:lang w:val="en-GB"/>
        </w:rPr>
        <w:t xml:space="preserve">thin the autonomous meaning of that term under Article 5 § 1 (a), namely a finding of guilt, </w:t>
      </w:r>
      <w:r w:rsidR="00723B5B" w:rsidRPr="00831573">
        <w:rPr>
          <w:lang w:val="en-GB"/>
        </w:rPr>
        <w:t>t</w:t>
      </w:r>
      <w:r w:rsidR="002E03AA" w:rsidRPr="00831573">
        <w:rPr>
          <w:lang w:val="en-GB"/>
        </w:rPr>
        <w:t xml:space="preserve">he Court must </w:t>
      </w:r>
      <w:r w:rsidR="00723B5B" w:rsidRPr="00831573">
        <w:rPr>
          <w:lang w:val="en-GB"/>
        </w:rPr>
        <w:t xml:space="preserve">first </w:t>
      </w:r>
      <w:r w:rsidR="007E1038" w:rsidRPr="00831573">
        <w:rPr>
          <w:lang w:val="en-GB"/>
        </w:rPr>
        <w:t>decide</w:t>
      </w:r>
      <w:r w:rsidR="002E03AA" w:rsidRPr="00831573">
        <w:rPr>
          <w:lang w:val="en-GB"/>
        </w:rPr>
        <w:t xml:space="preserve"> whether an adverse finding </w:t>
      </w:r>
      <w:r w:rsidR="00661036" w:rsidRPr="00831573">
        <w:rPr>
          <w:lang w:val="en-GB"/>
        </w:rPr>
        <w:t xml:space="preserve">made </w:t>
      </w:r>
      <w:r w:rsidR="002E03AA" w:rsidRPr="00831573">
        <w:rPr>
          <w:lang w:val="en-GB"/>
        </w:rPr>
        <w:t>against an individual in proceedings</w:t>
      </w:r>
      <w:r w:rsidR="00C104DF" w:rsidRPr="00831573">
        <w:rPr>
          <w:lang w:val="en-GB"/>
        </w:rPr>
        <w:t xml:space="preserve"> which are not classif</w:t>
      </w:r>
      <w:r w:rsidRPr="00831573">
        <w:rPr>
          <w:lang w:val="en-GB"/>
        </w:rPr>
        <w:t>ied in domestic law as criminal</w:t>
      </w:r>
      <w:r w:rsidR="00C104DF" w:rsidRPr="00831573">
        <w:rPr>
          <w:lang w:val="en-GB"/>
        </w:rPr>
        <w:t xml:space="preserve"> but</w:t>
      </w:r>
      <w:r w:rsidR="002E03AA" w:rsidRPr="00831573">
        <w:rPr>
          <w:lang w:val="en-GB"/>
        </w:rPr>
        <w:t xml:space="preserve"> to which the </w:t>
      </w:r>
      <w:r w:rsidR="00661036" w:rsidRPr="00831573">
        <w:rPr>
          <w:lang w:val="en-GB"/>
        </w:rPr>
        <w:t>“</w:t>
      </w:r>
      <w:r w:rsidR="002E03AA" w:rsidRPr="00831573">
        <w:rPr>
          <w:lang w:val="en-GB"/>
        </w:rPr>
        <w:t>criminal</w:t>
      </w:r>
      <w:r w:rsidR="00661036" w:rsidRPr="00831573">
        <w:rPr>
          <w:lang w:val="en-GB"/>
        </w:rPr>
        <w:t>”</w:t>
      </w:r>
      <w:r w:rsidR="002E03AA" w:rsidRPr="00831573">
        <w:rPr>
          <w:lang w:val="en-GB"/>
        </w:rPr>
        <w:t xml:space="preserve"> limb of Article</w:t>
      </w:r>
      <w:r w:rsidR="007E1BD9" w:rsidRPr="00831573">
        <w:rPr>
          <w:lang w:val="en-GB"/>
        </w:rPr>
        <w:t xml:space="preserve"> </w:t>
      </w:r>
      <w:r w:rsidR="002E03AA" w:rsidRPr="00831573">
        <w:rPr>
          <w:lang w:val="en-GB"/>
        </w:rPr>
        <w:t xml:space="preserve">6 applies </w:t>
      </w:r>
      <w:r w:rsidR="0034331A" w:rsidRPr="00831573">
        <w:rPr>
          <w:lang w:val="en-GB"/>
        </w:rPr>
        <w:t>amounts to a finding of g</w:t>
      </w:r>
      <w:r w:rsidRPr="00831573">
        <w:rPr>
          <w:lang w:val="en-GB"/>
        </w:rPr>
        <w:t>uilt.</w:t>
      </w:r>
      <w:r w:rsidR="0034331A" w:rsidRPr="00831573">
        <w:rPr>
          <w:lang w:val="en-GB"/>
        </w:rPr>
        <w:t xml:space="preserve"> If </w:t>
      </w:r>
      <w:r w:rsidR="00723B5B" w:rsidRPr="00831573">
        <w:rPr>
          <w:lang w:val="en-GB"/>
        </w:rPr>
        <w:t>the Court de</w:t>
      </w:r>
      <w:r w:rsidR="007E1038" w:rsidRPr="00831573">
        <w:rPr>
          <w:lang w:val="en-GB"/>
        </w:rPr>
        <w:t>cides</w:t>
      </w:r>
      <w:r w:rsidR="00723B5B" w:rsidRPr="00831573">
        <w:rPr>
          <w:lang w:val="en-GB"/>
        </w:rPr>
        <w:t xml:space="preserve"> that question</w:t>
      </w:r>
      <w:r w:rsidR="00661036" w:rsidRPr="00831573">
        <w:rPr>
          <w:lang w:val="en-GB"/>
        </w:rPr>
        <w:t xml:space="preserve"> of principle</w:t>
      </w:r>
      <w:r w:rsidR="00723B5B" w:rsidRPr="00831573">
        <w:rPr>
          <w:lang w:val="en-GB"/>
        </w:rPr>
        <w:t xml:space="preserve"> in the affirmative</w:t>
      </w:r>
      <w:r w:rsidR="0034331A" w:rsidRPr="00831573">
        <w:rPr>
          <w:lang w:val="en-GB"/>
        </w:rPr>
        <w:t xml:space="preserve">, </w:t>
      </w:r>
      <w:r w:rsidR="00723B5B" w:rsidRPr="00831573">
        <w:rPr>
          <w:lang w:val="en-GB"/>
        </w:rPr>
        <w:t>it</w:t>
      </w:r>
      <w:r w:rsidR="0034331A" w:rsidRPr="00831573">
        <w:rPr>
          <w:lang w:val="en-GB"/>
        </w:rPr>
        <w:t xml:space="preserve"> must then de</w:t>
      </w:r>
      <w:r w:rsidR="007E1038" w:rsidRPr="00831573">
        <w:rPr>
          <w:lang w:val="en-GB"/>
        </w:rPr>
        <w:t>termine</w:t>
      </w:r>
      <w:r w:rsidR="0034331A" w:rsidRPr="00831573">
        <w:rPr>
          <w:lang w:val="en-GB"/>
        </w:rPr>
        <w:t xml:space="preserve"> whether</w:t>
      </w:r>
      <w:r w:rsidR="008C07F2" w:rsidRPr="00831573">
        <w:rPr>
          <w:lang w:val="en-GB"/>
        </w:rPr>
        <w:t xml:space="preserve"> in the instant case</w:t>
      </w:r>
      <w:r w:rsidR="0034331A" w:rsidRPr="00831573">
        <w:rPr>
          <w:lang w:val="en-GB"/>
        </w:rPr>
        <w:t xml:space="preserve"> the </w:t>
      </w:r>
      <w:r w:rsidR="00C104DF" w:rsidRPr="00831573">
        <w:rPr>
          <w:lang w:val="en-GB"/>
        </w:rPr>
        <w:t xml:space="preserve">Court of </w:t>
      </w:r>
      <w:r w:rsidR="00620FE3" w:rsidRPr="00831573">
        <w:rPr>
          <w:lang w:val="en-GB"/>
        </w:rPr>
        <w:t xml:space="preserve">Appeal </w:t>
      </w:r>
      <w:r w:rsidR="008C07F2" w:rsidRPr="00831573">
        <w:rPr>
          <w:lang w:val="en-GB"/>
        </w:rPr>
        <w:t>was correct in ruling</w:t>
      </w:r>
      <w:r w:rsidR="00C104DF" w:rsidRPr="00831573">
        <w:rPr>
          <w:lang w:val="en-GB"/>
        </w:rPr>
        <w:t xml:space="preserve"> that the </w:t>
      </w:r>
      <w:r w:rsidR="008C07F2" w:rsidRPr="00831573">
        <w:rPr>
          <w:lang w:val="en-GB"/>
        </w:rPr>
        <w:t>“</w:t>
      </w:r>
      <w:r w:rsidR="0034331A" w:rsidRPr="00831573">
        <w:rPr>
          <w:lang w:val="en-GB"/>
        </w:rPr>
        <w:t>criminal</w:t>
      </w:r>
      <w:r w:rsidR="008C07F2" w:rsidRPr="00831573">
        <w:rPr>
          <w:lang w:val="en-GB"/>
        </w:rPr>
        <w:t>”</w:t>
      </w:r>
      <w:r w:rsidR="0034331A" w:rsidRPr="00831573">
        <w:rPr>
          <w:lang w:val="en-GB"/>
        </w:rPr>
        <w:t xml:space="preserve"> limb of Article 6 applied to </w:t>
      </w:r>
      <w:r w:rsidR="00620FE3" w:rsidRPr="00831573">
        <w:rPr>
          <w:lang w:val="en-GB"/>
        </w:rPr>
        <w:t>civil contempt</w:t>
      </w:r>
      <w:r w:rsidR="0034331A" w:rsidRPr="00831573">
        <w:rPr>
          <w:lang w:val="en-GB"/>
        </w:rPr>
        <w:t xml:space="preserve"> proceedings.</w:t>
      </w:r>
    </w:p>
    <w:p w:rsidR="004077B0" w:rsidRPr="00831573" w:rsidRDefault="002E03AA" w:rsidP="00831573">
      <w:pPr>
        <w:pStyle w:val="ECHRPara"/>
        <w:rPr>
          <w:rFonts w:cstheme="minorHAns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83</w:t>
      </w:r>
      <w:r w:rsidRPr="00831573">
        <w:rPr>
          <w:lang w:val="en-GB"/>
        </w:rPr>
        <w:fldChar w:fldCharType="end"/>
      </w:r>
      <w:r w:rsidR="00AD06C2" w:rsidRPr="00831573">
        <w:rPr>
          <w:lang w:val="en-GB"/>
        </w:rPr>
        <w:t>.  </w:t>
      </w:r>
      <w:r w:rsidR="008E5ACD" w:rsidRPr="00831573">
        <w:rPr>
          <w:lang w:val="en-GB"/>
        </w:rPr>
        <w:t>In relation to</w:t>
      </w:r>
      <w:r w:rsidR="0034331A" w:rsidRPr="00831573">
        <w:rPr>
          <w:lang w:val="en-GB"/>
        </w:rPr>
        <w:t xml:space="preserve"> </w:t>
      </w:r>
      <w:r w:rsidR="00723B5B" w:rsidRPr="00831573">
        <w:rPr>
          <w:lang w:val="en-GB"/>
        </w:rPr>
        <w:t>the first question</w:t>
      </w:r>
      <w:r w:rsidR="0034331A" w:rsidRPr="00831573">
        <w:rPr>
          <w:lang w:val="en-GB"/>
        </w:rPr>
        <w:t>, the Court observes that i</w:t>
      </w:r>
      <w:r w:rsidR="002B6CFD" w:rsidRPr="00831573">
        <w:rPr>
          <w:lang w:val="en-GB"/>
        </w:rPr>
        <w:t xml:space="preserve">n </w:t>
      </w:r>
      <w:r w:rsidR="002B6CFD" w:rsidRPr="00831573">
        <w:rPr>
          <w:i/>
          <w:lang w:val="en-GB"/>
        </w:rPr>
        <w:t>Engel</w:t>
      </w:r>
      <w:r w:rsidR="002B6CFD" w:rsidRPr="00831573">
        <w:rPr>
          <w:lang w:val="en-GB"/>
        </w:rPr>
        <w:t>, cited above, Article 5</w:t>
      </w:r>
      <w:r w:rsidR="00E03F27" w:rsidRPr="00831573">
        <w:rPr>
          <w:lang w:val="en-GB"/>
        </w:rPr>
        <w:t xml:space="preserve"> </w:t>
      </w:r>
      <w:r w:rsidR="002B6CFD" w:rsidRPr="00831573">
        <w:rPr>
          <w:rFonts w:cstheme="minorHAnsi"/>
          <w:lang w:val="en-GB"/>
        </w:rPr>
        <w:t>§</w:t>
      </w:r>
      <w:r w:rsidR="002B6CFD" w:rsidRPr="00831573">
        <w:rPr>
          <w:lang w:val="en-GB"/>
        </w:rPr>
        <w:t xml:space="preserve"> 1 (a) </w:t>
      </w:r>
      <w:r w:rsidR="008C07F2" w:rsidRPr="00831573">
        <w:rPr>
          <w:lang w:val="en-GB"/>
        </w:rPr>
        <w:t xml:space="preserve">was explained as being </w:t>
      </w:r>
      <w:r w:rsidR="002B6CFD" w:rsidRPr="00831573">
        <w:rPr>
          <w:lang w:val="en-GB"/>
        </w:rPr>
        <w:t>an autonomous provision whose requirements are not always co-extensive with those of Article 6 (ibid</w:t>
      </w:r>
      <w:r w:rsidR="00BD4417" w:rsidRPr="00831573">
        <w:rPr>
          <w:lang w:val="en-GB"/>
        </w:rPr>
        <w:t>.</w:t>
      </w:r>
      <w:r w:rsidR="002B6CFD" w:rsidRPr="00831573">
        <w:rPr>
          <w:lang w:val="en-GB"/>
        </w:rPr>
        <w:t xml:space="preserve">, </w:t>
      </w:r>
      <w:r w:rsidR="002B6CFD" w:rsidRPr="00831573">
        <w:rPr>
          <w:rFonts w:cstheme="minorHAnsi"/>
          <w:lang w:val="en-GB"/>
        </w:rPr>
        <w:t>§ 68)</w:t>
      </w:r>
      <w:r w:rsidR="008E5ACD" w:rsidRPr="00831573">
        <w:rPr>
          <w:rFonts w:cstheme="minorHAnsi"/>
          <w:lang w:val="en-GB"/>
        </w:rPr>
        <w:t xml:space="preserve">. The Court </w:t>
      </w:r>
      <w:r w:rsidR="00B33EAD" w:rsidRPr="00831573">
        <w:rPr>
          <w:rFonts w:cstheme="minorHAnsi"/>
          <w:lang w:val="en-GB"/>
        </w:rPr>
        <w:t xml:space="preserve">has </w:t>
      </w:r>
      <w:r w:rsidR="00486C60" w:rsidRPr="00831573">
        <w:rPr>
          <w:rFonts w:cstheme="minorHAnsi"/>
          <w:lang w:val="en-GB"/>
        </w:rPr>
        <w:t xml:space="preserve">also </w:t>
      </w:r>
      <w:r w:rsidR="00B33EAD" w:rsidRPr="00831573">
        <w:rPr>
          <w:rFonts w:cstheme="minorHAnsi"/>
          <w:lang w:val="en-GB"/>
        </w:rPr>
        <w:t>consistently</w:t>
      </w:r>
      <w:r w:rsidR="004077B0" w:rsidRPr="00831573">
        <w:rPr>
          <w:rFonts w:cstheme="minorHAnsi"/>
          <w:lang w:val="en-GB"/>
        </w:rPr>
        <w:t xml:space="preserve"> </w:t>
      </w:r>
      <w:r w:rsidR="008C07F2" w:rsidRPr="00831573">
        <w:rPr>
          <w:rFonts w:cstheme="minorHAnsi"/>
          <w:lang w:val="en-GB"/>
        </w:rPr>
        <w:t>stressed</w:t>
      </w:r>
      <w:r w:rsidR="004077B0" w:rsidRPr="00831573">
        <w:rPr>
          <w:rFonts w:cstheme="minorHAnsi"/>
          <w:lang w:val="en-GB"/>
        </w:rPr>
        <w:t xml:space="preserve"> that the exceptions permitted by Article 5 should be narrowly interpreted (see paragraph </w:t>
      </w:r>
      <w:r w:rsidR="00486C60" w:rsidRPr="00831573">
        <w:rPr>
          <w:rFonts w:cstheme="minorHAnsi"/>
          <w:lang w:val="en-GB"/>
        </w:rPr>
        <w:fldChar w:fldCharType="begin"/>
      </w:r>
      <w:r w:rsidR="00486C60" w:rsidRPr="00831573">
        <w:rPr>
          <w:rFonts w:cstheme="minorHAnsi"/>
          <w:lang w:val="en-GB"/>
        </w:rPr>
        <w:instrText xml:space="preserve"> REF A5OneNarrowInt \h </w:instrText>
      </w:r>
      <w:r w:rsidR="00486C60" w:rsidRPr="00831573">
        <w:rPr>
          <w:rFonts w:cstheme="minorHAnsi"/>
          <w:lang w:val="en-GB"/>
        </w:rPr>
      </w:r>
      <w:r w:rsidR="00486C60" w:rsidRPr="00831573">
        <w:rPr>
          <w:rFonts w:cstheme="minorHAnsi"/>
          <w:lang w:val="en-GB"/>
        </w:rPr>
        <w:fldChar w:fldCharType="separate"/>
      </w:r>
      <w:r w:rsidR="00831573" w:rsidRPr="00831573">
        <w:rPr>
          <w:noProof/>
          <w:lang w:val="en-GB"/>
        </w:rPr>
        <w:t>74</w:t>
      </w:r>
      <w:r w:rsidR="00486C60" w:rsidRPr="00831573">
        <w:rPr>
          <w:rFonts w:cstheme="minorHAnsi"/>
          <w:lang w:val="en-GB"/>
        </w:rPr>
        <w:fldChar w:fldCharType="end"/>
      </w:r>
      <w:r w:rsidR="004077B0" w:rsidRPr="00831573">
        <w:rPr>
          <w:rFonts w:cstheme="minorHAnsi"/>
          <w:lang w:val="en-GB"/>
        </w:rPr>
        <w:t xml:space="preserve"> above)</w:t>
      </w:r>
      <w:r w:rsidR="00B33EAD" w:rsidRPr="00831573">
        <w:rPr>
          <w:rFonts w:cstheme="minorHAnsi"/>
          <w:lang w:val="en-GB"/>
        </w:rPr>
        <w:t>.</w:t>
      </w:r>
      <w:r w:rsidR="00E03F27" w:rsidRPr="00831573">
        <w:rPr>
          <w:rFonts w:cstheme="minorHAnsi"/>
          <w:lang w:val="en-GB"/>
        </w:rPr>
        <w:t xml:space="preserve"> </w:t>
      </w:r>
      <w:r w:rsidR="008C07F2" w:rsidRPr="00831573">
        <w:rPr>
          <w:rFonts w:cstheme="minorHAnsi"/>
          <w:lang w:val="en-GB"/>
        </w:rPr>
        <w:t>On the other hand it cannot be overlooked</w:t>
      </w:r>
      <w:r w:rsidR="00B33EAD" w:rsidRPr="00831573">
        <w:rPr>
          <w:rFonts w:cstheme="minorHAnsi"/>
          <w:lang w:val="en-GB"/>
        </w:rPr>
        <w:t xml:space="preserve"> that Article</w:t>
      </w:r>
      <w:r w:rsidR="00AF3F9C" w:rsidRPr="00831573">
        <w:rPr>
          <w:rFonts w:cstheme="minorHAnsi"/>
          <w:lang w:val="en-GB"/>
        </w:rPr>
        <w:t> </w:t>
      </w:r>
      <w:r w:rsidR="00B33EAD" w:rsidRPr="00831573">
        <w:rPr>
          <w:lang w:val="en-GB"/>
        </w:rPr>
        <w:t>5</w:t>
      </w:r>
      <w:r w:rsidR="00E03F27" w:rsidRPr="00831573">
        <w:rPr>
          <w:lang w:val="en-GB"/>
        </w:rPr>
        <w:t xml:space="preserve"> </w:t>
      </w:r>
      <w:r w:rsidR="00B33EAD" w:rsidRPr="00831573">
        <w:rPr>
          <w:rFonts w:cstheme="minorHAnsi"/>
          <w:lang w:val="en-GB"/>
        </w:rPr>
        <w:t>§</w:t>
      </w:r>
      <w:r w:rsidR="00B33EAD" w:rsidRPr="00831573">
        <w:rPr>
          <w:lang w:val="en-GB"/>
        </w:rPr>
        <w:t xml:space="preserve"> 1 (a) applies to any </w:t>
      </w:r>
      <w:r w:rsidR="007036D0" w:rsidRPr="00831573">
        <w:rPr>
          <w:lang w:val="en-GB"/>
        </w:rPr>
        <w:t>“</w:t>
      </w:r>
      <w:r w:rsidR="00B33EAD" w:rsidRPr="00831573">
        <w:rPr>
          <w:lang w:val="en-GB"/>
        </w:rPr>
        <w:t>conviction</w:t>
      </w:r>
      <w:r w:rsidR="007036D0" w:rsidRPr="00831573">
        <w:rPr>
          <w:lang w:val="en-GB"/>
        </w:rPr>
        <w:t>”</w:t>
      </w:r>
      <w:r w:rsidR="00620FE3" w:rsidRPr="00831573">
        <w:rPr>
          <w:lang w:val="en-GB"/>
        </w:rPr>
        <w:t xml:space="preserve"> (see paragraph </w:t>
      </w:r>
      <w:r w:rsidR="00492C34" w:rsidRPr="00831573">
        <w:rPr>
          <w:lang w:val="en-GB"/>
        </w:rPr>
        <w:fldChar w:fldCharType="begin"/>
      </w:r>
      <w:r w:rsidR="00492C34" w:rsidRPr="00831573">
        <w:rPr>
          <w:lang w:val="en-GB"/>
        </w:rPr>
        <w:instrText xml:space="preserve"> REF A51adefinition \h </w:instrText>
      </w:r>
      <w:r w:rsidR="00492C34" w:rsidRPr="00831573">
        <w:rPr>
          <w:lang w:val="en-GB"/>
        </w:rPr>
      </w:r>
      <w:r w:rsidR="00492C34" w:rsidRPr="00831573">
        <w:rPr>
          <w:lang w:val="en-GB"/>
        </w:rPr>
        <w:fldChar w:fldCharType="separate"/>
      </w:r>
      <w:r w:rsidR="00831573" w:rsidRPr="00831573">
        <w:rPr>
          <w:noProof/>
          <w:lang w:val="en-GB"/>
        </w:rPr>
        <w:t>75</w:t>
      </w:r>
      <w:r w:rsidR="00492C34" w:rsidRPr="00831573">
        <w:rPr>
          <w:lang w:val="en-GB"/>
        </w:rPr>
        <w:fldChar w:fldCharType="end"/>
      </w:r>
      <w:r w:rsidR="00620FE3" w:rsidRPr="00831573">
        <w:rPr>
          <w:lang w:val="en-GB"/>
        </w:rPr>
        <w:t xml:space="preserve"> above)</w:t>
      </w:r>
      <w:r w:rsidR="00B33EAD" w:rsidRPr="00831573">
        <w:rPr>
          <w:rFonts w:cstheme="minorHAnsi"/>
          <w:lang w:val="en-GB"/>
        </w:rPr>
        <w:t>.</w:t>
      </w:r>
    </w:p>
    <w:p w:rsidR="002C2420" w:rsidRPr="00831573" w:rsidRDefault="002C242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84</w:t>
      </w:r>
      <w:r w:rsidRPr="00831573">
        <w:rPr>
          <w:lang w:val="en-GB"/>
        </w:rPr>
        <w:fldChar w:fldCharType="end"/>
      </w:r>
      <w:r w:rsidRPr="00831573">
        <w:rPr>
          <w:lang w:val="en-GB"/>
        </w:rPr>
        <w:t>.  </w:t>
      </w:r>
      <w:r w:rsidR="008C07F2" w:rsidRPr="00831573">
        <w:rPr>
          <w:lang w:val="en-GB"/>
        </w:rPr>
        <w:t xml:space="preserve">In addition, as a matter of general principle, </w:t>
      </w:r>
      <w:r w:rsidR="002B6CFD" w:rsidRPr="00831573">
        <w:rPr>
          <w:lang w:val="en-GB"/>
        </w:rPr>
        <w:t>the Convention must be interpreted and applied in a manner which renders its guarantees practical and effective (see</w:t>
      </w:r>
      <w:r w:rsidR="002B49F5" w:rsidRPr="00831573">
        <w:rPr>
          <w:lang w:val="en-GB"/>
        </w:rPr>
        <w:t>, for example</w:t>
      </w:r>
      <w:r w:rsidR="002B6CFD" w:rsidRPr="00831573">
        <w:rPr>
          <w:lang w:val="en-GB"/>
        </w:rPr>
        <w:t xml:space="preserve">, </w:t>
      </w:r>
      <w:r w:rsidR="002B6CFD" w:rsidRPr="00831573">
        <w:rPr>
          <w:i/>
          <w:lang w:val="en-GB"/>
        </w:rPr>
        <w:t>Artico v. Italy</w:t>
      </w:r>
      <w:r w:rsidR="002B6CFD" w:rsidRPr="00831573">
        <w:rPr>
          <w:lang w:val="en-GB"/>
        </w:rPr>
        <w:t xml:space="preserve">, 13 May 1980, § 33, Series A no. 37 and </w:t>
      </w:r>
      <w:r w:rsidR="002B6CFD" w:rsidRPr="00831573">
        <w:rPr>
          <w:i/>
          <w:lang w:val="en-GB"/>
        </w:rPr>
        <w:t xml:space="preserve">X </w:t>
      </w:r>
      <w:r w:rsidR="002B6CFD" w:rsidRPr="00831573">
        <w:rPr>
          <w:i/>
          <w:snapToGrid w:val="0"/>
          <w:lang w:val="en-GB"/>
        </w:rPr>
        <w:t>v. Latvia</w:t>
      </w:r>
      <w:r w:rsidR="002B6CFD" w:rsidRPr="00831573">
        <w:rPr>
          <w:i/>
          <w:lang w:val="en-GB"/>
        </w:rPr>
        <w:t xml:space="preserve"> </w:t>
      </w:r>
      <w:r w:rsidR="002B6CFD" w:rsidRPr="00831573">
        <w:rPr>
          <w:lang w:val="en-GB"/>
        </w:rPr>
        <w:t>[GC]</w:t>
      </w:r>
      <w:r w:rsidR="002B6CFD" w:rsidRPr="00831573">
        <w:rPr>
          <w:snapToGrid w:val="0"/>
          <w:lang w:val="en-GB"/>
        </w:rPr>
        <w:t xml:space="preserve">, </w:t>
      </w:r>
      <w:r w:rsidR="002B6CFD" w:rsidRPr="00831573">
        <w:rPr>
          <w:lang w:val="en-GB"/>
        </w:rPr>
        <w:t>no. 27853/09</w:t>
      </w:r>
      <w:r w:rsidR="002B6CFD" w:rsidRPr="00831573">
        <w:rPr>
          <w:snapToGrid w:val="0"/>
          <w:lang w:val="en-GB"/>
        </w:rPr>
        <w:t xml:space="preserve">, § 94, </w:t>
      </w:r>
      <w:r w:rsidR="002B6CFD" w:rsidRPr="00831573">
        <w:rPr>
          <w:lang w:val="en-GB"/>
        </w:rPr>
        <w:t>ECHR 2013).</w:t>
      </w:r>
      <w:r w:rsidR="00E82637" w:rsidRPr="00831573">
        <w:rPr>
          <w:lang w:val="en-GB"/>
        </w:rPr>
        <w:t xml:space="preserve"> Furthermore, the Convention must be read as a whole</w:t>
      </w:r>
      <w:r w:rsidR="002B6CFD" w:rsidRPr="00831573">
        <w:rPr>
          <w:lang w:val="en-GB"/>
        </w:rPr>
        <w:t xml:space="preserve"> </w:t>
      </w:r>
      <w:r w:rsidR="00E82637" w:rsidRPr="00831573">
        <w:rPr>
          <w:lang w:val="en-GB"/>
        </w:rPr>
        <w:t xml:space="preserve">and interpreted in such a way as to promote internal consistency and harmony between its various provisions (see </w:t>
      </w:r>
      <w:r w:rsidR="00E82637" w:rsidRPr="00831573">
        <w:rPr>
          <w:i/>
          <w:lang w:val="en-GB"/>
        </w:rPr>
        <w:t>Klass and Others v. Germany</w:t>
      </w:r>
      <w:r w:rsidR="00E82637" w:rsidRPr="00831573">
        <w:rPr>
          <w:lang w:val="en-GB"/>
        </w:rPr>
        <w:t xml:space="preserve">, judgment of 6 September 1978, Series A no. 28, pp. 30-31, § 68 and </w:t>
      </w:r>
      <w:r w:rsidR="00E82637" w:rsidRPr="00831573">
        <w:rPr>
          <w:i/>
          <w:lang w:val="en-GB"/>
        </w:rPr>
        <w:t>Stec and Others v. the United Kingdom</w:t>
      </w:r>
      <w:r w:rsidR="00E82637" w:rsidRPr="00831573">
        <w:rPr>
          <w:lang w:val="en-GB"/>
        </w:rPr>
        <w:t xml:space="preserve"> (dec.) [GC], nos. 65731/01 and 65900/01</w:t>
      </w:r>
      <w:r w:rsidR="00E82637" w:rsidRPr="00831573">
        <w:rPr>
          <w:szCs w:val="24"/>
          <w:lang w:val="en-GB"/>
        </w:rPr>
        <w:t xml:space="preserve">, § 48, </w:t>
      </w:r>
      <w:r w:rsidR="005605C6" w:rsidRPr="00831573">
        <w:rPr>
          <w:lang w:val="en-GB"/>
        </w:rPr>
        <w:t>ECHR 2005</w:t>
      </w:r>
      <w:r w:rsidR="005605C6" w:rsidRPr="00831573">
        <w:rPr>
          <w:lang w:val="en-GB"/>
        </w:rPr>
        <w:noBreakHyphen/>
        <w:t>X).</w:t>
      </w:r>
    </w:p>
    <w:p w:rsidR="002B6CFD" w:rsidRPr="00831573" w:rsidRDefault="002C242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85</w:t>
      </w:r>
      <w:r w:rsidRPr="00831573">
        <w:rPr>
          <w:lang w:val="en-GB"/>
        </w:rPr>
        <w:fldChar w:fldCharType="end"/>
      </w:r>
      <w:r w:rsidRPr="00831573">
        <w:rPr>
          <w:lang w:val="en-GB"/>
        </w:rPr>
        <w:t>.  </w:t>
      </w:r>
      <w:r w:rsidR="002B6CFD" w:rsidRPr="00831573">
        <w:rPr>
          <w:lang w:val="en-GB"/>
        </w:rPr>
        <w:t>In light of th</w:t>
      </w:r>
      <w:r w:rsidR="00E82637" w:rsidRPr="00831573">
        <w:rPr>
          <w:lang w:val="en-GB"/>
        </w:rPr>
        <w:t>ese</w:t>
      </w:r>
      <w:r w:rsidR="002B6CFD" w:rsidRPr="00831573">
        <w:rPr>
          <w:lang w:val="en-GB"/>
        </w:rPr>
        <w:t xml:space="preserve"> principle</w:t>
      </w:r>
      <w:r w:rsidR="00E82637" w:rsidRPr="00831573">
        <w:rPr>
          <w:lang w:val="en-GB"/>
        </w:rPr>
        <w:t>s</w:t>
      </w:r>
      <w:r w:rsidR="002B6CFD" w:rsidRPr="00831573">
        <w:rPr>
          <w:lang w:val="en-GB"/>
        </w:rPr>
        <w:t xml:space="preserve">, </w:t>
      </w:r>
      <w:r w:rsidR="0060032D" w:rsidRPr="00831573">
        <w:rPr>
          <w:lang w:val="en-GB"/>
        </w:rPr>
        <w:t xml:space="preserve">and </w:t>
      </w:r>
      <w:r w:rsidR="00430384" w:rsidRPr="00831573">
        <w:rPr>
          <w:lang w:val="en-GB"/>
        </w:rPr>
        <w:t>giving a linguistically harmonious interpretation to</w:t>
      </w:r>
      <w:r w:rsidR="00810A7C" w:rsidRPr="00831573">
        <w:rPr>
          <w:lang w:val="en-GB"/>
        </w:rPr>
        <w:t xml:space="preserve"> the </w:t>
      </w:r>
      <w:r w:rsidR="008C07F2" w:rsidRPr="00831573">
        <w:rPr>
          <w:lang w:val="en-GB"/>
        </w:rPr>
        <w:t xml:space="preserve">expressions </w:t>
      </w:r>
      <w:r w:rsidR="00810A7C" w:rsidRPr="00831573">
        <w:rPr>
          <w:lang w:val="en-GB"/>
        </w:rPr>
        <w:t xml:space="preserve">“criminal charge” and “criminal offence” </w:t>
      </w:r>
      <w:r w:rsidR="008C07F2" w:rsidRPr="00831573">
        <w:rPr>
          <w:lang w:val="en-GB"/>
        </w:rPr>
        <w:t xml:space="preserve">in Article 6 </w:t>
      </w:r>
      <w:r w:rsidR="00810A7C" w:rsidRPr="00831573">
        <w:rPr>
          <w:lang w:val="en-GB"/>
        </w:rPr>
        <w:t xml:space="preserve">and </w:t>
      </w:r>
      <w:r w:rsidR="00430384" w:rsidRPr="00831573">
        <w:rPr>
          <w:lang w:val="en-GB"/>
        </w:rPr>
        <w:t>“conviction”</w:t>
      </w:r>
      <w:r w:rsidR="008C07F2" w:rsidRPr="00831573">
        <w:rPr>
          <w:lang w:val="en-GB"/>
        </w:rPr>
        <w:t xml:space="preserve"> in Article 5 § 1 (a)</w:t>
      </w:r>
      <w:r w:rsidR="00430384" w:rsidRPr="00831573">
        <w:rPr>
          <w:lang w:val="en-GB"/>
        </w:rPr>
        <w:t xml:space="preserve">, the Court </w:t>
      </w:r>
      <w:r w:rsidRPr="00831573">
        <w:rPr>
          <w:lang w:val="en-GB"/>
        </w:rPr>
        <w:t>concludes</w:t>
      </w:r>
      <w:r w:rsidR="007036D0" w:rsidRPr="00831573">
        <w:rPr>
          <w:lang w:val="en-GB"/>
        </w:rPr>
        <w:t>, firstly,</w:t>
      </w:r>
      <w:r w:rsidRPr="00831573">
        <w:rPr>
          <w:lang w:val="en-GB"/>
        </w:rPr>
        <w:t xml:space="preserve"> </w:t>
      </w:r>
      <w:r w:rsidR="00430384" w:rsidRPr="00831573">
        <w:rPr>
          <w:lang w:val="en-GB"/>
        </w:rPr>
        <w:t>that</w:t>
      </w:r>
      <w:r w:rsidR="00E82637" w:rsidRPr="00831573">
        <w:rPr>
          <w:lang w:val="en-GB"/>
        </w:rPr>
        <w:t>,</w:t>
      </w:r>
      <w:r w:rsidR="00401E68" w:rsidRPr="00831573">
        <w:rPr>
          <w:lang w:val="en-GB"/>
        </w:rPr>
        <w:t xml:space="preserve"> </w:t>
      </w:r>
      <w:r w:rsidR="0034331A" w:rsidRPr="00831573">
        <w:rPr>
          <w:lang w:val="en-GB"/>
        </w:rPr>
        <w:t xml:space="preserve">when a domestic court </w:t>
      </w:r>
      <w:r w:rsidR="00E82637" w:rsidRPr="00831573">
        <w:rPr>
          <w:lang w:val="en-GB"/>
        </w:rPr>
        <w:t>find</w:t>
      </w:r>
      <w:r w:rsidR="007036D0" w:rsidRPr="00831573">
        <w:rPr>
          <w:lang w:val="en-GB"/>
        </w:rPr>
        <w:t>s</w:t>
      </w:r>
      <w:r w:rsidR="00E82637" w:rsidRPr="00831573">
        <w:rPr>
          <w:lang w:val="en-GB"/>
        </w:rPr>
        <w:t xml:space="preserve"> against an individual in </w:t>
      </w:r>
      <w:r w:rsidR="008C07F2" w:rsidRPr="00831573">
        <w:rPr>
          <w:lang w:val="en-GB"/>
        </w:rPr>
        <w:t>proceedings</w:t>
      </w:r>
      <w:r w:rsidR="00E82637" w:rsidRPr="00831573">
        <w:rPr>
          <w:lang w:val="en-GB"/>
        </w:rPr>
        <w:t xml:space="preserve"> </w:t>
      </w:r>
      <w:r w:rsidR="006B7E59" w:rsidRPr="00831573">
        <w:rPr>
          <w:lang w:val="en-GB"/>
        </w:rPr>
        <w:t>which</w:t>
      </w:r>
      <w:r w:rsidR="008C07F2" w:rsidRPr="00831573">
        <w:rPr>
          <w:lang w:val="en-GB"/>
        </w:rPr>
        <w:t>, although</w:t>
      </w:r>
      <w:r w:rsidR="006B7E59" w:rsidRPr="00831573">
        <w:rPr>
          <w:lang w:val="en-GB"/>
        </w:rPr>
        <w:t xml:space="preserve"> </w:t>
      </w:r>
      <w:r w:rsidR="00E82637" w:rsidRPr="00831573">
        <w:rPr>
          <w:lang w:val="en-GB"/>
        </w:rPr>
        <w:t xml:space="preserve">classified in domestic law as civil, </w:t>
      </w:r>
      <w:r w:rsidR="008C07F2" w:rsidRPr="00831573">
        <w:rPr>
          <w:lang w:val="en-GB"/>
        </w:rPr>
        <w:t>fall under</w:t>
      </w:r>
      <w:r w:rsidR="00E82637" w:rsidRPr="00831573">
        <w:rPr>
          <w:lang w:val="en-GB"/>
        </w:rPr>
        <w:t xml:space="preserve"> the criminal limb of Article 6, </w:t>
      </w:r>
      <w:r w:rsidR="007036D0" w:rsidRPr="00831573">
        <w:rPr>
          <w:lang w:val="en-GB"/>
        </w:rPr>
        <w:t>there has been the “determination of a c</w:t>
      </w:r>
      <w:r w:rsidR="002B49F5" w:rsidRPr="00831573">
        <w:rPr>
          <w:lang w:val="en-GB"/>
        </w:rPr>
        <w:t xml:space="preserve">riminal </w:t>
      </w:r>
      <w:r w:rsidR="007036D0" w:rsidRPr="00831573">
        <w:rPr>
          <w:lang w:val="en-GB"/>
        </w:rPr>
        <w:t>charge” in the sense of Article 6; and, secondly, that that determination amounts to a finding of guilt f</w:t>
      </w:r>
      <w:r w:rsidR="00401E68" w:rsidRPr="00831573">
        <w:rPr>
          <w:lang w:val="en-GB"/>
        </w:rPr>
        <w:t>or the purpose</w:t>
      </w:r>
      <w:r w:rsidR="007036D0" w:rsidRPr="00831573">
        <w:rPr>
          <w:lang w:val="en-GB"/>
        </w:rPr>
        <w:t>s</w:t>
      </w:r>
      <w:r w:rsidR="00401E68" w:rsidRPr="00831573">
        <w:rPr>
          <w:lang w:val="en-GB"/>
        </w:rPr>
        <w:t xml:space="preserve"> of </w:t>
      </w:r>
      <w:r w:rsidR="007036D0" w:rsidRPr="00831573">
        <w:rPr>
          <w:lang w:val="en-GB"/>
        </w:rPr>
        <w:t xml:space="preserve">the application </w:t>
      </w:r>
      <w:r w:rsidR="0007267E" w:rsidRPr="00831573">
        <w:rPr>
          <w:lang w:val="en-GB"/>
        </w:rPr>
        <w:t xml:space="preserve">of </w:t>
      </w:r>
      <w:r w:rsidR="005605C6" w:rsidRPr="00831573">
        <w:rPr>
          <w:lang w:val="en-GB"/>
        </w:rPr>
        <w:t xml:space="preserve">Article 5 </w:t>
      </w:r>
      <w:r w:rsidR="002B6CFD" w:rsidRPr="00831573">
        <w:rPr>
          <w:lang w:val="en-GB"/>
        </w:rPr>
        <w:t>§ 1 (a).</w:t>
      </w:r>
    </w:p>
    <w:p w:rsidR="00401E68" w:rsidRPr="00831573" w:rsidRDefault="002B6CF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86</w:t>
      </w:r>
      <w:r w:rsidRPr="00831573">
        <w:rPr>
          <w:lang w:val="en-GB"/>
        </w:rPr>
        <w:fldChar w:fldCharType="end"/>
      </w:r>
      <w:r w:rsidR="00874BD6" w:rsidRPr="00831573">
        <w:rPr>
          <w:lang w:val="en-GB"/>
        </w:rPr>
        <w:t>.  </w:t>
      </w:r>
      <w:r w:rsidR="0007267E" w:rsidRPr="00831573">
        <w:rPr>
          <w:lang w:val="en-GB"/>
        </w:rPr>
        <w:t>As to the particular facts of the instant case, o</w:t>
      </w:r>
      <w:r w:rsidR="00430384" w:rsidRPr="00831573">
        <w:rPr>
          <w:lang w:val="en-GB"/>
        </w:rPr>
        <w:t xml:space="preserve">n the basis of all the material before it and having regard to </w:t>
      </w:r>
      <w:r w:rsidR="00EA06C6" w:rsidRPr="00831573">
        <w:rPr>
          <w:lang w:val="en-GB"/>
        </w:rPr>
        <w:t xml:space="preserve">its case-law </w:t>
      </w:r>
      <w:r w:rsidR="00686D8D" w:rsidRPr="00831573">
        <w:rPr>
          <w:lang w:val="en-GB"/>
        </w:rPr>
        <w:t>(</w:t>
      </w:r>
      <w:r w:rsidR="00EA06C6" w:rsidRPr="00831573">
        <w:rPr>
          <w:lang w:val="en-GB"/>
        </w:rPr>
        <w:t xml:space="preserve">for example, </w:t>
      </w:r>
      <w:r w:rsidR="00EA06C6" w:rsidRPr="00831573">
        <w:rPr>
          <w:i/>
          <w:lang w:val="en-GB"/>
        </w:rPr>
        <w:t>Engel</w:t>
      </w:r>
      <w:r w:rsidR="00EA06C6" w:rsidRPr="00831573">
        <w:rPr>
          <w:lang w:val="en-GB"/>
        </w:rPr>
        <w:t xml:space="preserve">, cited above, </w:t>
      </w:r>
      <w:r w:rsidR="00686D8D" w:rsidRPr="00831573">
        <w:rPr>
          <w:lang w:val="en-GB"/>
        </w:rPr>
        <w:t>§</w:t>
      </w:r>
      <w:r w:rsidR="00EA06C6" w:rsidRPr="00831573">
        <w:rPr>
          <w:rFonts w:cstheme="minorHAnsi"/>
          <w:lang w:val="en-GB"/>
        </w:rPr>
        <w:t xml:space="preserve">§ 82-83 and </w:t>
      </w:r>
      <w:r w:rsidR="00EA06C6" w:rsidRPr="00831573">
        <w:rPr>
          <w:i/>
          <w:lang w:val="en-GB"/>
        </w:rPr>
        <w:t xml:space="preserve">Ezeh and Connors v. the United Kingdom </w:t>
      </w:r>
      <w:r w:rsidR="00EA06C6" w:rsidRPr="00831573">
        <w:rPr>
          <w:lang w:val="en-GB"/>
        </w:rPr>
        <w:t>[GC],</w:t>
      </w:r>
      <w:r w:rsidR="00EA06C6" w:rsidRPr="00831573">
        <w:rPr>
          <w:i/>
          <w:lang w:val="en-GB"/>
        </w:rPr>
        <w:t xml:space="preserve"> </w:t>
      </w:r>
      <w:r w:rsidR="00EA06C6" w:rsidRPr="00831573">
        <w:rPr>
          <w:lang w:val="en-GB"/>
        </w:rPr>
        <w:t xml:space="preserve">nos. 39665/98 and 40086/98, </w:t>
      </w:r>
      <w:r w:rsidR="00686D8D" w:rsidRPr="00831573">
        <w:rPr>
          <w:lang w:val="en-GB"/>
        </w:rPr>
        <w:t>§</w:t>
      </w:r>
      <w:r w:rsidR="00EA06C6" w:rsidRPr="00831573">
        <w:rPr>
          <w:lang w:val="en-GB"/>
        </w:rPr>
        <w:t>§ 82-86, ECHR 2003</w:t>
      </w:r>
      <w:r w:rsidR="00EA06C6" w:rsidRPr="00831573">
        <w:rPr>
          <w:lang w:val="en-GB"/>
        </w:rPr>
        <w:noBreakHyphen/>
        <w:t>X</w:t>
      </w:r>
      <w:r w:rsidR="00686D8D" w:rsidRPr="00831573">
        <w:rPr>
          <w:lang w:val="en-GB"/>
        </w:rPr>
        <w:t>)</w:t>
      </w:r>
      <w:r w:rsidR="00EA06C6" w:rsidRPr="00831573">
        <w:rPr>
          <w:lang w:val="en-GB"/>
        </w:rPr>
        <w:t>,</w:t>
      </w:r>
      <w:r w:rsidR="00430384" w:rsidRPr="00831573">
        <w:rPr>
          <w:lang w:val="en-GB"/>
        </w:rPr>
        <w:t xml:space="preserve"> </w:t>
      </w:r>
      <w:r w:rsidR="009D2B22" w:rsidRPr="00831573">
        <w:rPr>
          <w:lang w:val="en-GB"/>
        </w:rPr>
        <w:t xml:space="preserve">the Court </w:t>
      </w:r>
      <w:r w:rsidR="0007267E" w:rsidRPr="00831573">
        <w:rPr>
          <w:lang w:val="en-GB"/>
        </w:rPr>
        <w:t>see</w:t>
      </w:r>
      <w:r w:rsidR="00430384" w:rsidRPr="00831573">
        <w:rPr>
          <w:lang w:val="en-GB"/>
        </w:rPr>
        <w:t>s no</w:t>
      </w:r>
      <w:r w:rsidR="009D2B22" w:rsidRPr="00831573">
        <w:rPr>
          <w:lang w:val="en-GB"/>
        </w:rPr>
        <w:t xml:space="preserve"> reason to depart from the Court of Appeal</w:t>
      </w:r>
      <w:r w:rsidR="00831573" w:rsidRPr="00831573">
        <w:rPr>
          <w:lang w:val="en-GB"/>
        </w:rPr>
        <w:t>’</w:t>
      </w:r>
      <w:r w:rsidR="009D2B22" w:rsidRPr="00831573">
        <w:rPr>
          <w:lang w:val="en-GB"/>
        </w:rPr>
        <w:t xml:space="preserve">s </w:t>
      </w:r>
      <w:r w:rsidR="003D2D42" w:rsidRPr="00831573">
        <w:rPr>
          <w:lang w:val="en-GB"/>
        </w:rPr>
        <w:t xml:space="preserve">conclusion on the applicability of the </w:t>
      </w:r>
      <w:r w:rsidR="008C07F2" w:rsidRPr="00831573">
        <w:rPr>
          <w:lang w:val="en-GB"/>
        </w:rPr>
        <w:t>“</w:t>
      </w:r>
      <w:r w:rsidR="003D2D42" w:rsidRPr="00831573">
        <w:rPr>
          <w:lang w:val="en-GB"/>
        </w:rPr>
        <w:t>criminal</w:t>
      </w:r>
      <w:r w:rsidR="008C07F2" w:rsidRPr="00831573">
        <w:rPr>
          <w:lang w:val="en-GB"/>
        </w:rPr>
        <w:t>”</w:t>
      </w:r>
      <w:r w:rsidR="003D2D42" w:rsidRPr="00831573">
        <w:rPr>
          <w:lang w:val="en-GB"/>
        </w:rPr>
        <w:t xml:space="preserve"> limb of Article 6</w:t>
      </w:r>
      <w:r w:rsidR="0007267E" w:rsidRPr="00831573">
        <w:rPr>
          <w:lang w:val="en-GB"/>
        </w:rPr>
        <w:t xml:space="preserve"> to the family-law County Court proceedings in which the applicant was found to have committed a civil contempt of court.</w:t>
      </w:r>
    </w:p>
    <w:p w:rsidR="007036D0" w:rsidRPr="00831573" w:rsidRDefault="007036D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87</w:t>
      </w:r>
      <w:r w:rsidRPr="00831573">
        <w:rPr>
          <w:lang w:val="en-GB"/>
        </w:rPr>
        <w:fldChar w:fldCharType="end"/>
      </w:r>
      <w:r w:rsidRPr="00831573">
        <w:rPr>
          <w:lang w:val="en-GB"/>
        </w:rPr>
        <w:t>.  </w:t>
      </w:r>
      <w:r w:rsidR="0007267E" w:rsidRPr="00831573">
        <w:rPr>
          <w:lang w:val="en-GB"/>
        </w:rPr>
        <w:t>As regards the second condition stated under the Court</w:t>
      </w:r>
      <w:r w:rsidR="00831573" w:rsidRPr="00831573">
        <w:rPr>
          <w:lang w:val="en-GB"/>
        </w:rPr>
        <w:t>’</w:t>
      </w:r>
      <w:r w:rsidR="0007267E" w:rsidRPr="00831573">
        <w:rPr>
          <w:lang w:val="en-GB"/>
        </w:rPr>
        <w:t xml:space="preserve">s case-law for the existence of a “conviction” in the autonomous </w:t>
      </w:r>
      <w:r w:rsidR="00B44B27" w:rsidRPr="00831573">
        <w:rPr>
          <w:lang w:val="en-GB"/>
        </w:rPr>
        <w:t xml:space="preserve">meaning </w:t>
      </w:r>
      <w:r w:rsidR="0007267E" w:rsidRPr="00831573">
        <w:rPr>
          <w:lang w:val="en-GB"/>
        </w:rPr>
        <w:t xml:space="preserve">of that term under Article 5 § 1 (a), </w:t>
      </w:r>
      <w:r w:rsidRPr="00831573">
        <w:rPr>
          <w:lang w:val="en-GB"/>
        </w:rPr>
        <w:t>the applicant</w:t>
      </w:r>
      <w:r w:rsidR="00831573" w:rsidRPr="00831573">
        <w:rPr>
          <w:lang w:val="en-GB"/>
        </w:rPr>
        <w:t>’</w:t>
      </w:r>
      <w:r w:rsidRPr="00831573">
        <w:rPr>
          <w:lang w:val="en-GB"/>
        </w:rPr>
        <w:t>s sentence of three months</w:t>
      </w:r>
      <w:r w:rsidR="00831573" w:rsidRPr="00831573">
        <w:rPr>
          <w:lang w:val="en-GB"/>
        </w:rPr>
        <w:t>’</w:t>
      </w:r>
      <w:r w:rsidRPr="00831573">
        <w:rPr>
          <w:lang w:val="en-GB"/>
        </w:rPr>
        <w:t xml:space="preserve"> imprisonment must clearly be taken to constitute a penalty involving a deprivation of liberty.</w:t>
      </w:r>
    </w:p>
    <w:p w:rsidR="00524651" w:rsidRPr="00831573" w:rsidRDefault="00401E68" w:rsidP="00831573">
      <w:pPr>
        <w:pStyle w:val="ECHRPara"/>
        <w:rPr>
          <w:snapToGrid w:val="0"/>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88</w:t>
      </w:r>
      <w:r w:rsidRPr="00831573">
        <w:rPr>
          <w:lang w:val="en-GB"/>
        </w:rPr>
        <w:fldChar w:fldCharType="end"/>
      </w:r>
      <w:r w:rsidRPr="00831573">
        <w:rPr>
          <w:lang w:val="en-GB"/>
        </w:rPr>
        <w:t>.</w:t>
      </w:r>
      <w:r w:rsidR="00401D2D" w:rsidRPr="00831573">
        <w:rPr>
          <w:lang w:val="en-GB"/>
        </w:rPr>
        <w:t>  </w:t>
      </w:r>
      <w:r w:rsidR="00F27578" w:rsidRPr="00831573">
        <w:rPr>
          <w:lang w:val="en-GB"/>
        </w:rPr>
        <w:t>Accordingly, the Court is satisfied that the County Court</w:t>
      </w:r>
      <w:r w:rsidR="00831573" w:rsidRPr="00831573">
        <w:rPr>
          <w:lang w:val="en-GB"/>
        </w:rPr>
        <w:t>’</w:t>
      </w:r>
      <w:r w:rsidR="00F27578" w:rsidRPr="00831573">
        <w:rPr>
          <w:lang w:val="en-GB"/>
        </w:rPr>
        <w:t>s finding that the applicant had committed civil contempt was a “conviction” and that Article 5</w:t>
      </w:r>
      <w:r w:rsidR="00DB5FB1" w:rsidRPr="00831573">
        <w:rPr>
          <w:lang w:val="en-GB"/>
        </w:rPr>
        <w:t xml:space="preserve"> </w:t>
      </w:r>
      <w:r w:rsidR="00F27578" w:rsidRPr="00831573">
        <w:rPr>
          <w:lang w:val="en-GB"/>
        </w:rPr>
        <w:t>§ 1 (a) is applicable</w:t>
      </w:r>
      <w:r w:rsidR="009D2B22" w:rsidRPr="00831573">
        <w:rPr>
          <w:lang w:val="en-GB"/>
        </w:rPr>
        <w:t>.</w:t>
      </w:r>
    </w:p>
    <w:p w:rsidR="007E3CFF" w:rsidRPr="00831573" w:rsidRDefault="00DA1FE1"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89</w:t>
      </w:r>
      <w:r w:rsidRPr="00831573">
        <w:rPr>
          <w:lang w:val="en-GB"/>
        </w:rPr>
        <w:fldChar w:fldCharType="end"/>
      </w:r>
      <w:r w:rsidRPr="00831573">
        <w:rPr>
          <w:lang w:val="en-GB"/>
        </w:rPr>
        <w:t>.</w:t>
      </w:r>
      <w:r w:rsidR="00401D2D" w:rsidRPr="00831573">
        <w:rPr>
          <w:lang w:val="en-GB"/>
        </w:rPr>
        <w:t>  </w:t>
      </w:r>
      <w:r w:rsidR="008C07F2" w:rsidRPr="00831573">
        <w:rPr>
          <w:lang w:val="en-GB"/>
        </w:rPr>
        <w:t>T</w:t>
      </w:r>
      <w:r w:rsidR="007E3CFF" w:rsidRPr="00831573">
        <w:rPr>
          <w:lang w:val="en-GB"/>
        </w:rPr>
        <w:t xml:space="preserve">he </w:t>
      </w:r>
      <w:r w:rsidR="00F077CA" w:rsidRPr="00831573">
        <w:rPr>
          <w:lang w:val="en-GB"/>
        </w:rPr>
        <w:t>applicant</w:t>
      </w:r>
      <w:r w:rsidR="007E3CFF" w:rsidRPr="00831573">
        <w:rPr>
          <w:lang w:val="en-GB"/>
        </w:rPr>
        <w:t xml:space="preserve"> gave</w:t>
      </w:r>
      <w:r w:rsidR="00F077CA" w:rsidRPr="00831573">
        <w:rPr>
          <w:lang w:val="en-GB"/>
        </w:rPr>
        <w:t xml:space="preserve"> an</w:t>
      </w:r>
      <w:r w:rsidR="007E3CFF" w:rsidRPr="00831573">
        <w:rPr>
          <w:lang w:val="en-GB"/>
        </w:rPr>
        <w:t xml:space="preserve"> undertaking to th</w:t>
      </w:r>
      <w:r w:rsidR="00F077CA" w:rsidRPr="00831573">
        <w:rPr>
          <w:lang w:val="en-GB"/>
        </w:rPr>
        <w:t>e County</w:t>
      </w:r>
      <w:r w:rsidR="007E3CFF" w:rsidRPr="00831573">
        <w:rPr>
          <w:lang w:val="en-GB"/>
        </w:rPr>
        <w:t xml:space="preserve"> </w:t>
      </w:r>
      <w:r w:rsidR="00F077CA" w:rsidRPr="00831573">
        <w:rPr>
          <w:lang w:val="en-GB"/>
        </w:rPr>
        <w:t>C</w:t>
      </w:r>
      <w:r w:rsidR="007E3CFF" w:rsidRPr="00831573">
        <w:rPr>
          <w:lang w:val="en-GB"/>
        </w:rPr>
        <w:t>ourt</w:t>
      </w:r>
      <w:r w:rsidR="005F47E2" w:rsidRPr="00831573">
        <w:rPr>
          <w:lang w:val="en-GB"/>
        </w:rPr>
        <w:t xml:space="preserve"> that he would not </w:t>
      </w:r>
      <w:r w:rsidR="00F077CA" w:rsidRPr="00831573">
        <w:rPr>
          <w:lang w:val="en-GB"/>
        </w:rPr>
        <w:t xml:space="preserve">act in various ways including, </w:t>
      </w:r>
      <w:r w:rsidR="00F077CA" w:rsidRPr="00831573">
        <w:rPr>
          <w:i/>
          <w:lang w:val="en-GB"/>
        </w:rPr>
        <w:t>inter alia</w:t>
      </w:r>
      <w:r w:rsidR="00F077CA" w:rsidRPr="00831573">
        <w:rPr>
          <w:lang w:val="en-GB"/>
        </w:rPr>
        <w:t xml:space="preserve">, contacting or communicating with his ex-wife. The County Court also made an order requiring him, </w:t>
      </w:r>
      <w:r w:rsidR="00F077CA" w:rsidRPr="00831573">
        <w:rPr>
          <w:i/>
          <w:lang w:val="en-GB"/>
        </w:rPr>
        <w:t>inter alia</w:t>
      </w:r>
      <w:r w:rsidR="00F077CA" w:rsidRPr="00831573">
        <w:rPr>
          <w:lang w:val="en-GB"/>
        </w:rPr>
        <w:t xml:space="preserve">, </w:t>
      </w:r>
      <w:r w:rsidR="0007267E" w:rsidRPr="00831573">
        <w:rPr>
          <w:lang w:val="en-GB"/>
        </w:rPr>
        <w:t xml:space="preserve">not to </w:t>
      </w:r>
      <w:r w:rsidR="00F077CA" w:rsidRPr="00831573">
        <w:rPr>
          <w:lang w:val="en-GB"/>
        </w:rPr>
        <w:t>use or threaten violence against his ex-wife</w:t>
      </w:r>
      <w:r w:rsidR="007E3CFF" w:rsidRPr="00831573">
        <w:rPr>
          <w:lang w:val="en-GB"/>
        </w:rPr>
        <w:t xml:space="preserve">. </w:t>
      </w:r>
      <w:r w:rsidR="008C07F2" w:rsidRPr="00831573">
        <w:rPr>
          <w:lang w:val="en-GB"/>
        </w:rPr>
        <w:t>G</w:t>
      </w:r>
      <w:r w:rsidR="009D2B22" w:rsidRPr="00831573">
        <w:rPr>
          <w:lang w:val="en-GB"/>
        </w:rPr>
        <w:t xml:space="preserve">iven the nature of undertakings in domestic law (see </w:t>
      </w:r>
      <w:r w:rsidR="0024798C" w:rsidRPr="00831573">
        <w:rPr>
          <w:lang w:val="en-GB"/>
        </w:rPr>
        <w:t xml:space="preserve">paragraphs </w:t>
      </w:r>
      <w:r w:rsidR="0024798C" w:rsidRPr="00831573">
        <w:rPr>
          <w:lang w:val="en-GB"/>
        </w:rPr>
        <w:fldChar w:fldCharType="begin"/>
      </w:r>
      <w:r w:rsidR="0024798C" w:rsidRPr="00831573">
        <w:rPr>
          <w:lang w:val="en-GB"/>
        </w:rPr>
        <w:instrText xml:space="preserve"> REF UndertakingsStart \h </w:instrText>
      </w:r>
      <w:r w:rsidR="00E36332" w:rsidRPr="00831573">
        <w:rPr>
          <w:lang w:val="en-GB"/>
        </w:rPr>
        <w:instrText xml:space="preserve"> \* MERGEFORMAT </w:instrText>
      </w:r>
      <w:r w:rsidR="0024798C" w:rsidRPr="00831573">
        <w:rPr>
          <w:lang w:val="en-GB"/>
        </w:rPr>
      </w:r>
      <w:r w:rsidR="0024798C" w:rsidRPr="00831573">
        <w:rPr>
          <w:lang w:val="en-GB"/>
        </w:rPr>
        <w:fldChar w:fldCharType="separate"/>
      </w:r>
      <w:r w:rsidR="00831573" w:rsidRPr="00831573">
        <w:rPr>
          <w:lang w:val="en-GB"/>
        </w:rPr>
        <w:t>39</w:t>
      </w:r>
      <w:r w:rsidR="0024798C" w:rsidRPr="00831573">
        <w:rPr>
          <w:lang w:val="en-GB"/>
        </w:rPr>
        <w:fldChar w:fldCharType="end"/>
      </w:r>
      <w:r w:rsidR="0024798C" w:rsidRPr="00831573">
        <w:rPr>
          <w:lang w:val="en-GB"/>
        </w:rPr>
        <w:t>-</w:t>
      </w:r>
      <w:r w:rsidR="0024798C" w:rsidRPr="00831573">
        <w:rPr>
          <w:lang w:val="en-GB"/>
        </w:rPr>
        <w:fldChar w:fldCharType="begin"/>
      </w:r>
      <w:r w:rsidR="0024798C" w:rsidRPr="00831573">
        <w:rPr>
          <w:lang w:val="en-GB"/>
        </w:rPr>
        <w:instrText xml:space="preserve"> REF UndertakingsEnd \h </w:instrText>
      </w:r>
      <w:r w:rsidR="00E36332" w:rsidRPr="00831573">
        <w:rPr>
          <w:lang w:val="en-GB"/>
        </w:rPr>
        <w:instrText xml:space="preserve"> \* MERGEFORMAT </w:instrText>
      </w:r>
      <w:r w:rsidR="0024798C" w:rsidRPr="00831573">
        <w:rPr>
          <w:lang w:val="en-GB"/>
        </w:rPr>
      </w:r>
      <w:r w:rsidR="0024798C" w:rsidRPr="00831573">
        <w:rPr>
          <w:lang w:val="en-GB"/>
        </w:rPr>
        <w:fldChar w:fldCharType="separate"/>
      </w:r>
      <w:r w:rsidR="00831573" w:rsidRPr="00831573">
        <w:rPr>
          <w:lang w:val="en-GB"/>
        </w:rPr>
        <w:t>40</w:t>
      </w:r>
      <w:r w:rsidR="0024798C" w:rsidRPr="00831573">
        <w:rPr>
          <w:lang w:val="en-GB"/>
        </w:rPr>
        <w:fldChar w:fldCharType="end"/>
      </w:r>
      <w:r w:rsidR="009D2B22" w:rsidRPr="00831573">
        <w:rPr>
          <w:lang w:val="en-GB"/>
        </w:rPr>
        <w:t xml:space="preserve"> above), there is no reason to distinguish between orders made by courts and undertakings given by individua</w:t>
      </w:r>
      <w:r w:rsidR="007E3CFF" w:rsidRPr="00831573">
        <w:rPr>
          <w:lang w:val="en-GB"/>
        </w:rPr>
        <w:t xml:space="preserve">ls and accepted by </w:t>
      </w:r>
      <w:r w:rsidR="00F077CA" w:rsidRPr="00831573">
        <w:rPr>
          <w:lang w:val="en-GB"/>
        </w:rPr>
        <w:t xml:space="preserve">those </w:t>
      </w:r>
      <w:r w:rsidR="007E3CFF" w:rsidRPr="00831573">
        <w:rPr>
          <w:lang w:val="en-GB"/>
        </w:rPr>
        <w:t>courts</w:t>
      </w:r>
      <w:r w:rsidR="00401D2D" w:rsidRPr="00831573">
        <w:rPr>
          <w:lang w:val="en-GB"/>
        </w:rPr>
        <w:t xml:space="preserve"> for the purpose</w:t>
      </w:r>
      <w:r w:rsidR="00B60059" w:rsidRPr="00831573">
        <w:rPr>
          <w:lang w:val="en-GB"/>
        </w:rPr>
        <w:t>s</w:t>
      </w:r>
      <w:r w:rsidR="00401D2D" w:rsidRPr="00831573">
        <w:rPr>
          <w:lang w:val="en-GB"/>
        </w:rPr>
        <w:t xml:space="preserve"> of Article </w:t>
      </w:r>
      <w:r w:rsidR="00283E0B" w:rsidRPr="00831573">
        <w:rPr>
          <w:lang w:val="en-GB"/>
        </w:rPr>
        <w:t>5</w:t>
      </w:r>
      <w:r w:rsidR="00401D2D" w:rsidRPr="00831573">
        <w:rPr>
          <w:lang w:val="en-GB"/>
        </w:rPr>
        <w:t xml:space="preserve"> </w:t>
      </w:r>
      <w:r w:rsidR="00283E0B" w:rsidRPr="00831573">
        <w:rPr>
          <w:lang w:val="en-GB"/>
        </w:rPr>
        <w:t>§</w:t>
      </w:r>
      <w:r w:rsidR="00DB5FB1" w:rsidRPr="00831573">
        <w:rPr>
          <w:lang w:val="en-GB"/>
        </w:rPr>
        <w:t xml:space="preserve"> </w:t>
      </w:r>
      <w:r w:rsidR="00283E0B" w:rsidRPr="00831573">
        <w:rPr>
          <w:lang w:val="en-GB"/>
        </w:rPr>
        <w:t>1 (b)</w:t>
      </w:r>
      <w:r w:rsidR="007E3CFF" w:rsidRPr="00831573">
        <w:rPr>
          <w:lang w:val="en-GB"/>
        </w:rPr>
        <w:t>.</w:t>
      </w:r>
    </w:p>
    <w:p w:rsidR="00004DC4" w:rsidRPr="00831573" w:rsidRDefault="00004DC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90</w:t>
      </w:r>
      <w:r w:rsidRPr="00831573">
        <w:rPr>
          <w:lang w:val="en-GB"/>
        </w:rPr>
        <w:fldChar w:fldCharType="end"/>
      </w:r>
      <w:r w:rsidRPr="00831573">
        <w:rPr>
          <w:lang w:val="en-GB"/>
        </w:rPr>
        <w:t>.</w:t>
      </w:r>
      <w:r w:rsidR="00093E4B" w:rsidRPr="00831573">
        <w:rPr>
          <w:lang w:val="en-GB"/>
        </w:rPr>
        <w:t>  </w:t>
      </w:r>
      <w:r w:rsidR="00A155B6" w:rsidRPr="00831573">
        <w:rPr>
          <w:lang w:val="en-GB"/>
        </w:rPr>
        <w:t>The County Court</w:t>
      </w:r>
      <w:r w:rsidR="00831573" w:rsidRPr="00831573">
        <w:rPr>
          <w:lang w:val="en-GB"/>
        </w:rPr>
        <w:t>’</w:t>
      </w:r>
      <w:r w:rsidR="00A155B6" w:rsidRPr="00831573">
        <w:rPr>
          <w:lang w:val="en-GB"/>
        </w:rPr>
        <w:t>s finding that the applicant had committed a civil contempt expressly related to his failure to abide by a court order, as well as an undertaking which had been accepted by the court. Accordingly,</w:t>
      </w:r>
      <w:r w:rsidR="00DB5FB1" w:rsidRPr="00831573">
        <w:rPr>
          <w:lang w:val="en-GB"/>
        </w:rPr>
        <w:t xml:space="preserve"> </w:t>
      </w:r>
      <w:r w:rsidRPr="00831573">
        <w:rPr>
          <w:lang w:val="en-GB"/>
        </w:rPr>
        <w:t>the Court finds that the first limb of Article 5</w:t>
      </w:r>
      <w:r w:rsidR="00DB5FB1" w:rsidRPr="00831573">
        <w:rPr>
          <w:lang w:val="en-GB"/>
        </w:rPr>
        <w:t xml:space="preserve"> </w:t>
      </w:r>
      <w:r w:rsidRPr="00831573">
        <w:rPr>
          <w:lang w:val="en-GB"/>
        </w:rPr>
        <w:t>§ 1 (b)</w:t>
      </w:r>
      <w:r w:rsidR="008C07F2" w:rsidRPr="00831573">
        <w:rPr>
          <w:lang w:val="en-GB"/>
        </w:rPr>
        <w:t xml:space="preserve"> (the lawful detention of a person for non-compliance </w:t>
      </w:r>
      <w:r w:rsidR="00013A12" w:rsidRPr="00831573">
        <w:rPr>
          <w:lang w:val="en-GB"/>
        </w:rPr>
        <w:t>with the lawful order of a court</w:t>
      </w:r>
      <w:r w:rsidR="008C07F2" w:rsidRPr="00831573">
        <w:rPr>
          <w:lang w:val="en-GB"/>
        </w:rPr>
        <w:t>)</w:t>
      </w:r>
      <w:r w:rsidRPr="00831573">
        <w:rPr>
          <w:lang w:val="en-GB"/>
        </w:rPr>
        <w:t xml:space="preserve"> is applicable to the applicant</w:t>
      </w:r>
      <w:r w:rsidR="00831573" w:rsidRPr="00831573">
        <w:rPr>
          <w:lang w:val="en-GB"/>
        </w:rPr>
        <w:t>’</w:t>
      </w:r>
      <w:r w:rsidRPr="00831573">
        <w:rPr>
          <w:lang w:val="en-GB"/>
        </w:rPr>
        <w:t>s detention.</w:t>
      </w:r>
    </w:p>
    <w:p w:rsidR="007A3087" w:rsidRPr="00831573" w:rsidRDefault="007A308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91</w:t>
      </w:r>
      <w:r w:rsidRPr="00831573">
        <w:rPr>
          <w:lang w:val="en-GB"/>
        </w:rPr>
        <w:fldChar w:fldCharType="end"/>
      </w:r>
      <w:r w:rsidRPr="00831573">
        <w:rPr>
          <w:lang w:val="en-GB"/>
        </w:rPr>
        <w:t>.</w:t>
      </w:r>
      <w:r w:rsidR="00093E4B" w:rsidRPr="00831573">
        <w:rPr>
          <w:lang w:val="en-GB"/>
        </w:rPr>
        <w:t>  </w:t>
      </w:r>
      <w:r w:rsidR="00093086" w:rsidRPr="00831573">
        <w:rPr>
          <w:lang w:val="en-GB"/>
        </w:rPr>
        <w:t xml:space="preserve">In light of its </w:t>
      </w:r>
      <w:r w:rsidRPr="00831573">
        <w:rPr>
          <w:lang w:val="en-GB"/>
        </w:rPr>
        <w:t>clear case-law that deprivation of liberty to which the second limb of Article 5</w:t>
      </w:r>
      <w:r w:rsidR="00DB5FB1" w:rsidRPr="00831573">
        <w:rPr>
          <w:lang w:val="en-GB"/>
        </w:rPr>
        <w:t xml:space="preserve"> </w:t>
      </w:r>
      <w:r w:rsidRPr="00831573">
        <w:rPr>
          <w:lang w:val="en-GB"/>
        </w:rPr>
        <w:t>§ 1 (b) applies cannot have punishment as one of its aims, the Court finds that, because civil contempt includes punishment as one of its aims, the second limb of Article 5</w:t>
      </w:r>
      <w:r w:rsidR="004361D5" w:rsidRPr="00831573">
        <w:rPr>
          <w:lang w:val="en-GB"/>
        </w:rPr>
        <w:t xml:space="preserve"> </w:t>
      </w:r>
      <w:r w:rsidRPr="00831573">
        <w:rPr>
          <w:lang w:val="en-GB"/>
        </w:rPr>
        <w:t xml:space="preserve">§ 1 (b) </w:t>
      </w:r>
      <w:r w:rsidR="00013A12" w:rsidRPr="00831573">
        <w:rPr>
          <w:lang w:val="en-GB"/>
        </w:rPr>
        <w:t>(the lawful detention</w:t>
      </w:r>
      <w:r w:rsidR="00165E6C" w:rsidRPr="00831573">
        <w:rPr>
          <w:lang w:val="en-GB"/>
        </w:rPr>
        <w:t xml:space="preserve"> of a person in order to secure the fulfilment of an obligation prescribed by law</w:t>
      </w:r>
      <w:r w:rsidR="00013A12" w:rsidRPr="00831573">
        <w:rPr>
          <w:lang w:val="en-GB"/>
        </w:rPr>
        <w:t xml:space="preserve">) </w:t>
      </w:r>
      <w:r w:rsidRPr="00831573">
        <w:rPr>
          <w:lang w:val="en-GB"/>
        </w:rPr>
        <w:t>is not applicable to the applicant</w:t>
      </w:r>
      <w:r w:rsidR="00831573" w:rsidRPr="00831573">
        <w:rPr>
          <w:lang w:val="en-GB"/>
        </w:rPr>
        <w:t>’</w:t>
      </w:r>
      <w:r w:rsidRPr="00831573">
        <w:rPr>
          <w:lang w:val="en-GB"/>
        </w:rPr>
        <w:t>s detention.</w:t>
      </w:r>
    </w:p>
    <w:p w:rsidR="000F49BF" w:rsidRPr="00831573" w:rsidRDefault="0083614B" w:rsidP="00831573">
      <w:pPr>
        <w:pStyle w:val="ECHRHeading4"/>
        <w:rPr>
          <w:lang w:val="en-GB"/>
        </w:rPr>
      </w:pPr>
      <w:r w:rsidRPr="00831573">
        <w:rPr>
          <w:lang w:val="en-GB"/>
        </w:rPr>
        <w:t>(b)</w:t>
      </w:r>
      <w:r w:rsidR="00874BD6" w:rsidRPr="00831573">
        <w:rPr>
          <w:lang w:val="en-GB"/>
        </w:rPr>
        <w:t>  </w:t>
      </w:r>
      <w:r w:rsidR="000F49BF" w:rsidRPr="00831573">
        <w:rPr>
          <w:lang w:val="en-GB"/>
        </w:rPr>
        <w:t>General principles</w:t>
      </w:r>
      <w:r w:rsidRPr="00831573">
        <w:rPr>
          <w:lang w:val="en-GB"/>
        </w:rPr>
        <w:t xml:space="preserve"> relating to Article 5 </w:t>
      </w:r>
      <w:r w:rsidRPr="00831573">
        <w:rPr>
          <w:rFonts w:cstheme="majorHAnsi"/>
          <w:lang w:val="en-GB"/>
        </w:rPr>
        <w:t>§</w:t>
      </w:r>
      <w:r w:rsidRPr="00831573">
        <w:rPr>
          <w:lang w:val="en-GB"/>
        </w:rPr>
        <w:t xml:space="preserve"> 1</w:t>
      </w:r>
    </w:p>
    <w:p w:rsidR="002C3D10" w:rsidRPr="00831573" w:rsidRDefault="007426EE" w:rsidP="00831573">
      <w:pPr>
        <w:pStyle w:val="ECHRPara"/>
        <w:rPr>
          <w: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92</w:t>
      </w:r>
      <w:r w:rsidRPr="00831573">
        <w:rPr>
          <w:lang w:val="en-GB"/>
        </w:rPr>
        <w:fldChar w:fldCharType="end"/>
      </w:r>
      <w:r w:rsidRPr="00831573">
        <w:rPr>
          <w:lang w:val="en-GB"/>
        </w:rPr>
        <w:t>.</w:t>
      </w:r>
      <w:r w:rsidR="00A10DA6" w:rsidRPr="00831573">
        <w:rPr>
          <w:lang w:val="en-GB"/>
        </w:rPr>
        <w:t>  </w:t>
      </w:r>
      <w:r w:rsidR="002E0050" w:rsidRPr="00831573">
        <w:rPr>
          <w:lang w:val="en-GB"/>
        </w:rPr>
        <w:t xml:space="preserve">The object and </w:t>
      </w:r>
      <w:r w:rsidR="00165E6C" w:rsidRPr="00831573">
        <w:rPr>
          <w:lang w:val="en-GB"/>
        </w:rPr>
        <w:t xml:space="preserve">the </w:t>
      </w:r>
      <w:r w:rsidR="002E0050" w:rsidRPr="00831573">
        <w:rPr>
          <w:lang w:val="en-GB"/>
        </w:rPr>
        <w:t xml:space="preserve">purpose of Article 5 § 1 </w:t>
      </w:r>
      <w:r w:rsidR="00165E6C" w:rsidRPr="00831573">
        <w:rPr>
          <w:lang w:val="en-GB"/>
        </w:rPr>
        <w:t>are</w:t>
      </w:r>
      <w:r w:rsidR="002E0050" w:rsidRPr="00831573">
        <w:rPr>
          <w:lang w:val="en-GB"/>
        </w:rPr>
        <w:t xml:space="preserve"> to ensure that no-one is dispossessed of his liberty in an arbitrary fashion (see </w:t>
      </w:r>
      <w:r w:rsidR="002E0050" w:rsidRPr="00831573">
        <w:rPr>
          <w:i/>
          <w:lang w:val="en-GB"/>
        </w:rPr>
        <w:t>Saadi v. the United Kingdom</w:t>
      </w:r>
      <w:r w:rsidR="002E0050" w:rsidRPr="00831573">
        <w:rPr>
          <w:lang w:val="en-GB"/>
        </w:rPr>
        <w:t xml:space="preserve"> [GC], no. 13229/03, § 66, 29 January 2008 and </w:t>
      </w:r>
      <w:r w:rsidR="00831573" w:rsidRPr="00831573">
        <w:rPr>
          <w:i/>
          <w:lang w:val="en-GB"/>
        </w:rPr>
        <w:t>James, Wells and </w:t>
      </w:r>
      <w:r w:rsidR="002E0050" w:rsidRPr="00831573">
        <w:rPr>
          <w:i/>
          <w:lang w:val="en-GB"/>
        </w:rPr>
        <w:t>Lee</w:t>
      </w:r>
      <w:r w:rsidR="00B34A62" w:rsidRPr="00831573">
        <w:rPr>
          <w:lang w:val="en-GB"/>
        </w:rPr>
        <w:t>, cited above</w:t>
      </w:r>
      <w:r w:rsidR="002E0050" w:rsidRPr="00831573">
        <w:rPr>
          <w:snapToGrid w:val="0"/>
          <w:lang w:val="en-GB"/>
        </w:rPr>
        <w:t>, § 187</w:t>
      </w:r>
      <w:r w:rsidR="002E0050" w:rsidRPr="00831573">
        <w:rPr>
          <w:lang w:val="en-GB"/>
        </w:rPr>
        <w:t>).</w:t>
      </w:r>
    </w:p>
    <w:p w:rsidR="000F49BF" w:rsidRPr="00831573" w:rsidRDefault="0083614B" w:rsidP="00831573">
      <w:pPr>
        <w:pStyle w:val="ECHRHeading5"/>
        <w:rPr>
          <w:lang w:val="en-GB"/>
        </w:rPr>
      </w:pPr>
      <w:r w:rsidRPr="00831573">
        <w:rPr>
          <w:lang w:val="en-GB"/>
        </w:rPr>
        <w:t>(</w:t>
      </w:r>
      <w:r w:rsidR="00F6138A" w:rsidRPr="00831573">
        <w:rPr>
          <w:lang w:val="en-GB"/>
        </w:rPr>
        <w:t>i</w:t>
      </w:r>
      <w:r w:rsidRPr="00831573">
        <w:rPr>
          <w:lang w:val="en-GB"/>
        </w:rPr>
        <w:t>)</w:t>
      </w:r>
      <w:r w:rsidR="005605C6" w:rsidRPr="00831573">
        <w:rPr>
          <w:lang w:val="en-GB"/>
        </w:rPr>
        <w:t>  </w:t>
      </w:r>
      <w:r w:rsidR="0007267E" w:rsidRPr="00831573">
        <w:rPr>
          <w:lang w:val="en-GB"/>
        </w:rPr>
        <w:t>“Lawfulness” of the detention</w:t>
      </w:r>
    </w:p>
    <w:bookmarkStart w:id="36" w:name="MoorenPrinciples"/>
    <w:bookmarkStart w:id="37" w:name="A51ComplianceNationalLawMooren"/>
    <w:p w:rsidR="003204A0" w:rsidRPr="00831573" w:rsidRDefault="003204A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93</w:t>
      </w:r>
      <w:r w:rsidRPr="00831573">
        <w:rPr>
          <w:lang w:val="en-GB"/>
        </w:rPr>
        <w:fldChar w:fldCharType="end"/>
      </w:r>
      <w:r w:rsidRPr="00831573">
        <w:rPr>
          <w:lang w:val="en-GB"/>
        </w:rPr>
        <w:t>.  </w:t>
      </w:r>
      <w:r w:rsidR="001860EF" w:rsidRPr="00831573">
        <w:rPr>
          <w:lang w:val="en-GB"/>
        </w:rPr>
        <w:t xml:space="preserve">The starting points for the requirement linked to </w:t>
      </w:r>
      <w:r w:rsidR="0007267E" w:rsidRPr="00831573">
        <w:rPr>
          <w:lang w:val="en-GB"/>
        </w:rPr>
        <w:t xml:space="preserve">the “lawfulness” of the detention </w:t>
      </w:r>
      <w:r w:rsidR="001860EF" w:rsidRPr="00831573">
        <w:rPr>
          <w:lang w:val="en-GB"/>
        </w:rPr>
        <w:t xml:space="preserve">are the introductory phrase to Article 5 </w:t>
      </w:r>
      <w:r w:rsidR="001860EF" w:rsidRPr="00831573">
        <w:rPr>
          <w:rFonts w:cstheme="minorHAnsi"/>
          <w:lang w:val="en-GB"/>
        </w:rPr>
        <w:t>§</w:t>
      </w:r>
      <w:r w:rsidR="001860EF" w:rsidRPr="00831573">
        <w:rPr>
          <w:lang w:val="en-GB"/>
        </w:rPr>
        <w:t xml:space="preserve"> 1 “in accordance with a procedure prescribed by law” and the use of the adjective “lawful” in the subsequent, exhaustive list of permissible instances of deprivation of liberty in sub-paragraphs (a) to (f).</w:t>
      </w:r>
    </w:p>
    <w:p w:rsidR="00E81F0C" w:rsidRPr="00831573" w:rsidRDefault="0069028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94</w:t>
      </w:r>
      <w:r w:rsidRPr="00831573">
        <w:rPr>
          <w:lang w:val="en-GB"/>
        </w:rPr>
        <w:fldChar w:fldCharType="end"/>
      </w:r>
      <w:bookmarkEnd w:id="36"/>
      <w:bookmarkEnd w:id="37"/>
      <w:r w:rsidR="00B63749" w:rsidRPr="00831573">
        <w:rPr>
          <w:lang w:val="en-GB"/>
        </w:rPr>
        <w:t>.  </w:t>
      </w:r>
      <w:r w:rsidRPr="00831573">
        <w:rPr>
          <w:lang w:val="en-GB"/>
        </w:rPr>
        <w:t xml:space="preserve">The Court recalls the general principles which the Grand Chamber set out at paragraph 72-75 of </w:t>
      </w:r>
      <w:r w:rsidRPr="00831573">
        <w:rPr>
          <w:i/>
          <w:lang w:val="en-GB"/>
        </w:rPr>
        <w:t>Mooren</w:t>
      </w:r>
      <w:r w:rsidRPr="00831573">
        <w:rPr>
          <w:lang w:val="en-GB"/>
        </w:rPr>
        <w:t>, cited above</w:t>
      </w:r>
      <w:r w:rsidR="00E81F0C" w:rsidRPr="00831573">
        <w:rPr>
          <w:lang w:val="en-GB"/>
        </w:rPr>
        <w:t>:</w:t>
      </w:r>
    </w:p>
    <w:p w:rsidR="00E81F0C" w:rsidRPr="00831573" w:rsidRDefault="00985A54" w:rsidP="00831573">
      <w:pPr>
        <w:pStyle w:val="ECHRParaQuote"/>
        <w:rPr>
          <w:lang w:val="en-GB"/>
        </w:rPr>
      </w:pPr>
      <w:r w:rsidRPr="00831573">
        <w:rPr>
          <w:lang w:val="en-GB"/>
        </w:rPr>
        <w:t>“</w:t>
      </w:r>
      <w:r w:rsidR="00874BD6" w:rsidRPr="00831573">
        <w:rPr>
          <w:lang w:val="en-GB"/>
        </w:rPr>
        <w:t>72.  </w:t>
      </w:r>
      <w:r w:rsidR="00E81F0C" w:rsidRPr="00831573">
        <w:rPr>
          <w:lang w:val="en-GB"/>
        </w:rPr>
        <w:t xml:space="preserve">Where the </w:t>
      </w:r>
      <w:r w:rsidR="00831573" w:rsidRPr="00831573">
        <w:rPr>
          <w:lang w:val="en-GB"/>
        </w:rPr>
        <w:t>‘</w:t>
      </w:r>
      <w:r w:rsidR="00E81F0C" w:rsidRPr="00831573">
        <w:rPr>
          <w:lang w:val="en-GB"/>
        </w:rPr>
        <w:t>lawfulness</w:t>
      </w:r>
      <w:r w:rsidR="00831573" w:rsidRPr="00831573">
        <w:rPr>
          <w:lang w:val="en-GB"/>
        </w:rPr>
        <w:t>’</w:t>
      </w:r>
      <w:r w:rsidR="00E81F0C" w:rsidRPr="00831573">
        <w:rPr>
          <w:lang w:val="en-GB"/>
        </w:rPr>
        <w:t xml:space="preserve"> of detention is in issue</w:t>
      </w:r>
      <w:r w:rsidR="00424595" w:rsidRPr="00831573">
        <w:rPr>
          <w:lang w:val="en-GB"/>
        </w:rPr>
        <w:t xml:space="preserve"> </w:t>
      </w:r>
      <w:r w:rsidR="00F87D13" w:rsidRPr="00831573">
        <w:rPr>
          <w:lang w:val="en-GB"/>
        </w:rPr>
        <w:t>...</w:t>
      </w:r>
      <w:r w:rsidR="00E81F0C" w:rsidRPr="00831573">
        <w:rPr>
          <w:lang w:val="en-GB"/>
        </w:rPr>
        <w:t xml:space="preserve"> the Convention refers essentially to national law and lays down the obligation to conform to the substantive and procedural rules thereof. </w:t>
      </w:r>
      <w:r w:rsidR="00F87D13" w:rsidRPr="00831573">
        <w:rPr>
          <w:lang w:val="en-GB"/>
        </w:rPr>
        <w:t>...</w:t>
      </w:r>
    </w:p>
    <w:p w:rsidR="00E81F0C" w:rsidRPr="00831573" w:rsidRDefault="00874BD6" w:rsidP="00831573">
      <w:pPr>
        <w:pStyle w:val="ECHRParaQuote"/>
        <w:rPr>
          <w:lang w:val="en-GB"/>
        </w:rPr>
      </w:pPr>
      <w:r w:rsidRPr="00831573">
        <w:rPr>
          <w:lang w:val="en-GB"/>
        </w:rPr>
        <w:t>73.  </w:t>
      </w:r>
      <w:r w:rsidR="00E81F0C" w:rsidRPr="00831573">
        <w:rPr>
          <w:lang w:val="en-GB"/>
        </w:rPr>
        <w:t xml:space="preserve">Although it is in the first place for the national authorities, notably the courts, to interpret and apply domestic law, under Article 5 § 1 failure to comply with domestic law entails a breach of the Convention and the Court can and should therefore review whether this law has been complied with </w:t>
      </w:r>
      <w:r w:rsidR="00F87D13" w:rsidRPr="00831573">
        <w:rPr>
          <w:lang w:val="en-GB"/>
        </w:rPr>
        <w:t>...</w:t>
      </w:r>
    </w:p>
    <w:p w:rsidR="00E81F0C" w:rsidRPr="00831573" w:rsidRDefault="00874BD6" w:rsidP="00831573">
      <w:pPr>
        <w:pStyle w:val="ECHRParaQuote"/>
        <w:rPr>
          <w:lang w:val="en-GB"/>
        </w:rPr>
      </w:pPr>
      <w:r w:rsidRPr="00831573">
        <w:rPr>
          <w:lang w:val="en-GB"/>
        </w:rPr>
        <w:t>74.  </w:t>
      </w:r>
      <w:r w:rsidR="00E81F0C" w:rsidRPr="00831573">
        <w:rPr>
          <w:lang w:val="en-GB"/>
        </w:rPr>
        <w:t>However, the Court has clarified</w:t>
      </w:r>
      <w:r w:rsidR="00424595" w:rsidRPr="00831573">
        <w:rPr>
          <w:lang w:val="en-GB"/>
        </w:rPr>
        <w:t xml:space="preserve"> </w:t>
      </w:r>
      <w:r w:rsidR="00F87D13" w:rsidRPr="00831573">
        <w:rPr>
          <w:lang w:val="en-GB"/>
        </w:rPr>
        <w:t>...</w:t>
      </w:r>
      <w:r w:rsidR="00E81F0C" w:rsidRPr="00831573">
        <w:rPr>
          <w:lang w:val="en-GB"/>
        </w:rPr>
        <w:t xml:space="preserve"> that not every fault discovered in a detention order renders the underlying detention as such unlawful </w:t>
      </w:r>
      <w:r w:rsidR="005605C6" w:rsidRPr="00831573">
        <w:rPr>
          <w:lang w:val="en-GB"/>
        </w:rPr>
        <w:t>for the purposes of Article 5 § </w:t>
      </w:r>
      <w:r w:rsidR="00E81F0C" w:rsidRPr="00831573">
        <w:rPr>
          <w:lang w:val="en-GB"/>
        </w:rPr>
        <w:t xml:space="preserve">1. A period of detention is, in principle, </w:t>
      </w:r>
      <w:r w:rsidR="00831573" w:rsidRPr="00831573">
        <w:rPr>
          <w:lang w:val="en-GB"/>
        </w:rPr>
        <w:t>‘</w:t>
      </w:r>
      <w:r w:rsidR="00E81F0C" w:rsidRPr="00831573">
        <w:rPr>
          <w:lang w:val="en-GB"/>
        </w:rPr>
        <w:t>lawful</w:t>
      </w:r>
      <w:r w:rsidR="00831573" w:rsidRPr="00831573">
        <w:rPr>
          <w:lang w:val="en-GB"/>
        </w:rPr>
        <w:t>’</w:t>
      </w:r>
      <w:r w:rsidR="00E81F0C" w:rsidRPr="00831573">
        <w:rPr>
          <w:lang w:val="en-GB"/>
        </w:rPr>
        <w:t xml:space="preserve"> if it is based on a court order. A subsequent finding of a superior domestic court that a lower court erred under domestic law in making the order will not necessarily retrospectively affect the validity of the intervening period of detention </w:t>
      </w:r>
      <w:r w:rsidR="00F87D13" w:rsidRPr="00831573">
        <w:rPr>
          <w:lang w:val="en-GB"/>
        </w:rPr>
        <w:t>...</w:t>
      </w:r>
      <w:r w:rsidR="00E81F0C" w:rsidRPr="00831573">
        <w:rPr>
          <w:lang w:val="en-GB"/>
        </w:rPr>
        <w:t>.</w:t>
      </w:r>
    </w:p>
    <w:p w:rsidR="00E81F0C" w:rsidRPr="00831573" w:rsidRDefault="00874BD6" w:rsidP="00831573">
      <w:pPr>
        <w:pStyle w:val="ECHRParaQuote"/>
        <w:rPr>
          <w:lang w:val="en-GB"/>
        </w:rPr>
      </w:pPr>
      <w:r w:rsidRPr="00831573">
        <w:rPr>
          <w:lang w:val="en-GB"/>
        </w:rPr>
        <w:t>75.  </w:t>
      </w:r>
      <w:r w:rsidR="00E81F0C" w:rsidRPr="00831573">
        <w:rPr>
          <w:lang w:val="en-GB"/>
        </w:rPr>
        <w:t xml:space="preserve">In its more recent case-law, the Court, referring to a comparable distinction made under English law </w:t>
      </w:r>
      <w:r w:rsidR="00F87D13" w:rsidRPr="00831573">
        <w:rPr>
          <w:lang w:val="en-GB"/>
        </w:rPr>
        <w:t>...</w:t>
      </w:r>
      <w:r w:rsidR="00E81F0C" w:rsidRPr="00831573">
        <w:rPr>
          <w:lang w:val="en-GB"/>
        </w:rPr>
        <w:t>, further specified the circumstances under which the detention remained lawful in the said underlying period for the purposes of Article</w:t>
      </w:r>
      <w:r w:rsidR="00B03325" w:rsidRPr="00831573">
        <w:rPr>
          <w:lang w:val="en-GB"/>
        </w:rPr>
        <w:t> </w:t>
      </w:r>
      <w:r w:rsidR="00E81F0C" w:rsidRPr="00831573">
        <w:rPr>
          <w:lang w:val="en-GB"/>
        </w:rPr>
        <w:t>5</w:t>
      </w:r>
      <w:r w:rsidR="00B03325" w:rsidRPr="00831573">
        <w:rPr>
          <w:lang w:val="en-GB"/>
        </w:rPr>
        <w:t> </w:t>
      </w:r>
      <w:r w:rsidR="00E81F0C" w:rsidRPr="00831573">
        <w:rPr>
          <w:lang w:val="en-GB"/>
        </w:rPr>
        <w:t>§</w:t>
      </w:r>
      <w:r w:rsidR="00B03325" w:rsidRPr="00831573">
        <w:rPr>
          <w:lang w:val="en-GB"/>
        </w:rPr>
        <w:t> </w:t>
      </w:r>
      <w:r w:rsidR="00E81F0C" w:rsidRPr="00831573">
        <w:rPr>
          <w:lang w:val="en-GB"/>
        </w:rPr>
        <w:t xml:space="preserve">1: For the assessment of compliance with Article 5 § 1 of the Convention a basic distinction has to be made between ex facie invalid detention orders – for example, given by a court in excess of jurisdiction </w:t>
      </w:r>
      <w:r w:rsidR="00F87D13" w:rsidRPr="00831573">
        <w:rPr>
          <w:lang w:val="en-GB"/>
        </w:rPr>
        <w:t>...</w:t>
      </w:r>
      <w:r w:rsidR="00E81F0C" w:rsidRPr="00831573">
        <w:rPr>
          <w:lang w:val="en-GB"/>
        </w:rPr>
        <w:t xml:space="preserve"> – and detention orders which are prima facie valid and effective unless and until they have been overturned by a higher court (ibid.). A detention order must be considered as ex facie invalid if the flaw in the order amounted to a </w:t>
      </w:r>
      <w:r w:rsidR="00831573" w:rsidRPr="00831573">
        <w:rPr>
          <w:lang w:val="en-GB"/>
        </w:rPr>
        <w:t>‘</w:t>
      </w:r>
      <w:r w:rsidR="00E81F0C" w:rsidRPr="00831573">
        <w:rPr>
          <w:lang w:val="en-GB"/>
        </w:rPr>
        <w:t>gross and obvious irregularity</w:t>
      </w:r>
      <w:r w:rsidR="00831573" w:rsidRPr="00831573">
        <w:rPr>
          <w:lang w:val="en-GB"/>
        </w:rPr>
        <w:t>’</w:t>
      </w:r>
      <w:r w:rsidR="00EE2B1F" w:rsidRPr="00831573">
        <w:rPr>
          <w:lang w:val="en-GB"/>
        </w:rPr>
        <w:t xml:space="preserve"> </w:t>
      </w:r>
      <w:r w:rsidR="00E81F0C" w:rsidRPr="00831573">
        <w:rPr>
          <w:lang w:val="en-GB"/>
        </w:rPr>
        <w:t>in the exceptional sense indicated by the Court</w:t>
      </w:r>
      <w:r w:rsidR="00831573" w:rsidRPr="00831573">
        <w:rPr>
          <w:lang w:val="en-GB"/>
        </w:rPr>
        <w:t>’</w:t>
      </w:r>
      <w:r w:rsidR="00E81F0C" w:rsidRPr="00831573">
        <w:rPr>
          <w:lang w:val="en-GB"/>
        </w:rPr>
        <w:t xml:space="preserve">s case-law </w:t>
      </w:r>
      <w:r w:rsidR="00F87D13" w:rsidRPr="00831573">
        <w:rPr>
          <w:lang w:val="en-GB"/>
        </w:rPr>
        <w:t>...</w:t>
      </w:r>
      <w:r w:rsidR="00E81F0C" w:rsidRPr="00831573">
        <w:rPr>
          <w:lang w:val="en-GB"/>
        </w:rPr>
        <w:t>. Accordingly, unless they constitute a gross and obvious irregularity, defects in a detention order may be remedied by the domestic appeal courts in the course of judicial review proceedings.</w:t>
      </w:r>
      <w:r w:rsidR="00985A54" w:rsidRPr="00831573">
        <w:rPr>
          <w:lang w:val="en-GB"/>
        </w:rPr>
        <w:t>”</w:t>
      </w:r>
    </w:p>
    <w:bookmarkStart w:id="38" w:name="MoorenExFacieStart"/>
    <w:p w:rsidR="00210473" w:rsidRPr="00831573" w:rsidRDefault="008036F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95</w:t>
      </w:r>
      <w:r w:rsidRPr="00831573">
        <w:rPr>
          <w:lang w:val="en-GB"/>
        </w:rPr>
        <w:fldChar w:fldCharType="end"/>
      </w:r>
      <w:bookmarkEnd w:id="38"/>
      <w:r w:rsidR="00B63749" w:rsidRPr="00831573">
        <w:rPr>
          <w:lang w:val="en-GB"/>
        </w:rPr>
        <w:t>.  </w:t>
      </w:r>
      <w:r w:rsidR="006B7E59" w:rsidRPr="00831573">
        <w:rPr>
          <w:lang w:val="en-GB"/>
        </w:rPr>
        <w:t xml:space="preserve">As regards the </w:t>
      </w:r>
      <w:r w:rsidR="00B42B55" w:rsidRPr="00831573">
        <w:rPr>
          <w:lang w:val="en-GB"/>
        </w:rPr>
        <w:t xml:space="preserve">question whether a </w:t>
      </w:r>
      <w:r w:rsidR="006B7E59" w:rsidRPr="00831573">
        <w:rPr>
          <w:lang w:val="en-GB"/>
        </w:rPr>
        <w:t>detention order</w:t>
      </w:r>
      <w:r w:rsidR="00B42B55" w:rsidRPr="00831573">
        <w:rPr>
          <w:lang w:val="en-GB"/>
        </w:rPr>
        <w:t xml:space="preserve"> is ex facie invalid, as</w:t>
      </w:r>
      <w:r w:rsidR="006B7E59" w:rsidRPr="00831573">
        <w:rPr>
          <w:lang w:val="en-GB"/>
        </w:rPr>
        <w:t xml:space="preserve"> referred to by the Grand Chamber in </w:t>
      </w:r>
      <w:r w:rsidR="006B7E59" w:rsidRPr="00831573">
        <w:rPr>
          <w:i/>
          <w:lang w:val="en-GB"/>
        </w:rPr>
        <w:t>Mooren</w:t>
      </w:r>
      <w:r w:rsidR="006B7E59" w:rsidRPr="00831573">
        <w:rPr>
          <w:lang w:val="en-GB"/>
        </w:rPr>
        <w:t xml:space="preserve">, § 75, </w:t>
      </w:r>
      <w:r w:rsidR="00B4106A" w:rsidRPr="00831573">
        <w:rPr>
          <w:lang w:val="en-GB"/>
        </w:rPr>
        <w:t>the Grand Chamber</w:t>
      </w:r>
      <w:r w:rsidR="00B42B55" w:rsidRPr="00831573">
        <w:rPr>
          <w:lang w:val="en-GB"/>
        </w:rPr>
        <w:t xml:space="preserve"> in its earlier decision </w:t>
      </w:r>
      <w:r w:rsidR="006B7E59" w:rsidRPr="00831573">
        <w:rPr>
          <w:lang w:val="en-GB"/>
        </w:rPr>
        <w:t xml:space="preserve">in </w:t>
      </w:r>
      <w:r w:rsidR="006B7E59" w:rsidRPr="00831573">
        <w:rPr>
          <w:i/>
          <w:lang w:val="en-GB"/>
        </w:rPr>
        <w:t>Benham</w:t>
      </w:r>
      <w:r w:rsidR="006B7E59" w:rsidRPr="00831573">
        <w:rPr>
          <w:lang w:val="en-GB"/>
        </w:rPr>
        <w:t>, § 46,</w:t>
      </w:r>
      <w:r w:rsidRPr="00831573">
        <w:rPr>
          <w:lang w:val="en-GB"/>
        </w:rPr>
        <w:t xml:space="preserve"> </w:t>
      </w:r>
      <w:r w:rsidR="00071297" w:rsidRPr="00831573">
        <w:rPr>
          <w:lang w:val="en-GB"/>
        </w:rPr>
        <w:t xml:space="preserve">applied </w:t>
      </w:r>
      <w:r w:rsidRPr="00831573">
        <w:rPr>
          <w:lang w:val="en-GB"/>
        </w:rPr>
        <w:t xml:space="preserve">the test </w:t>
      </w:r>
      <w:r w:rsidR="00FD67A6" w:rsidRPr="00831573">
        <w:rPr>
          <w:lang w:val="en-GB"/>
        </w:rPr>
        <w:t xml:space="preserve">set out by the House of Lords in </w:t>
      </w:r>
      <w:r w:rsidR="00FD67A6" w:rsidRPr="00831573">
        <w:rPr>
          <w:i/>
          <w:lang w:val="en-GB"/>
        </w:rPr>
        <w:t>Re McC</w:t>
      </w:r>
      <w:r w:rsidR="00FD67A6" w:rsidRPr="00831573">
        <w:rPr>
          <w:lang w:val="en-GB"/>
        </w:rPr>
        <w:t xml:space="preserve"> </w:t>
      </w:r>
      <w:r w:rsidRPr="00831573">
        <w:rPr>
          <w:lang w:val="en-GB"/>
        </w:rPr>
        <w:t xml:space="preserve">for </w:t>
      </w:r>
      <w:r w:rsidR="00FD67A6" w:rsidRPr="00831573">
        <w:rPr>
          <w:lang w:val="en-GB"/>
        </w:rPr>
        <w:t xml:space="preserve">determining whether a decision was </w:t>
      </w:r>
      <w:r w:rsidR="006B7E59" w:rsidRPr="00831573">
        <w:rPr>
          <w:lang w:val="en-GB"/>
        </w:rPr>
        <w:t>“</w:t>
      </w:r>
      <w:r w:rsidR="00FD67A6" w:rsidRPr="00831573">
        <w:rPr>
          <w:lang w:val="en-GB"/>
        </w:rPr>
        <w:t xml:space="preserve">without or in </w:t>
      </w:r>
      <w:r w:rsidRPr="00831573">
        <w:rPr>
          <w:lang w:val="en-GB"/>
        </w:rPr>
        <w:t>excess of jurisdiction</w:t>
      </w:r>
      <w:r w:rsidR="006B7E59" w:rsidRPr="00831573">
        <w:rPr>
          <w:lang w:val="en-GB"/>
        </w:rPr>
        <w:t>”</w:t>
      </w:r>
      <w:r w:rsidRPr="00831573">
        <w:rPr>
          <w:lang w:val="en-GB"/>
        </w:rPr>
        <w:t xml:space="preserve"> </w:t>
      </w:r>
      <w:r w:rsidR="0095720E" w:rsidRPr="00831573">
        <w:rPr>
          <w:lang w:val="en-GB"/>
        </w:rPr>
        <w:t xml:space="preserve">(see </w:t>
      </w:r>
      <w:r w:rsidR="00D43B79" w:rsidRPr="00831573">
        <w:rPr>
          <w:lang w:val="en-GB"/>
        </w:rPr>
        <w:t>paragraph</w:t>
      </w:r>
      <w:r w:rsidR="00B63749" w:rsidRPr="00831573">
        <w:rPr>
          <w:lang w:val="en-GB"/>
        </w:rPr>
        <w:t> </w:t>
      </w:r>
      <w:r w:rsidR="00B42B55" w:rsidRPr="00831573">
        <w:rPr>
          <w:lang w:val="en-GB"/>
        </w:rPr>
        <w:fldChar w:fldCharType="begin"/>
      </w:r>
      <w:r w:rsidR="00B42B55" w:rsidRPr="00831573">
        <w:rPr>
          <w:lang w:val="en-GB"/>
        </w:rPr>
        <w:instrText xml:space="preserve"> REF InReMcCExFacieInvalidity \h </w:instrText>
      </w:r>
      <w:r w:rsidR="00B42B55" w:rsidRPr="00831573">
        <w:rPr>
          <w:lang w:val="en-GB"/>
        </w:rPr>
      </w:r>
      <w:r w:rsidR="00B42B55" w:rsidRPr="00831573">
        <w:rPr>
          <w:lang w:val="en-GB"/>
        </w:rPr>
        <w:fldChar w:fldCharType="separate"/>
      </w:r>
      <w:r w:rsidR="00831573" w:rsidRPr="00831573">
        <w:rPr>
          <w:noProof/>
          <w:lang w:val="en-GB"/>
        </w:rPr>
        <w:t>45</w:t>
      </w:r>
      <w:r w:rsidR="00B42B55" w:rsidRPr="00831573">
        <w:rPr>
          <w:lang w:val="en-GB"/>
        </w:rPr>
        <w:fldChar w:fldCharType="end"/>
      </w:r>
      <w:r w:rsidR="0095720E" w:rsidRPr="00831573">
        <w:rPr>
          <w:lang w:val="en-GB"/>
        </w:rPr>
        <w:t xml:space="preserve"> above</w:t>
      </w:r>
      <w:r w:rsidR="006B7E59" w:rsidRPr="00831573">
        <w:rPr>
          <w:lang w:val="en-GB"/>
        </w:rPr>
        <w:t xml:space="preserve"> and </w:t>
      </w:r>
      <w:r w:rsidR="006B7E59" w:rsidRPr="00831573">
        <w:rPr>
          <w:i/>
          <w:lang w:val="en-GB"/>
        </w:rPr>
        <w:t>Benham</w:t>
      </w:r>
      <w:r w:rsidR="00B571F9" w:rsidRPr="00831573">
        <w:rPr>
          <w:lang w:val="en-GB"/>
        </w:rPr>
        <w:t>,</w:t>
      </w:r>
      <w:r w:rsidR="006B7E59" w:rsidRPr="00831573">
        <w:rPr>
          <w:lang w:val="en-GB"/>
        </w:rPr>
        <w:t xml:space="preserve"> § 25</w:t>
      </w:r>
      <w:r w:rsidR="0095720E" w:rsidRPr="00831573">
        <w:rPr>
          <w:lang w:val="en-GB"/>
        </w:rPr>
        <w:t>)</w:t>
      </w:r>
      <w:r w:rsidR="00210473" w:rsidRPr="00831573">
        <w:rPr>
          <w:lang w:val="en-GB"/>
        </w:rPr>
        <w:t>.</w:t>
      </w:r>
    </w:p>
    <w:bookmarkStart w:id="39" w:name="MoorenExFacieEnd"/>
    <w:p w:rsidR="0069028C" w:rsidRPr="00831573" w:rsidRDefault="0021047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96</w:t>
      </w:r>
      <w:r w:rsidRPr="00831573">
        <w:rPr>
          <w:lang w:val="en-GB"/>
        </w:rPr>
        <w:fldChar w:fldCharType="end"/>
      </w:r>
      <w:bookmarkEnd w:id="39"/>
      <w:r w:rsidRPr="00831573">
        <w:rPr>
          <w:lang w:val="en-GB"/>
        </w:rPr>
        <w:t>.  </w:t>
      </w:r>
      <w:r w:rsidR="008036FC" w:rsidRPr="00831573">
        <w:rPr>
          <w:lang w:val="en-GB"/>
        </w:rPr>
        <w:t xml:space="preserve">The Court confirmed the continuing relevance of </w:t>
      </w:r>
      <w:r w:rsidR="00093086" w:rsidRPr="00831573">
        <w:rPr>
          <w:lang w:val="en-GB"/>
        </w:rPr>
        <w:t>that</w:t>
      </w:r>
      <w:r w:rsidRPr="00831573">
        <w:rPr>
          <w:lang w:val="en-GB"/>
        </w:rPr>
        <w:t xml:space="preserve"> </w:t>
      </w:r>
      <w:r w:rsidR="00071297" w:rsidRPr="00831573">
        <w:rPr>
          <w:lang w:val="en-GB"/>
        </w:rPr>
        <w:t>test</w:t>
      </w:r>
      <w:r w:rsidR="008036FC" w:rsidRPr="00831573">
        <w:rPr>
          <w:lang w:val="en-GB"/>
        </w:rPr>
        <w:t xml:space="preserve"> in </w:t>
      </w:r>
      <w:r w:rsidR="00093086" w:rsidRPr="00831573">
        <w:rPr>
          <w:lang w:val="en-GB"/>
        </w:rPr>
        <w:t>subsequent</w:t>
      </w:r>
      <w:r w:rsidRPr="00831573">
        <w:rPr>
          <w:lang w:val="en-GB"/>
        </w:rPr>
        <w:t xml:space="preserve"> community</w:t>
      </w:r>
      <w:r w:rsidR="00B571F9" w:rsidRPr="00831573">
        <w:rPr>
          <w:lang w:val="en-GB"/>
        </w:rPr>
        <w:t>-</w:t>
      </w:r>
      <w:r w:rsidRPr="00831573">
        <w:rPr>
          <w:lang w:val="en-GB"/>
        </w:rPr>
        <w:t xml:space="preserve">charge and fines </w:t>
      </w:r>
      <w:r w:rsidR="00D01B3F" w:rsidRPr="00831573">
        <w:rPr>
          <w:lang w:val="en-GB"/>
        </w:rPr>
        <w:t>cases</w:t>
      </w:r>
      <w:r w:rsidR="003D2D42" w:rsidRPr="00831573">
        <w:rPr>
          <w:lang w:val="en-GB"/>
        </w:rPr>
        <w:t xml:space="preserve"> which came before it</w:t>
      </w:r>
      <w:r w:rsidRPr="00831573">
        <w:rPr>
          <w:lang w:val="en-GB"/>
        </w:rPr>
        <w:t>,</w:t>
      </w:r>
      <w:r w:rsidR="00D01B3F" w:rsidRPr="00831573">
        <w:rPr>
          <w:lang w:val="en-GB"/>
        </w:rPr>
        <w:t xml:space="preserve"> including, </w:t>
      </w:r>
      <w:r w:rsidR="00D01B3F" w:rsidRPr="00831573">
        <w:rPr>
          <w:i/>
          <w:lang w:val="en-GB"/>
        </w:rPr>
        <w:t>inter alia</w:t>
      </w:r>
      <w:r w:rsidR="00D01B3F" w:rsidRPr="00831573">
        <w:rPr>
          <w:lang w:val="en-GB"/>
        </w:rPr>
        <w:t xml:space="preserve">, </w:t>
      </w:r>
      <w:r w:rsidR="0007267E" w:rsidRPr="00831573">
        <w:rPr>
          <w:i/>
          <w:lang w:val="en-GB"/>
        </w:rPr>
        <w:t>Perks and O</w:t>
      </w:r>
      <w:r w:rsidR="00D01B3F" w:rsidRPr="00831573">
        <w:rPr>
          <w:i/>
          <w:lang w:val="en-GB"/>
        </w:rPr>
        <w:t>thers</w:t>
      </w:r>
      <w:r w:rsidR="008533D0" w:rsidRPr="00831573">
        <w:rPr>
          <w:i/>
          <w:lang w:val="en-GB"/>
        </w:rPr>
        <w:t>,</w:t>
      </w:r>
      <w:r w:rsidR="008533D0" w:rsidRPr="00831573">
        <w:rPr>
          <w:lang w:val="en-GB"/>
        </w:rPr>
        <w:t xml:space="preserve"> cited above;</w:t>
      </w:r>
      <w:r w:rsidR="00D01B3F" w:rsidRPr="00831573">
        <w:rPr>
          <w:i/>
          <w:lang w:val="en-GB"/>
        </w:rPr>
        <w:t xml:space="preserve"> Lloyd and </w:t>
      </w:r>
      <w:r w:rsidR="00B571F9" w:rsidRPr="00831573">
        <w:rPr>
          <w:i/>
          <w:lang w:val="en-GB"/>
        </w:rPr>
        <w:t>O</w:t>
      </w:r>
      <w:r w:rsidR="00D01B3F" w:rsidRPr="00831573">
        <w:rPr>
          <w:i/>
          <w:lang w:val="en-GB"/>
        </w:rPr>
        <w:t xml:space="preserve">thers </w:t>
      </w:r>
      <w:r w:rsidR="00D01B3F" w:rsidRPr="00831573">
        <w:rPr>
          <w:lang w:val="en-GB"/>
        </w:rPr>
        <w:t>(</w:t>
      </w:r>
      <w:r w:rsidR="00071297" w:rsidRPr="00831573">
        <w:rPr>
          <w:lang w:val="en-GB"/>
        </w:rPr>
        <w:t>dec.</w:t>
      </w:r>
      <w:r w:rsidR="00D01B3F" w:rsidRPr="00831573">
        <w:rPr>
          <w:lang w:val="en-GB"/>
        </w:rPr>
        <w:t>)</w:t>
      </w:r>
      <w:r w:rsidR="008533D0" w:rsidRPr="00831573">
        <w:rPr>
          <w:lang w:val="en-GB"/>
        </w:rPr>
        <w:t>, no</w:t>
      </w:r>
      <w:r w:rsidR="00B571F9" w:rsidRPr="00831573">
        <w:rPr>
          <w:lang w:val="en-GB"/>
        </w:rPr>
        <w:t>s</w:t>
      </w:r>
      <w:r w:rsidR="008533D0" w:rsidRPr="00831573">
        <w:rPr>
          <w:lang w:val="en-GB"/>
        </w:rPr>
        <w:t>. 29798/96 and others, 21 October 2003</w:t>
      </w:r>
      <w:r w:rsidR="0095720E" w:rsidRPr="00831573">
        <w:rPr>
          <w:lang w:val="en-GB"/>
        </w:rPr>
        <w:t xml:space="preserve">; and </w:t>
      </w:r>
      <w:r w:rsidR="0095720E" w:rsidRPr="00831573">
        <w:rPr>
          <w:i/>
          <w:lang w:val="en-GB"/>
        </w:rPr>
        <w:t xml:space="preserve">Lloyd and </w:t>
      </w:r>
      <w:r w:rsidR="00B571F9" w:rsidRPr="00831573">
        <w:rPr>
          <w:i/>
          <w:lang w:val="en-GB"/>
        </w:rPr>
        <w:t>O</w:t>
      </w:r>
      <w:r w:rsidR="0095720E" w:rsidRPr="00831573">
        <w:rPr>
          <w:i/>
          <w:lang w:val="en-GB"/>
        </w:rPr>
        <w:t>thers</w:t>
      </w:r>
      <w:r w:rsidR="0095720E" w:rsidRPr="00831573">
        <w:rPr>
          <w:lang w:val="en-GB"/>
        </w:rPr>
        <w:t>, cited above</w:t>
      </w:r>
      <w:r w:rsidR="008036FC" w:rsidRPr="00831573">
        <w:rPr>
          <w:lang w:val="en-GB"/>
        </w:rPr>
        <w:t>.</w:t>
      </w:r>
    </w:p>
    <w:p w:rsidR="006E7E1B" w:rsidRPr="00831573" w:rsidRDefault="005605C6" w:rsidP="00831573">
      <w:pPr>
        <w:pStyle w:val="ECHRHeading5"/>
        <w:rPr>
          <w:lang w:val="en-GB"/>
        </w:rPr>
      </w:pPr>
      <w:r w:rsidRPr="00831573">
        <w:rPr>
          <w:lang w:val="en-GB"/>
        </w:rPr>
        <w:t>(ii)  </w:t>
      </w:r>
      <w:r w:rsidR="006E7E1B" w:rsidRPr="00831573">
        <w:rPr>
          <w:lang w:val="en-GB"/>
        </w:rPr>
        <w:t>Arbitrariness</w:t>
      </w:r>
    </w:p>
    <w:p w:rsidR="006E7E1B" w:rsidRPr="00831573" w:rsidRDefault="006E7E1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97</w:t>
      </w:r>
      <w:r w:rsidRPr="00831573">
        <w:rPr>
          <w:lang w:val="en-GB"/>
        </w:rPr>
        <w:fldChar w:fldCharType="end"/>
      </w:r>
      <w:r w:rsidR="00F05542" w:rsidRPr="00831573">
        <w:rPr>
          <w:lang w:val="en-GB"/>
        </w:rPr>
        <w:t>.  </w:t>
      </w:r>
      <w:r w:rsidRPr="00831573">
        <w:rPr>
          <w:lang w:val="en-GB"/>
        </w:rPr>
        <w:t xml:space="preserve">The Court </w:t>
      </w:r>
      <w:r w:rsidR="0007267E" w:rsidRPr="00831573">
        <w:rPr>
          <w:lang w:val="en-GB"/>
        </w:rPr>
        <w:t xml:space="preserve">would </w:t>
      </w:r>
      <w:r w:rsidRPr="00831573">
        <w:rPr>
          <w:lang w:val="en-GB"/>
        </w:rPr>
        <w:t>recall the general principles which are set out at paragraphs 67-</w:t>
      </w:r>
      <w:r w:rsidR="007426EE" w:rsidRPr="00831573">
        <w:rPr>
          <w:lang w:val="en-GB"/>
        </w:rPr>
        <w:t xml:space="preserve">71 </w:t>
      </w:r>
      <w:r w:rsidRPr="00831573">
        <w:rPr>
          <w:lang w:val="en-GB"/>
        </w:rPr>
        <w:t xml:space="preserve">in </w:t>
      </w:r>
      <w:r w:rsidRPr="00831573">
        <w:rPr>
          <w:i/>
          <w:lang w:val="en-GB"/>
        </w:rPr>
        <w:t>Saadi v. the United Kingdom</w:t>
      </w:r>
      <w:r w:rsidRPr="00831573">
        <w:rPr>
          <w:lang w:val="en-GB"/>
        </w:rPr>
        <w:t xml:space="preserve"> [GC], no. 13229/03, ECHR 2008</w:t>
      </w:r>
      <w:r w:rsidR="00B34A62" w:rsidRPr="00831573">
        <w:rPr>
          <w:lang w:val="en-GB"/>
        </w:rPr>
        <w:t>,</w:t>
      </w:r>
      <w:r w:rsidR="00D13917" w:rsidRPr="00831573">
        <w:rPr>
          <w:lang w:val="en-GB"/>
        </w:rPr>
        <w:t xml:space="preserve"> and which were affirmed by the Grand Chamber in </w:t>
      </w:r>
      <w:r w:rsidR="00D13917" w:rsidRPr="00831573">
        <w:rPr>
          <w:i/>
          <w:lang w:val="en-GB"/>
        </w:rPr>
        <w:t>Mooren</w:t>
      </w:r>
      <w:r w:rsidR="00D13917" w:rsidRPr="00831573">
        <w:rPr>
          <w:lang w:val="en-GB"/>
        </w:rPr>
        <w:t xml:space="preserve">, cited above, </w:t>
      </w:r>
      <w:r w:rsidR="00B60059" w:rsidRPr="00831573">
        <w:rPr>
          <w:lang w:val="en-GB"/>
        </w:rPr>
        <w:t>§</w:t>
      </w:r>
      <w:r w:rsidR="00D13917" w:rsidRPr="00831573">
        <w:rPr>
          <w:rFonts w:cstheme="minorHAnsi"/>
          <w:lang w:val="en-GB"/>
        </w:rPr>
        <w:t>§</w:t>
      </w:r>
      <w:r w:rsidR="00D13917" w:rsidRPr="00831573">
        <w:rPr>
          <w:lang w:val="en-GB"/>
        </w:rPr>
        <w:t xml:space="preserve"> 77-81:</w:t>
      </w:r>
    </w:p>
    <w:p w:rsidR="00D13917" w:rsidRPr="00831573" w:rsidRDefault="00874BD6" w:rsidP="00831573">
      <w:pPr>
        <w:pStyle w:val="ECHRParaQuote"/>
        <w:rPr>
          <w:lang w:val="en-GB"/>
        </w:rPr>
      </w:pPr>
      <w:r w:rsidRPr="00831573">
        <w:rPr>
          <w:lang w:val="en-GB"/>
        </w:rPr>
        <w:t>“67.  </w:t>
      </w:r>
      <w:r w:rsidR="00F87D13" w:rsidRPr="00831573">
        <w:rPr>
          <w:lang w:val="en-GB"/>
        </w:rPr>
        <w:t>...</w:t>
      </w:r>
      <w:r w:rsidR="00D13917" w:rsidRPr="00831573">
        <w:rPr>
          <w:lang w:val="en-GB"/>
        </w:rPr>
        <w:t xml:space="preserve"> Article 5 § 1 requires in addition </w:t>
      </w:r>
      <w:r w:rsidR="00B42B55" w:rsidRPr="00831573">
        <w:rPr>
          <w:lang w:val="en-GB"/>
        </w:rPr>
        <w:t xml:space="preserve">[to compliance with national law] </w:t>
      </w:r>
      <w:r w:rsidR="00D13917" w:rsidRPr="00831573">
        <w:rPr>
          <w:lang w:val="en-GB"/>
        </w:rPr>
        <w:t xml:space="preserve">that any deprivation of liberty should be in keeping with the purpose of protecting the individual from arbitrariness </w:t>
      </w:r>
      <w:r w:rsidR="00F87D13" w:rsidRPr="00831573">
        <w:rPr>
          <w:lang w:val="en-GB"/>
        </w:rPr>
        <w:t>...</w:t>
      </w:r>
      <w:r w:rsidR="00D13917" w:rsidRPr="00831573">
        <w:rPr>
          <w:lang w:val="en-GB"/>
        </w:rPr>
        <w:t xml:space="preserve"> It is a fundamental principle that no detention which is arbitrary can be compatible with Article 5 § 1 and the notion of </w:t>
      </w:r>
      <w:r w:rsidR="00831573" w:rsidRPr="00831573">
        <w:rPr>
          <w:lang w:val="en-GB"/>
        </w:rPr>
        <w:t>‘</w:t>
      </w:r>
      <w:r w:rsidR="00D13917" w:rsidRPr="00831573">
        <w:rPr>
          <w:lang w:val="en-GB"/>
        </w:rPr>
        <w:t>arbitrariness</w:t>
      </w:r>
      <w:r w:rsidR="00831573" w:rsidRPr="00831573">
        <w:rPr>
          <w:lang w:val="en-GB"/>
        </w:rPr>
        <w:t>’</w:t>
      </w:r>
      <w:r w:rsidR="00895322" w:rsidRPr="00831573">
        <w:rPr>
          <w:lang w:val="en-GB"/>
        </w:rPr>
        <w:t xml:space="preserve"> </w:t>
      </w:r>
      <w:r w:rsidR="00D13917" w:rsidRPr="00831573">
        <w:rPr>
          <w:lang w:val="en-GB"/>
        </w:rPr>
        <w:t>in Article 5 § 1 extends beyond lack of conformity with national law, so that a deprivation of liberty may be lawful in terms of domestic law but still arbitrary and thus contrary to the Convention.</w:t>
      </w:r>
    </w:p>
    <w:p w:rsidR="00D13917" w:rsidRPr="00831573" w:rsidRDefault="00874BD6" w:rsidP="00831573">
      <w:pPr>
        <w:pStyle w:val="ECHRParaQuote"/>
        <w:rPr>
          <w:lang w:val="en-GB"/>
        </w:rPr>
      </w:pPr>
      <w:r w:rsidRPr="00831573">
        <w:rPr>
          <w:lang w:val="en-GB"/>
        </w:rPr>
        <w:t>68.  </w:t>
      </w:r>
      <w:r w:rsidR="00F87D13" w:rsidRPr="00831573">
        <w:rPr>
          <w:lang w:val="en-GB"/>
        </w:rPr>
        <w:t>...</w:t>
      </w:r>
      <w:r w:rsidR="00D13917" w:rsidRPr="00831573">
        <w:rPr>
          <w:lang w:val="en-GB"/>
        </w:rPr>
        <w:t xml:space="preserve"> It is moreover clear from the case-law that the notion of arbitrariness in the context of Article 5 varies to a certain extent depending on the type of detention involved (see further below).</w:t>
      </w:r>
    </w:p>
    <w:p w:rsidR="00D13917" w:rsidRPr="00831573" w:rsidRDefault="00874BD6" w:rsidP="00831573">
      <w:pPr>
        <w:pStyle w:val="ECHRParaQuote"/>
        <w:rPr>
          <w:lang w:val="en-GB"/>
        </w:rPr>
      </w:pPr>
      <w:r w:rsidRPr="00831573">
        <w:rPr>
          <w:lang w:val="en-GB"/>
        </w:rPr>
        <w:t>69.  </w:t>
      </w:r>
      <w:r w:rsidR="00D13917" w:rsidRPr="00831573">
        <w:rPr>
          <w:lang w:val="en-GB"/>
        </w:rPr>
        <w:t xml:space="preserve">One general principle established in the case-law is that detention will be </w:t>
      </w:r>
      <w:r w:rsidR="00831573" w:rsidRPr="00831573">
        <w:rPr>
          <w:lang w:val="en-GB"/>
        </w:rPr>
        <w:t>‘</w:t>
      </w:r>
      <w:r w:rsidR="00D13917" w:rsidRPr="00831573">
        <w:rPr>
          <w:lang w:val="en-GB"/>
        </w:rPr>
        <w:t>arbitrary</w:t>
      </w:r>
      <w:r w:rsidR="00831573" w:rsidRPr="00831573">
        <w:rPr>
          <w:lang w:val="en-GB"/>
        </w:rPr>
        <w:t>’</w:t>
      </w:r>
      <w:r w:rsidR="00895322" w:rsidRPr="00831573">
        <w:rPr>
          <w:lang w:val="en-GB"/>
        </w:rPr>
        <w:t xml:space="preserve"> </w:t>
      </w:r>
      <w:r w:rsidR="00D13917" w:rsidRPr="00831573">
        <w:rPr>
          <w:lang w:val="en-GB"/>
        </w:rPr>
        <w:t xml:space="preserve">where, despite complying with the letter of national law, there has been an element of bad faith or deception on the part of the authorities </w:t>
      </w:r>
      <w:r w:rsidR="00F87D13" w:rsidRPr="00831573">
        <w:rPr>
          <w:lang w:val="en-GB"/>
        </w:rPr>
        <w:t>...</w:t>
      </w:r>
      <w:r w:rsidR="00B571F9" w:rsidRPr="00831573">
        <w:rPr>
          <w:lang w:val="en-GB"/>
        </w:rPr>
        <w:t xml:space="preserve"> </w:t>
      </w:r>
      <w:r w:rsidR="00D13917" w:rsidRPr="00831573">
        <w:rPr>
          <w:lang w:val="en-GB"/>
        </w:rPr>
        <w:t xml:space="preserve">The condition that there be no arbitrariness further demands that both the order to detain and the execution of the detention must genuinely conform with the purpose of the restrictions permitted by the relevant sub-paragraph of Article 5 § 1 </w:t>
      </w:r>
      <w:r w:rsidR="00F87D13" w:rsidRPr="00831573">
        <w:rPr>
          <w:lang w:val="en-GB"/>
        </w:rPr>
        <w:t>...</w:t>
      </w:r>
      <w:r w:rsidR="00B571F9" w:rsidRPr="00831573">
        <w:rPr>
          <w:lang w:val="en-GB"/>
        </w:rPr>
        <w:t xml:space="preserve"> </w:t>
      </w:r>
      <w:r w:rsidR="00D13917" w:rsidRPr="00831573">
        <w:rPr>
          <w:lang w:val="en-GB"/>
        </w:rPr>
        <w:t xml:space="preserve">There must in addition be some relationship between the ground of permitted deprivation of liberty relied on and the place and conditions of detention </w:t>
      </w:r>
      <w:r w:rsidR="00F87D13" w:rsidRPr="00831573">
        <w:rPr>
          <w:lang w:val="en-GB"/>
        </w:rPr>
        <w:t>...</w:t>
      </w:r>
    </w:p>
    <w:p w:rsidR="00D13917" w:rsidRPr="00831573" w:rsidRDefault="00874BD6" w:rsidP="00831573">
      <w:pPr>
        <w:pStyle w:val="ECHRParaQuote"/>
        <w:rPr>
          <w:lang w:val="en-GB"/>
        </w:rPr>
      </w:pPr>
      <w:r w:rsidRPr="00831573">
        <w:rPr>
          <w:lang w:val="en-GB"/>
        </w:rPr>
        <w:t>70.  </w:t>
      </w:r>
      <w:r w:rsidR="00D13917" w:rsidRPr="00831573">
        <w:rPr>
          <w:lang w:val="en-GB"/>
        </w:rPr>
        <w:t xml:space="preserve">The notion of arbitrariness in the contexts of sub-paragraphs (b), (d) and (e) also includes an assessment whether detention was necessary to achieve the stated aim. </w:t>
      </w:r>
      <w:r w:rsidR="00F87D13" w:rsidRPr="00831573">
        <w:rPr>
          <w:lang w:val="en-GB"/>
        </w:rPr>
        <w:t>...</w:t>
      </w:r>
    </w:p>
    <w:p w:rsidR="00303A7F" w:rsidRPr="00831573" w:rsidRDefault="00874BD6" w:rsidP="00831573">
      <w:pPr>
        <w:pStyle w:val="ECHRParaQuote"/>
        <w:rPr>
          <w:lang w:val="en-GB"/>
        </w:rPr>
      </w:pPr>
      <w:r w:rsidRPr="00831573">
        <w:rPr>
          <w:lang w:val="en-GB"/>
        </w:rPr>
        <w:t>71.  </w:t>
      </w:r>
      <w:r w:rsidR="00D13917" w:rsidRPr="00831573">
        <w:rPr>
          <w:lang w:val="en-GB"/>
        </w:rPr>
        <w:t xml:space="preserve">The Court applies a different approach towards the principle that there should be no arbitrariness in cases of detention under Article 5 § 1 (a), where, in the absence of bad faith or one of the other grounds set out in paragraph 69 above, as long as the detention follows and has a sufficient causal connection with a lawful conviction, the decision to impose a sentence of detention and the length of that sentence are matters for the national authorities rather than for the Court under Article 5 § 1 </w:t>
      </w:r>
      <w:r w:rsidR="00F87D13" w:rsidRPr="00831573">
        <w:rPr>
          <w:lang w:val="en-GB"/>
        </w:rPr>
        <w:t>...</w:t>
      </w:r>
      <w:r w:rsidR="00D13917" w:rsidRPr="00831573">
        <w:rPr>
          <w:lang w:val="en-GB"/>
        </w:rPr>
        <w:t>”</w:t>
      </w:r>
    </w:p>
    <w:p w:rsidR="006E7E1B" w:rsidRPr="00831573" w:rsidRDefault="00874BD6" w:rsidP="00831573">
      <w:pPr>
        <w:pStyle w:val="ECHRHeading5"/>
        <w:rPr>
          <w:lang w:val="en-GB"/>
        </w:rPr>
      </w:pPr>
      <w:r w:rsidRPr="00831573">
        <w:rPr>
          <w:lang w:val="en-GB"/>
        </w:rPr>
        <w:t>(iii)  </w:t>
      </w:r>
      <w:r w:rsidR="006E7E1B" w:rsidRPr="00831573">
        <w:rPr>
          <w:lang w:val="en-GB"/>
        </w:rPr>
        <w:t>Flagrant denial of justice</w:t>
      </w:r>
    </w:p>
    <w:bookmarkStart w:id="40" w:name="FlagrantDoJStart"/>
    <w:p w:rsidR="00764482" w:rsidRPr="00831573" w:rsidRDefault="003266F1"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98</w:t>
      </w:r>
      <w:r w:rsidRPr="00831573">
        <w:rPr>
          <w:lang w:val="en-GB"/>
        </w:rPr>
        <w:fldChar w:fldCharType="end"/>
      </w:r>
      <w:bookmarkEnd w:id="40"/>
      <w:r w:rsidRPr="00831573">
        <w:rPr>
          <w:lang w:val="en-GB"/>
        </w:rPr>
        <w:t>.</w:t>
      </w:r>
      <w:r w:rsidR="00740AA9" w:rsidRPr="00831573">
        <w:rPr>
          <w:lang w:val="en-GB"/>
        </w:rPr>
        <w:t>  </w:t>
      </w:r>
      <w:r w:rsidR="006E7E1B" w:rsidRPr="00831573">
        <w:rPr>
          <w:lang w:val="en-GB"/>
        </w:rPr>
        <w:t xml:space="preserve">The requirement of Article 5 § 1 (a) that a person be </w:t>
      </w:r>
      <w:r w:rsidR="00B571F9" w:rsidRPr="00831573">
        <w:rPr>
          <w:lang w:val="en-GB"/>
        </w:rPr>
        <w:t>“</w:t>
      </w:r>
      <w:r w:rsidR="006E7E1B" w:rsidRPr="00831573">
        <w:rPr>
          <w:lang w:val="en-GB"/>
        </w:rPr>
        <w:t>lawfully</w:t>
      </w:r>
      <w:r w:rsidR="00B571F9" w:rsidRPr="00831573">
        <w:rPr>
          <w:lang w:val="en-GB"/>
        </w:rPr>
        <w:t>”</w:t>
      </w:r>
      <w:r w:rsidR="006E7E1B" w:rsidRPr="00831573">
        <w:rPr>
          <w:lang w:val="en-GB"/>
        </w:rPr>
        <w:t xml:space="preserve"> detained after “conviction by a competent court” does not imply that the Court has to subject the proceedings leading to that conviction to a comprehensive scrutiny and verify whether they have fully complied with all the requirements of Article 6 of the Convention (see </w:t>
      </w:r>
      <w:r w:rsidR="00831573" w:rsidRPr="00831573">
        <w:rPr>
          <w:i/>
          <w:lang w:val="en-GB"/>
        </w:rPr>
        <w:t>Drozd and Janousek v. </w:t>
      </w:r>
      <w:r w:rsidR="00367D84" w:rsidRPr="00831573">
        <w:rPr>
          <w:i/>
          <w:lang w:val="en-GB"/>
        </w:rPr>
        <w:t>France and Spain</w:t>
      </w:r>
      <w:r w:rsidR="00367D84" w:rsidRPr="00831573">
        <w:rPr>
          <w:lang w:val="en-GB"/>
        </w:rPr>
        <w:t xml:space="preserve">, 26 June 1992, § 110, Series A no. 240 </w:t>
      </w:r>
      <w:r w:rsidR="006E7E1B" w:rsidRPr="00831573">
        <w:rPr>
          <w:lang w:val="en-GB"/>
        </w:rPr>
        <w:t xml:space="preserve">and more recently </w:t>
      </w:r>
      <w:r w:rsidR="00367D84" w:rsidRPr="00831573">
        <w:rPr>
          <w:i/>
          <w:szCs w:val="24"/>
          <w:lang w:val="en-GB"/>
        </w:rPr>
        <w:t>Stoichkov v. Bulgaria</w:t>
      </w:r>
      <w:r w:rsidR="00367D84" w:rsidRPr="00831573">
        <w:rPr>
          <w:szCs w:val="24"/>
          <w:lang w:val="en-GB"/>
        </w:rPr>
        <w:t>, no. 9808/02, § 51, 24 March 2005</w:t>
      </w:r>
      <w:r w:rsidR="006E7E1B" w:rsidRPr="00831573">
        <w:rPr>
          <w:lang w:val="en-GB"/>
        </w:rPr>
        <w:t xml:space="preserve">). However, the Court has also held that if a “conviction” was the result of proceedings which were a “flagrant denial of justice”, </w:t>
      </w:r>
      <w:r w:rsidR="00B571F9" w:rsidRPr="00831573">
        <w:rPr>
          <w:lang w:val="en-GB"/>
        </w:rPr>
        <w:t>that is to say</w:t>
      </w:r>
      <w:r w:rsidR="006E7E1B" w:rsidRPr="00831573">
        <w:rPr>
          <w:lang w:val="en-GB"/>
        </w:rPr>
        <w:t xml:space="preserve"> were “manifestly contrary to the provisions of Article 6 or the principles embodied therein”, the resulting deprivation of liberty would not be justified under Article</w:t>
      </w:r>
      <w:r w:rsidR="009003DE" w:rsidRPr="00831573">
        <w:rPr>
          <w:lang w:val="en-GB"/>
        </w:rPr>
        <w:t> </w:t>
      </w:r>
      <w:r w:rsidR="006E7E1B" w:rsidRPr="00831573">
        <w:rPr>
          <w:lang w:val="en-GB"/>
        </w:rPr>
        <w:t>5</w:t>
      </w:r>
      <w:r w:rsidR="009003DE" w:rsidRPr="00831573">
        <w:rPr>
          <w:lang w:val="en-GB"/>
        </w:rPr>
        <w:t> </w:t>
      </w:r>
      <w:r w:rsidR="006E7E1B" w:rsidRPr="00831573">
        <w:rPr>
          <w:lang w:val="en-GB"/>
        </w:rPr>
        <w:t>§</w:t>
      </w:r>
      <w:r w:rsidR="009003DE" w:rsidRPr="00831573">
        <w:rPr>
          <w:lang w:val="en-GB"/>
        </w:rPr>
        <w:t> </w:t>
      </w:r>
      <w:r w:rsidR="006E7E1B" w:rsidRPr="00831573">
        <w:rPr>
          <w:lang w:val="en-GB"/>
        </w:rPr>
        <w:t>1</w:t>
      </w:r>
      <w:r w:rsidR="009003DE" w:rsidRPr="00831573">
        <w:rPr>
          <w:lang w:val="en-GB"/>
        </w:rPr>
        <w:t> </w:t>
      </w:r>
      <w:r w:rsidR="006E7E1B" w:rsidRPr="00831573">
        <w:rPr>
          <w:lang w:val="en-GB"/>
        </w:rPr>
        <w:t xml:space="preserve">(a) (see </w:t>
      </w:r>
      <w:r w:rsidR="006E7E1B" w:rsidRPr="00831573">
        <w:rPr>
          <w:i/>
          <w:lang w:val="en-GB"/>
        </w:rPr>
        <w:t>Drozd and Janousek</w:t>
      </w:r>
      <w:r w:rsidR="006E7E1B" w:rsidRPr="00831573">
        <w:rPr>
          <w:lang w:val="en-GB"/>
        </w:rPr>
        <w:t xml:space="preserve">, cited above, § 110 and, more recently, </w:t>
      </w:r>
      <w:r w:rsidR="006E7E1B" w:rsidRPr="00831573">
        <w:rPr>
          <w:i/>
          <w:lang w:val="en-GB"/>
        </w:rPr>
        <w:t>Ilaşcu and Others v. Moldova and Russia</w:t>
      </w:r>
      <w:r w:rsidR="006E7E1B" w:rsidRPr="00831573">
        <w:rPr>
          <w:lang w:val="en-GB"/>
        </w:rPr>
        <w:t xml:space="preserve"> [GC],</w:t>
      </w:r>
      <w:r w:rsidR="004361D5" w:rsidRPr="00831573">
        <w:rPr>
          <w:lang w:val="en-GB"/>
        </w:rPr>
        <w:t xml:space="preserve"> </w:t>
      </w:r>
      <w:r w:rsidR="006E7E1B" w:rsidRPr="00831573">
        <w:rPr>
          <w:lang w:val="en-GB"/>
        </w:rPr>
        <w:t>no.</w:t>
      </w:r>
      <w:r w:rsidR="00C655B0" w:rsidRPr="00831573">
        <w:rPr>
          <w:lang w:val="en-GB"/>
        </w:rPr>
        <w:t> </w:t>
      </w:r>
      <w:r w:rsidR="006E7E1B" w:rsidRPr="00831573">
        <w:rPr>
          <w:lang w:val="en-GB"/>
        </w:rPr>
        <w:t>48787/99,</w:t>
      </w:r>
      <w:r w:rsidR="004361D5" w:rsidRPr="00831573">
        <w:rPr>
          <w:lang w:val="en-GB"/>
        </w:rPr>
        <w:t xml:space="preserve"> </w:t>
      </w:r>
      <w:r w:rsidR="006E7E1B" w:rsidRPr="00831573">
        <w:rPr>
          <w:lang w:val="en-GB"/>
        </w:rPr>
        <w:t>§</w:t>
      </w:r>
      <w:r w:rsidR="00740AA9" w:rsidRPr="00831573">
        <w:rPr>
          <w:lang w:val="en-GB"/>
        </w:rPr>
        <w:t> </w:t>
      </w:r>
      <w:r w:rsidR="006E7E1B" w:rsidRPr="00831573">
        <w:rPr>
          <w:lang w:val="en-GB"/>
        </w:rPr>
        <w:t>461, ECHR 2004 VII).</w:t>
      </w:r>
    </w:p>
    <w:bookmarkStart w:id="41" w:name="FlagrantDoJEnd"/>
    <w:p w:rsidR="00985A54" w:rsidRPr="00831573" w:rsidRDefault="00764482"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99</w:t>
      </w:r>
      <w:r w:rsidRPr="00831573">
        <w:rPr>
          <w:lang w:val="en-GB"/>
        </w:rPr>
        <w:fldChar w:fldCharType="end"/>
      </w:r>
      <w:bookmarkEnd w:id="41"/>
      <w:r w:rsidRPr="00831573">
        <w:rPr>
          <w:lang w:val="en-GB"/>
        </w:rPr>
        <w:t>. </w:t>
      </w:r>
      <w:r w:rsidR="00740AA9" w:rsidRPr="00831573">
        <w:rPr>
          <w:lang w:val="en-GB"/>
        </w:rPr>
        <w:t> </w:t>
      </w:r>
      <w:r w:rsidR="006E7E1B" w:rsidRPr="00831573">
        <w:rPr>
          <w:lang w:val="en-GB"/>
        </w:rPr>
        <w:t xml:space="preserve">The </w:t>
      </w:r>
      <w:r w:rsidR="00B4106A" w:rsidRPr="00831573">
        <w:rPr>
          <w:lang w:val="en-GB"/>
        </w:rPr>
        <w:t xml:space="preserve">“flagrant denial of justice” </w:t>
      </w:r>
      <w:r w:rsidR="006E7E1B" w:rsidRPr="00831573">
        <w:rPr>
          <w:lang w:val="en-GB"/>
        </w:rPr>
        <w:t>test is a stringent one. A flagrant denial of justice goes beyond mere irregularities or lack of safeguards in the trial procedures that result in a breach of Article 6 of the Convention. What is required is a breach of the principles of fair trial that is so fundamental as to amount to a nullification, or destruction of the very essence, o</w:t>
      </w:r>
      <w:r w:rsidR="00B60059" w:rsidRPr="00831573">
        <w:rPr>
          <w:lang w:val="en-GB"/>
        </w:rPr>
        <w:t>f the right guaranteed by that A</w:t>
      </w:r>
      <w:r w:rsidR="006E7E1B" w:rsidRPr="00831573">
        <w:rPr>
          <w:lang w:val="en-GB"/>
        </w:rPr>
        <w:t xml:space="preserve">rticle (see </w:t>
      </w:r>
      <w:r w:rsidR="006E7E1B" w:rsidRPr="00831573">
        <w:rPr>
          <w:i/>
          <w:lang w:val="en-GB"/>
        </w:rPr>
        <w:t>Othman (Abu Qatada) v. the United Kingdom</w:t>
      </w:r>
      <w:r w:rsidR="006E7E1B" w:rsidRPr="00831573">
        <w:rPr>
          <w:lang w:val="en-GB"/>
        </w:rPr>
        <w:t xml:space="preserve">, no. 8139/09, § 260, 17 January 2012 and </w:t>
      </w:r>
      <w:r w:rsidR="006E7E1B" w:rsidRPr="00831573">
        <w:rPr>
          <w:i/>
          <w:lang w:val="en-GB"/>
        </w:rPr>
        <w:t>Tsonyo Tsonev v.</w:t>
      </w:r>
      <w:r w:rsidR="008342C7" w:rsidRPr="00831573">
        <w:rPr>
          <w:i/>
          <w:lang w:val="en-GB"/>
        </w:rPr>
        <w:t> </w:t>
      </w:r>
      <w:r w:rsidR="006E7E1B" w:rsidRPr="00831573">
        <w:rPr>
          <w:i/>
          <w:lang w:val="en-GB"/>
        </w:rPr>
        <w:t>Bulgaria (no. 3)</w:t>
      </w:r>
      <w:r w:rsidR="006E7E1B" w:rsidRPr="00831573">
        <w:rPr>
          <w:lang w:val="en-GB"/>
        </w:rPr>
        <w:t xml:space="preserve">, no. 21124/04, § 59, 16 October 2012). </w:t>
      </w:r>
      <w:r w:rsidR="007426EE" w:rsidRPr="00831573">
        <w:rPr>
          <w:lang w:val="en-GB"/>
        </w:rPr>
        <w:t>Under Article</w:t>
      </w:r>
      <w:r w:rsidR="00241FC7" w:rsidRPr="00831573">
        <w:rPr>
          <w:lang w:val="en-GB"/>
        </w:rPr>
        <w:t> </w:t>
      </w:r>
      <w:r w:rsidR="007426EE" w:rsidRPr="00831573">
        <w:rPr>
          <w:lang w:val="en-GB"/>
        </w:rPr>
        <w:t>5</w:t>
      </w:r>
      <w:r w:rsidR="004361D5" w:rsidRPr="00831573">
        <w:rPr>
          <w:lang w:val="en-GB"/>
        </w:rPr>
        <w:t xml:space="preserve"> </w:t>
      </w:r>
      <w:r w:rsidR="007426EE" w:rsidRPr="00831573">
        <w:rPr>
          <w:lang w:val="en-GB"/>
        </w:rPr>
        <w:t>§</w:t>
      </w:r>
      <w:r w:rsidR="00241FC7" w:rsidRPr="00831573">
        <w:rPr>
          <w:lang w:val="en-GB"/>
        </w:rPr>
        <w:t> </w:t>
      </w:r>
      <w:r w:rsidR="007426EE" w:rsidRPr="00831573">
        <w:rPr>
          <w:lang w:val="en-GB"/>
        </w:rPr>
        <w:t>1</w:t>
      </w:r>
      <w:r w:rsidR="00241FC7" w:rsidRPr="00831573">
        <w:rPr>
          <w:lang w:val="en-GB"/>
        </w:rPr>
        <w:t> </w:t>
      </w:r>
      <w:r w:rsidR="007426EE" w:rsidRPr="00831573">
        <w:rPr>
          <w:lang w:val="en-GB"/>
        </w:rPr>
        <w:t>(a), it is the detention of the person concerned, and not the person</w:t>
      </w:r>
      <w:r w:rsidR="00831573" w:rsidRPr="00831573">
        <w:rPr>
          <w:lang w:val="en-GB"/>
        </w:rPr>
        <w:t>’</w:t>
      </w:r>
      <w:r w:rsidR="007426EE" w:rsidRPr="00831573">
        <w:rPr>
          <w:lang w:val="en-GB"/>
        </w:rPr>
        <w:t xml:space="preserve">s conviction, which has to be lawful. </w:t>
      </w:r>
      <w:r w:rsidR="006E7E1B" w:rsidRPr="00831573">
        <w:rPr>
          <w:lang w:val="en-GB"/>
        </w:rPr>
        <w:t>Only if the violation of Article</w:t>
      </w:r>
      <w:r w:rsidR="004361D5" w:rsidRPr="00831573">
        <w:rPr>
          <w:lang w:val="en-GB"/>
        </w:rPr>
        <w:t xml:space="preserve"> </w:t>
      </w:r>
      <w:r w:rsidR="006E7E1B" w:rsidRPr="00831573">
        <w:rPr>
          <w:lang w:val="en-GB"/>
        </w:rPr>
        <w:t>6 could be said to amount to a “flagrant denial of justice”, would Article 5 § 1 (a) be violated</w:t>
      </w:r>
      <w:r w:rsidR="00367D84" w:rsidRPr="00831573">
        <w:rPr>
          <w:lang w:val="en-GB"/>
        </w:rPr>
        <w:t xml:space="preserve"> (see </w:t>
      </w:r>
      <w:r w:rsidR="00367D84" w:rsidRPr="00831573">
        <w:rPr>
          <w:i/>
          <w:lang w:val="en-GB"/>
        </w:rPr>
        <w:t>Radu v. Germany</w:t>
      </w:r>
      <w:r w:rsidR="00073972" w:rsidRPr="00831573">
        <w:rPr>
          <w:lang w:val="en-GB"/>
        </w:rPr>
        <w:t>, no. 20084/07, § 88, 16</w:t>
      </w:r>
      <w:r w:rsidR="004361D5" w:rsidRPr="00831573">
        <w:rPr>
          <w:lang w:val="en-GB"/>
        </w:rPr>
        <w:t xml:space="preserve"> </w:t>
      </w:r>
      <w:r w:rsidR="00367D84" w:rsidRPr="00831573">
        <w:rPr>
          <w:lang w:val="en-GB"/>
        </w:rPr>
        <w:t>May 2013)</w:t>
      </w:r>
      <w:r w:rsidR="006E7E1B" w:rsidRPr="00831573">
        <w:rPr>
          <w:lang w:val="en-GB"/>
        </w:rPr>
        <w:t>.</w:t>
      </w:r>
      <w:r w:rsidR="004361D5" w:rsidRPr="00831573">
        <w:rPr>
          <w:lang w:val="en-GB"/>
        </w:rPr>
        <w:t xml:space="preserve"> </w:t>
      </w:r>
      <w:r w:rsidR="006E7E1B" w:rsidRPr="00831573">
        <w:rPr>
          <w:lang w:val="en-GB"/>
        </w:rPr>
        <w:t>As the purpose of Article 5 is to protect the individual from arbitrariness, a conviction cannot be the result of a flagrant denial of justice (</w:t>
      </w:r>
      <w:r w:rsidR="00831573" w:rsidRPr="00831573">
        <w:rPr>
          <w:i/>
          <w:lang w:val="en-GB"/>
        </w:rPr>
        <w:t>Ilaşcu and </w:t>
      </w:r>
      <w:r w:rsidR="006E7E1B" w:rsidRPr="00831573">
        <w:rPr>
          <w:i/>
          <w:lang w:val="en-GB"/>
        </w:rPr>
        <w:t>Others</w:t>
      </w:r>
      <w:r w:rsidR="00367D84" w:rsidRPr="00831573">
        <w:rPr>
          <w:lang w:val="en-GB"/>
        </w:rPr>
        <w:t>, cited above</w:t>
      </w:r>
      <w:r w:rsidR="008A4D7F" w:rsidRPr="00831573">
        <w:rPr>
          <w:lang w:val="en-GB"/>
        </w:rPr>
        <w:t xml:space="preserve">, </w:t>
      </w:r>
      <w:r w:rsidR="00AE049D" w:rsidRPr="00831573">
        <w:rPr>
          <w:rFonts w:cstheme="minorHAnsi"/>
          <w:lang w:val="en-GB"/>
        </w:rPr>
        <w:t>§ 461</w:t>
      </w:r>
      <w:r w:rsidR="00367D84" w:rsidRPr="00831573">
        <w:rPr>
          <w:lang w:val="en-GB"/>
        </w:rPr>
        <w:t>).</w:t>
      </w:r>
    </w:p>
    <w:p w:rsidR="000F49BF" w:rsidRPr="00831573" w:rsidRDefault="0083614B" w:rsidP="00831573">
      <w:pPr>
        <w:pStyle w:val="ECHRHeading4"/>
        <w:rPr>
          <w:lang w:val="en-GB"/>
        </w:rPr>
      </w:pPr>
      <w:r w:rsidRPr="00831573">
        <w:rPr>
          <w:lang w:val="en-GB"/>
        </w:rPr>
        <w:t>(c)</w:t>
      </w:r>
      <w:r w:rsidR="00874BD6" w:rsidRPr="00831573">
        <w:rPr>
          <w:lang w:val="en-GB"/>
        </w:rPr>
        <w:t>  </w:t>
      </w:r>
      <w:r w:rsidR="000F49BF" w:rsidRPr="00831573">
        <w:rPr>
          <w:lang w:val="en-GB"/>
        </w:rPr>
        <w:t>Application of the principles to the facts of the case</w:t>
      </w:r>
    </w:p>
    <w:p w:rsidR="00FA0D71" w:rsidRPr="00831573" w:rsidRDefault="00874BD6" w:rsidP="00831573">
      <w:pPr>
        <w:pStyle w:val="ECHRHeading5"/>
        <w:rPr>
          <w:lang w:val="en-GB"/>
        </w:rPr>
      </w:pPr>
      <w:r w:rsidRPr="00831573">
        <w:rPr>
          <w:lang w:val="en-GB"/>
        </w:rPr>
        <w:t>(i)  </w:t>
      </w:r>
      <w:r w:rsidR="00D66CC8" w:rsidRPr="00831573">
        <w:rPr>
          <w:lang w:val="en-GB"/>
        </w:rPr>
        <w:t xml:space="preserve">Preliminary </w:t>
      </w:r>
      <w:r w:rsidR="00FA0D71" w:rsidRPr="00831573">
        <w:rPr>
          <w:lang w:val="en-GB"/>
        </w:rPr>
        <w:t>considerations</w:t>
      </w:r>
    </w:p>
    <w:bookmarkStart w:id="42" w:name="A5CompliancePrelimStart"/>
    <w:p w:rsidR="001B1DEE" w:rsidRPr="00831573" w:rsidRDefault="003276A1"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100</w:t>
      </w:r>
      <w:r w:rsidRPr="00831573">
        <w:rPr>
          <w:lang w:val="en-GB"/>
        </w:rPr>
        <w:fldChar w:fldCharType="end"/>
      </w:r>
      <w:bookmarkEnd w:id="42"/>
      <w:r w:rsidRPr="00831573">
        <w:rPr>
          <w:lang w:val="en-GB"/>
        </w:rPr>
        <w:t>.</w:t>
      </w:r>
      <w:r w:rsidR="008A4D7F" w:rsidRPr="00831573">
        <w:rPr>
          <w:lang w:val="en-GB"/>
        </w:rPr>
        <w:t>  </w:t>
      </w:r>
      <w:r w:rsidR="00241FC7" w:rsidRPr="00831573">
        <w:rPr>
          <w:lang w:val="en-GB"/>
        </w:rPr>
        <w:t>T</w:t>
      </w:r>
      <w:r w:rsidR="00D13917" w:rsidRPr="00831573">
        <w:rPr>
          <w:lang w:val="en-GB"/>
        </w:rPr>
        <w:t>he Court</w:t>
      </w:r>
      <w:r w:rsidR="00241FC7" w:rsidRPr="00831573">
        <w:rPr>
          <w:lang w:val="en-GB"/>
        </w:rPr>
        <w:t xml:space="preserve"> has already rejected the applicant</w:t>
      </w:r>
      <w:r w:rsidR="00831573" w:rsidRPr="00831573">
        <w:rPr>
          <w:lang w:val="en-GB"/>
        </w:rPr>
        <w:t>’</w:t>
      </w:r>
      <w:r w:rsidR="00241FC7" w:rsidRPr="00831573">
        <w:rPr>
          <w:lang w:val="en-GB"/>
        </w:rPr>
        <w:t xml:space="preserve">s argument that every Article 6 violation results in a violation of Article 5 </w:t>
      </w:r>
      <w:r w:rsidR="00241FC7" w:rsidRPr="00831573">
        <w:rPr>
          <w:rFonts w:cstheme="minorHAnsi"/>
          <w:lang w:val="en-GB"/>
        </w:rPr>
        <w:t>§</w:t>
      </w:r>
      <w:r w:rsidR="00241FC7" w:rsidRPr="00831573">
        <w:rPr>
          <w:lang w:val="en-GB"/>
        </w:rPr>
        <w:t xml:space="preserve"> 1</w:t>
      </w:r>
      <w:r w:rsidR="00D13917" w:rsidRPr="00831573">
        <w:rPr>
          <w:lang w:val="en-GB"/>
        </w:rPr>
        <w:t xml:space="preserve">, </w:t>
      </w:r>
      <w:r w:rsidR="00B4106A" w:rsidRPr="00831573">
        <w:rPr>
          <w:lang w:val="en-GB"/>
        </w:rPr>
        <w:t xml:space="preserve">both </w:t>
      </w:r>
      <w:r w:rsidR="00D13917" w:rsidRPr="00831573">
        <w:rPr>
          <w:lang w:val="en-GB"/>
        </w:rPr>
        <w:t>expressly</w:t>
      </w:r>
      <w:r w:rsidR="00B4106A" w:rsidRPr="00831573">
        <w:rPr>
          <w:lang w:val="en-GB"/>
        </w:rPr>
        <w:t xml:space="preserve"> (</w:t>
      </w:r>
      <w:r w:rsidR="00D13917" w:rsidRPr="00831573">
        <w:rPr>
          <w:i/>
          <w:lang w:val="en-GB"/>
        </w:rPr>
        <w:t>Tsonyo Tsonev</w:t>
      </w:r>
      <w:r w:rsidR="00D13917" w:rsidRPr="00831573">
        <w:rPr>
          <w:lang w:val="en-GB"/>
        </w:rPr>
        <w:t xml:space="preserve">, cited above, </w:t>
      </w:r>
      <w:r w:rsidR="00D13917" w:rsidRPr="00831573">
        <w:rPr>
          <w:rFonts w:cstheme="minorHAnsi"/>
          <w:lang w:val="en-GB"/>
        </w:rPr>
        <w:t>§ 58-59</w:t>
      </w:r>
      <w:r w:rsidR="00B4106A" w:rsidRPr="00831573">
        <w:rPr>
          <w:rFonts w:cstheme="minorHAnsi"/>
          <w:lang w:val="en-GB"/>
        </w:rPr>
        <w:t>)</w:t>
      </w:r>
      <w:r w:rsidR="00D13917" w:rsidRPr="00831573">
        <w:rPr>
          <w:rFonts w:cstheme="minorHAnsi"/>
          <w:lang w:val="en-GB"/>
        </w:rPr>
        <w:t xml:space="preserve"> </w:t>
      </w:r>
      <w:r w:rsidR="00D13917" w:rsidRPr="00831573">
        <w:rPr>
          <w:lang w:val="en-GB"/>
        </w:rPr>
        <w:t xml:space="preserve">and implicitly </w:t>
      </w:r>
      <w:r w:rsidR="00B4106A" w:rsidRPr="00831573">
        <w:rPr>
          <w:lang w:val="en-GB"/>
        </w:rPr>
        <w:t xml:space="preserve">(see, </w:t>
      </w:r>
      <w:r w:rsidR="00D13917" w:rsidRPr="00831573">
        <w:rPr>
          <w:lang w:val="en-GB"/>
        </w:rPr>
        <w:t xml:space="preserve">for example, </w:t>
      </w:r>
      <w:r w:rsidR="00DC7D8A" w:rsidRPr="00831573">
        <w:rPr>
          <w:i/>
          <w:lang w:val="en-GB"/>
        </w:rPr>
        <w:t>Benham</w:t>
      </w:r>
      <w:r w:rsidR="00DC7D8A" w:rsidRPr="00831573">
        <w:rPr>
          <w:lang w:val="en-GB"/>
        </w:rPr>
        <w:t xml:space="preserve"> and </w:t>
      </w:r>
      <w:r w:rsidR="00DC7D8A" w:rsidRPr="00831573">
        <w:rPr>
          <w:i/>
          <w:lang w:val="en-GB"/>
        </w:rPr>
        <w:t>Perks</w:t>
      </w:r>
      <w:r w:rsidR="00DC7D8A" w:rsidRPr="00831573">
        <w:rPr>
          <w:lang w:val="en-GB"/>
        </w:rPr>
        <w:t>, both cited above</w:t>
      </w:r>
      <w:r w:rsidR="00B4106A" w:rsidRPr="00831573">
        <w:rPr>
          <w:rFonts w:cstheme="minorHAnsi"/>
          <w:lang w:val="en-GB"/>
        </w:rPr>
        <w:t>)</w:t>
      </w:r>
      <w:r w:rsidR="00DC7D8A" w:rsidRPr="00831573">
        <w:rPr>
          <w:rFonts w:cstheme="minorHAnsi"/>
          <w:lang w:val="en-GB"/>
        </w:rPr>
        <w:t>.</w:t>
      </w:r>
      <w:r w:rsidR="001B1DEE" w:rsidRPr="00831573">
        <w:rPr>
          <w:lang w:val="en-GB"/>
        </w:rPr>
        <w:t xml:space="preserve"> </w:t>
      </w:r>
      <w:r w:rsidR="00210473" w:rsidRPr="00831573">
        <w:rPr>
          <w:lang w:val="en-GB"/>
        </w:rPr>
        <w:t xml:space="preserve">Domestically, in </w:t>
      </w:r>
      <w:r w:rsidR="005605C6" w:rsidRPr="00831573">
        <w:rPr>
          <w:i/>
          <w:lang w:val="en-GB"/>
        </w:rPr>
        <w:t>Uday Ratra v. </w:t>
      </w:r>
      <w:r w:rsidR="00210473" w:rsidRPr="00831573">
        <w:rPr>
          <w:i/>
          <w:lang w:val="en-GB"/>
        </w:rPr>
        <w:t>Department for Constitutional Affairs</w:t>
      </w:r>
      <w:r w:rsidR="00210473" w:rsidRPr="00831573">
        <w:rPr>
          <w:lang w:val="en-GB"/>
        </w:rPr>
        <w:t xml:space="preserve"> (see paragraph </w:t>
      </w:r>
      <w:r w:rsidR="00210473" w:rsidRPr="00831573">
        <w:rPr>
          <w:lang w:val="en-GB"/>
        </w:rPr>
        <w:fldChar w:fldCharType="begin"/>
      </w:r>
      <w:r w:rsidR="00210473" w:rsidRPr="00831573">
        <w:rPr>
          <w:lang w:val="en-GB"/>
        </w:rPr>
        <w:instrText xml:space="preserve"> REF UdayRatra \h </w:instrText>
      </w:r>
      <w:r w:rsidR="00210473" w:rsidRPr="00831573">
        <w:rPr>
          <w:lang w:val="en-GB"/>
        </w:rPr>
      </w:r>
      <w:r w:rsidR="00210473" w:rsidRPr="00831573">
        <w:rPr>
          <w:lang w:val="en-GB"/>
        </w:rPr>
        <w:fldChar w:fldCharType="separate"/>
      </w:r>
      <w:r w:rsidR="00831573" w:rsidRPr="00831573">
        <w:rPr>
          <w:noProof/>
          <w:lang w:val="en-GB"/>
        </w:rPr>
        <w:t>61</w:t>
      </w:r>
      <w:r w:rsidR="00210473" w:rsidRPr="00831573">
        <w:rPr>
          <w:lang w:val="en-GB"/>
        </w:rPr>
        <w:fldChar w:fldCharType="end"/>
      </w:r>
      <w:r w:rsidR="00210473" w:rsidRPr="00831573">
        <w:rPr>
          <w:lang w:val="en-GB"/>
        </w:rPr>
        <w:t xml:space="preserve"> above), the Court of Appeal made a finding to the same effect.</w:t>
      </w:r>
    </w:p>
    <w:p w:rsidR="001B1DEE" w:rsidRPr="00831573" w:rsidRDefault="00F94A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101</w:t>
      </w:r>
      <w:r w:rsidRPr="00831573">
        <w:rPr>
          <w:lang w:val="en-GB"/>
        </w:rPr>
        <w:fldChar w:fldCharType="end"/>
      </w:r>
      <w:r w:rsidR="008A4D7F" w:rsidRPr="00831573">
        <w:rPr>
          <w:lang w:val="en-GB"/>
        </w:rPr>
        <w:t>.  </w:t>
      </w:r>
      <w:r w:rsidRPr="00831573">
        <w:rPr>
          <w:lang w:val="en-GB"/>
        </w:rPr>
        <w:t xml:space="preserve">The applicant has argued that because Article 6 forms part of domestic law, and the County Court violated that </w:t>
      </w:r>
      <w:r w:rsidR="00B4106A" w:rsidRPr="00831573">
        <w:rPr>
          <w:lang w:val="en-GB"/>
        </w:rPr>
        <w:t>A</w:t>
      </w:r>
      <w:r w:rsidRPr="00831573">
        <w:rPr>
          <w:lang w:val="en-GB"/>
        </w:rPr>
        <w:t xml:space="preserve">rticle in the process of committing him for contempt, his detention was not in accordance with law. However, although Article 6 forms part of domestic law to the extent set out by the House of Lords in </w:t>
      </w:r>
      <w:r w:rsidRPr="00831573">
        <w:rPr>
          <w:i/>
          <w:lang w:val="en-GB"/>
        </w:rPr>
        <w:t>R v Lyons</w:t>
      </w:r>
      <w:r w:rsidRPr="00831573">
        <w:rPr>
          <w:lang w:val="en-GB"/>
        </w:rPr>
        <w:t xml:space="preserve"> and s</w:t>
      </w:r>
      <w:r w:rsidR="009357B2" w:rsidRPr="00831573">
        <w:rPr>
          <w:lang w:val="en-GB"/>
        </w:rPr>
        <w:t>ubsequent cases (see paragraphs </w:t>
      </w:r>
      <w:r w:rsidR="007426EE" w:rsidRPr="00831573">
        <w:rPr>
          <w:lang w:val="en-GB"/>
        </w:rPr>
        <w:fldChar w:fldCharType="begin"/>
      </w:r>
      <w:r w:rsidR="007426EE" w:rsidRPr="00831573">
        <w:rPr>
          <w:lang w:val="en-GB"/>
        </w:rPr>
        <w:instrText xml:space="preserve"> REF ECHRNatureUKStart \h </w:instrText>
      </w:r>
      <w:r w:rsidR="007426EE" w:rsidRPr="00831573">
        <w:rPr>
          <w:lang w:val="en-GB"/>
        </w:rPr>
      </w:r>
      <w:r w:rsidR="007426EE" w:rsidRPr="00831573">
        <w:rPr>
          <w:lang w:val="en-GB"/>
        </w:rPr>
        <w:fldChar w:fldCharType="separate"/>
      </w:r>
      <w:r w:rsidR="00831573" w:rsidRPr="00831573">
        <w:rPr>
          <w:noProof/>
          <w:lang w:val="en-GB"/>
        </w:rPr>
        <w:t>56</w:t>
      </w:r>
      <w:r w:rsidR="007426EE" w:rsidRPr="00831573">
        <w:rPr>
          <w:lang w:val="en-GB"/>
        </w:rPr>
        <w:fldChar w:fldCharType="end"/>
      </w:r>
      <w:r w:rsidR="007426EE" w:rsidRPr="00831573">
        <w:rPr>
          <w:lang w:val="en-GB"/>
        </w:rPr>
        <w:t>-</w:t>
      </w:r>
      <w:r w:rsidR="007426EE" w:rsidRPr="00831573">
        <w:rPr>
          <w:lang w:val="en-GB"/>
        </w:rPr>
        <w:fldChar w:fldCharType="begin"/>
      </w:r>
      <w:r w:rsidR="007426EE" w:rsidRPr="00831573">
        <w:rPr>
          <w:lang w:val="en-GB"/>
        </w:rPr>
        <w:instrText xml:space="preserve"> REF ECHRNatureUKEnd \h </w:instrText>
      </w:r>
      <w:r w:rsidR="007426EE" w:rsidRPr="00831573">
        <w:rPr>
          <w:lang w:val="en-GB"/>
        </w:rPr>
      </w:r>
      <w:r w:rsidR="007426EE" w:rsidRPr="00831573">
        <w:rPr>
          <w:lang w:val="en-GB"/>
        </w:rPr>
        <w:fldChar w:fldCharType="separate"/>
      </w:r>
      <w:r w:rsidR="00831573" w:rsidRPr="00831573">
        <w:rPr>
          <w:noProof/>
          <w:lang w:val="en-GB"/>
        </w:rPr>
        <w:t>60</w:t>
      </w:r>
      <w:r w:rsidR="007426EE" w:rsidRPr="00831573">
        <w:rPr>
          <w:lang w:val="en-GB"/>
        </w:rPr>
        <w:fldChar w:fldCharType="end"/>
      </w:r>
      <w:r w:rsidRPr="00831573">
        <w:rPr>
          <w:lang w:val="en-GB"/>
        </w:rPr>
        <w:t xml:space="preserve"> above), it is clear from the Grand Chamber</w:t>
      </w:r>
      <w:r w:rsidR="00831573" w:rsidRPr="00831573">
        <w:rPr>
          <w:lang w:val="en-GB"/>
        </w:rPr>
        <w:t>’</w:t>
      </w:r>
      <w:r w:rsidRPr="00831573">
        <w:rPr>
          <w:lang w:val="en-GB"/>
        </w:rPr>
        <w:t xml:space="preserve">s decision in </w:t>
      </w:r>
      <w:r w:rsidRPr="00831573">
        <w:rPr>
          <w:i/>
          <w:lang w:val="en-GB"/>
        </w:rPr>
        <w:t>Mooren</w:t>
      </w:r>
      <w:r w:rsidR="008342C7" w:rsidRPr="00831573">
        <w:rPr>
          <w:lang w:val="en-GB"/>
        </w:rPr>
        <w:t>, cited above,</w:t>
      </w:r>
      <w:r w:rsidRPr="00831573">
        <w:rPr>
          <w:lang w:val="en-GB"/>
        </w:rPr>
        <w:t xml:space="preserve"> that non-observance of a substantive or procedural rule is necessary but not sufficient for finding a violation of Article 5 </w:t>
      </w:r>
      <w:r w:rsidRPr="00831573">
        <w:rPr>
          <w:rFonts w:cstheme="minorHAnsi"/>
          <w:lang w:val="en-GB"/>
        </w:rPr>
        <w:t>§</w:t>
      </w:r>
      <w:r w:rsidRPr="00831573">
        <w:rPr>
          <w:lang w:val="en-GB"/>
        </w:rPr>
        <w:t xml:space="preserve"> 1. The nature of th</w:t>
      </w:r>
      <w:r w:rsidR="00B571F9" w:rsidRPr="00831573">
        <w:rPr>
          <w:lang w:val="en-GB"/>
        </w:rPr>
        <w:t>at</w:t>
      </w:r>
      <w:r w:rsidRPr="00831573">
        <w:rPr>
          <w:lang w:val="en-GB"/>
        </w:rPr>
        <w:t xml:space="preserve"> non-observance is also of critical importance.</w:t>
      </w:r>
    </w:p>
    <w:p w:rsidR="00FD67A6" w:rsidRPr="00831573" w:rsidRDefault="00B84AFF"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102</w:t>
      </w:r>
      <w:r w:rsidRPr="00831573">
        <w:rPr>
          <w:lang w:val="en-GB"/>
        </w:rPr>
        <w:fldChar w:fldCharType="end"/>
      </w:r>
      <w:r w:rsidRPr="00831573">
        <w:rPr>
          <w:lang w:val="en-GB"/>
        </w:rPr>
        <w:t>. </w:t>
      </w:r>
      <w:r w:rsidR="008A4D7F" w:rsidRPr="00831573">
        <w:rPr>
          <w:lang w:val="en-GB"/>
        </w:rPr>
        <w:t> </w:t>
      </w:r>
      <w:r w:rsidR="00F94A98" w:rsidRPr="00831573">
        <w:rPr>
          <w:lang w:val="en-GB"/>
        </w:rPr>
        <w:t xml:space="preserve">It is clear from the </w:t>
      </w:r>
      <w:r w:rsidR="006867DE" w:rsidRPr="00831573">
        <w:rPr>
          <w:lang w:val="en-GB"/>
        </w:rPr>
        <w:t>Grand Chamber</w:t>
      </w:r>
      <w:r w:rsidR="00831573" w:rsidRPr="00831573">
        <w:rPr>
          <w:lang w:val="en-GB"/>
        </w:rPr>
        <w:t>’</w:t>
      </w:r>
      <w:r w:rsidR="00F94A98" w:rsidRPr="00831573">
        <w:rPr>
          <w:lang w:val="en-GB"/>
        </w:rPr>
        <w:t xml:space="preserve">s decision </w:t>
      </w:r>
      <w:r w:rsidR="008342C7" w:rsidRPr="00831573">
        <w:rPr>
          <w:lang w:val="en-GB"/>
        </w:rPr>
        <w:t xml:space="preserve">in </w:t>
      </w:r>
      <w:r w:rsidR="008342C7" w:rsidRPr="00831573">
        <w:rPr>
          <w:i/>
          <w:lang w:val="en-GB"/>
        </w:rPr>
        <w:t xml:space="preserve">Mooren </w:t>
      </w:r>
      <w:r w:rsidR="00F94A98" w:rsidRPr="00831573">
        <w:rPr>
          <w:lang w:val="en-GB"/>
        </w:rPr>
        <w:t xml:space="preserve">that it is only where non-observance of a substantive or procedural rule results in a detention order which is ex facie invalid that the order will not </w:t>
      </w:r>
      <w:r w:rsidR="00B60059" w:rsidRPr="00831573">
        <w:rPr>
          <w:lang w:val="en-GB"/>
        </w:rPr>
        <w:t>be “lawful”.</w:t>
      </w:r>
      <w:r w:rsidR="00210473" w:rsidRPr="00831573">
        <w:rPr>
          <w:lang w:val="en-GB"/>
        </w:rPr>
        <w:t xml:space="preserve"> The Court therefore considers that the applicant</w:t>
      </w:r>
      <w:r w:rsidR="00831573" w:rsidRPr="00831573">
        <w:rPr>
          <w:lang w:val="en-GB"/>
        </w:rPr>
        <w:t>’</w:t>
      </w:r>
      <w:r w:rsidR="00210473" w:rsidRPr="00831573">
        <w:rPr>
          <w:lang w:val="en-GB"/>
        </w:rPr>
        <w:t xml:space="preserve">s </w:t>
      </w:r>
      <w:r w:rsidR="003D2D42" w:rsidRPr="00831573">
        <w:rPr>
          <w:lang w:val="en-GB"/>
        </w:rPr>
        <w:t xml:space="preserve">first </w:t>
      </w:r>
      <w:r w:rsidR="00B60059" w:rsidRPr="00831573">
        <w:rPr>
          <w:lang w:val="en-GB"/>
        </w:rPr>
        <w:t>argument</w:t>
      </w:r>
      <w:r w:rsidR="00210473" w:rsidRPr="00831573">
        <w:rPr>
          <w:lang w:val="en-GB"/>
        </w:rPr>
        <w:t xml:space="preserve"> can be characterised as being that the detention order in his case was ex facie invalid in the meaning of that term in the Court</w:t>
      </w:r>
      <w:r w:rsidR="00831573" w:rsidRPr="00831573">
        <w:rPr>
          <w:lang w:val="en-GB"/>
        </w:rPr>
        <w:t>’</w:t>
      </w:r>
      <w:r w:rsidR="00210473" w:rsidRPr="00831573">
        <w:rPr>
          <w:lang w:val="en-GB"/>
        </w:rPr>
        <w:t>s case-law.</w:t>
      </w:r>
    </w:p>
    <w:p w:rsidR="004C58FF" w:rsidRPr="00831573" w:rsidRDefault="00D01CEF"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103</w:t>
      </w:r>
      <w:r w:rsidRPr="00831573">
        <w:rPr>
          <w:lang w:val="en-GB"/>
        </w:rPr>
        <w:fldChar w:fldCharType="end"/>
      </w:r>
      <w:r w:rsidRPr="00831573">
        <w:rPr>
          <w:lang w:val="en-GB"/>
        </w:rPr>
        <w:t>. </w:t>
      </w:r>
      <w:r w:rsidR="008A4D7F" w:rsidRPr="00831573">
        <w:rPr>
          <w:lang w:val="en-GB"/>
        </w:rPr>
        <w:t> </w:t>
      </w:r>
      <w:r w:rsidR="00B571F9" w:rsidRPr="00831573" w:rsidDel="00B571F9">
        <w:rPr>
          <w:lang w:val="en-GB"/>
        </w:rPr>
        <w:t xml:space="preserve"> </w:t>
      </w:r>
      <w:r w:rsidR="00B571F9" w:rsidRPr="00831573">
        <w:rPr>
          <w:lang w:val="en-GB"/>
        </w:rPr>
        <w:t>T</w:t>
      </w:r>
      <w:r w:rsidR="00E26E72" w:rsidRPr="00831573">
        <w:rPr>
          <w:lang w:val="en-GB"/>
        </w:rPr>
        <w:t>he applicant</w:t>
      </w:r>
      <w:r w:rsidR="00831573" w:rsidRPr="00831573">
        <w:rPr>
          <w:lang w:val="en-GB"/>
        </w:rPr>
        <w:t>’</w:t>
      </w:r>
      <w:r w:rsidR="00E26E72" w:rsidRPr="00831573">
        <w:rPr>
          <w:lang w:val="en-GB"/>
        </w:rPr>
        <w:t xml:space="preserve">s second </w:t>
      </w:r>
      <w:r w:rsidR="00B60059" w:rsidRPr="00831573">
        <w:rPr>
          <w:lang w:val="en-GB"/>
        </w:rPr>
        <w:t>argument</w:t>
      </w:r>
      <w:r w:rsidR="00E26E72" w:rsidRPr="00831573">
        <w:rPr>
          <w:lang w:val="en-GB"/>
        </w:rPr>
        <w:t xml:space="preserve">, that the County Court actions amounted to a gross and obvious irregularity, is actually a facet of his </w:t>
      </w:r>
      <w:r w:rsidR="00862593" w:rsidRPr="00831573">
        <w:rPr>
          <w:lang w:val="en-GB"/>
        </w:rPr>
        <w:t>first</w:t>
      </w:r>
      <w:r w:rsidR="00E26E72" w:rsidRPr="00831573">
        <w:rPr>
          <w:lang w:val="en-GB"/>
        </w:rPr>
        <w:t xml:space="preserve"> </w:t>
      </w:r>
      <w:r w:rsidR="00B60059" w:rsidRPr="00831573">
        <w:rPr>
          <w:lang w:val="en-GB"/>
        </w:rPr>
        <w:t>argument</w:t>
      </w:r>
      <w:r w:rsidR="00E26E72" w:rsidRPr="00831573">
        <w:rPr>
          <w:lang w:val="en-GB"/>
        </w:rPr>
        <w:t xml:space="preserve"> that his detention did not compl</w:t>
      </w:r>
      <w:r w:rsidR="00862593" w:rsidRPr="00831573">
        <w:rPr>
          <w:lang w:val="en-GB"/>
        </w:rPr>
        <w:t>y</w:t>
      </w:r>
      <w:r w:rsidR="00E26E72" w:rsidRPr="00831573">
        <w:rPr>
          <w:lang w:val="en-GB"/>
        </w:rPr>
        <w:t xml:space="preserve"> with national law.</w:t>
      </w:r>
      <w:r w:rsidR="00840658" w:rsidRPr="00831573">
        <w:rPr>
          <w:lang w:val="en-GB"/>
        </w:rPr>
        <w:t xml:space="preserve"> The Court will therefore consider both </w:t>
      </w:r>
      <w:r w:rsidR="00B60059" w:rsidRPr="00831573">
        <w:rPr>
          <w:lang w:val="en-GB"/>
        </w:rPr>
        <w:t xml:space="preserve">arguments </w:t>
      </w:r>
      <w:r w:rsidR="00840658" w:rsidRPr="00831573">
        <w:rPr>
          <w:lang w:val="en-GB"/>
        </w:rPr>
        <w:t>together.</w:t>
      </w:r>
    </w:p>
    <w:bookmarkStart w:id="43" w:name="A5CompliancePrelimEnd"/>
    <w:p w:rsidR="00831E43" w:rsidRPr="00831573" w:rsidRDefault="00E33B1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104</w:t>
      </w:r>
      <w:r w:rsidRPr="00831573">
        <w:rPr>
          <w:lang w:val="en-GB"/>
        </w:rPr>
        <w:fldChar w:fldCharType="end"/>
      </w:r>
      <w:bookmarkEnd w:id="43"/>
      <w:r w:rsidR="008A4D7F" w:rsidRPr="00831573">
        <w:rPr>
          <w:lang w:val="en-GB"/>
        </w:rPr>
        <w:t>.  </w:t>
      </w:r>
      <w:r w:rsidR="00E26E72" w:rsidRPr="00831573">
        <w:rPr>
          <w:lang w:val="en-GB"/>
        </w:rPr>
        <w:t xml:space="preserve">In adopting this approach </w:t>
      </w:r>
      <w:r w:rsidR="002F488D" w:rsidRPr="00831573">
        <w:rPr>
          <w:lang w:val="en-GB"/>
        </w:rPr>
        <w:t xml:space="preserve">the Court </w:t>
      </w:r>
      <w:r w:rsidR="00862593" w:rsidRPr="00831573">
        <w:rPr>
          <w:lang w:val="en-GB"/>
        </w:rPr>
        <w:t xml:space="preserve">takes note of the following </w:t>
      </w:r>
      <w:r w:rsidR="007426EE" w:rsidRPr="00831573">
        <w:rPr>
          <w:lang w:val="en-GB"/>
        </w:rPr>
        <w:t>points</w:t>
      </w:r>
      <w:r w:rsidR="00862593" w:rsidRPr="00831573">
        <w:rPr>
          <w:lang w:val="en-GB"/>
        </w:rPr>
        <w:t xml:space="preserve">. </w:t>
      </w:r>
      <w:r w:rsidR="002F488D" w:rsidRPr="00831573">
        <w:rPr>
          <w:lang w:val="en-GB"/>
        </w:rPr>
        <w:t xml:space="preserve">First, the test for whether an action is </w:t>
      </w:r>
      <w:r w:rsidR="005C0ACA" w:rsidRPr="00831573">
        <w:rPr>
          <w:lang w:val="en-GB"/>
        </w:rPr>
        <w:t xml:space="preserve">without or </w:t>
      </w:r>
      <w:r w:rsidR="002F488D" w:rsidRPr="00831573">
        <w:rPr>
          <w:lang w:val="en-GB"/>
        </w:rPr>
        <w:t xml:space="preserve">in excess of jurisdiction set out in </w:t>
      </w:r>
      <w:r w:rsidR="002F488D" w:rsidRPr="00831573">
        <w:rPr>
          <w:i/>
          <w:lang w:val="en-GB"/>
        </w:rPr>
        <w:t>In Re McC</w:t>
      </w:r>
      <w:r w:rsidR="002F488D" w:rsidRPr="00831573">
        <w:rPr>
          <w:lang w:val="en-GB"/>
        </w:rPr>
        <w:t>,</w:t>
      </w:r>
      <w:r w:rsidR="002F488D" w:rsidRPr="00831573">
        <w:rPr>
          <w:i/>
          <w:lang w:val="en-GB"/>
        </w:rPr>
        <w:t xml:space="preserve"> </w:t>
      </w:r>
      <w:r w:rsidR="002F488D" w:rsidRPr="00831573">
        <w:rPr>
          <w:lang w:val="en-GB"/>
        </w:rPr>
        <w:t>and the Court</w:t>
      </w:r>
      <w:r w:rsidR="00831573" w:rsidRPr="00831573">
        <w:rPr>
          <w:lang w:val="en-GB"/>
        </w:rPr>
        <w:t>’</w:t>
      </w:r>
      <w:r w:rsidR="002F488D" w:rsidRPr="00831573">
        <w:rPr>
          <w:lang w:val="en-GB"/>
        </w:rPr>
        <w:t>s application of that test in the community</w:t>
      </w:r>
      <w:r w:rsidR="00B571F9" w:rsidRPr="00831573">
        <w:rPr>
          <w:lang w:val="en-GB"/>
        </w:rPr>
        <w:t>-</w:t>
      </w:r>
      <w:r w:rsidR="002F488D" w:rsidRPr="00831573">
        <w:rPr>
          <w:lang w:val="en-GB"/>
        </w:rPr>
        <w:t>charge and fines cases</w:t>
      </w:r>
      <w:r w:rsidR="00B571F9" w:rsidRPr="00831573">
        <w:rPr>
          <w:lang w:val="en-GB"/>
        </w:rPr>
        <w:t>,</w:t>
      </w:r>
      <w:r w:rsidR="002F488D" w:rsidRPr="00831573">
        <w:rPr>
          <w:lang w:val="en-GB"/>
        </w:rPr>
        <w:t xml:space="preserve"> related to Magistrates</w:t>
      </w:r>
      <w:r w:rsidR="00831573" w:rsidRPr="00831573">
        <w:rPr>
          <w:lang w:val="en-GB"/>
        </w:rPr>
        <w:t>’</w:t>
      </w:r>
      <w:r w:rsidR="002F488D" w:rsidRPr="00831573">
        <w:rPr>
          <w:lang w:val="en-GB"/>
        </w:rPr>
        <w:t xml:space="preserve"> Courts and not, as in the </w:t>
      </w:r>
      <w:r w:rsidRPr="00831573">
        <w:rPr>
          <w:lang w:val="en-GB"/>
        </w:rPr>
        <w:t>applicant</w:t>
      </w:r>
      <w:r w:rsidR="00831573" w:rsidRPr="00831573">
        <w:rPr>
          <w:lang w:val="en-GB"/>
        </w:rPr>
        <w:t>’</w:t>
      </w:r>
      <w:r w:rsidR="002F488D" w:rsidRPr="00831573">
        <w:rPr>
          <w:lang w:val="en-GB"/>
        </w:rPr>
        <w:t xml:space="preserve">s case, the County Court. However, it is clear from their application by the Court, including in </w:t>
      </w:r>
      <w:r w:rsidR="002F488D" w:rsidRPr="00831573">
        <w:rPr>
          <w:i/>
          <w:lang w:val="en-GB"/>
        </w:rPr>
        <w:t>Mooren</w:t>
      </w:r>
      <w:r w:rsidR="002F488D" w:rsidRPr="00831573">
        <w:rPr>
          <w:lang w:val="en-GB"/>
        </w:rPr>
        <w:t xml:space="preserve">, cited above, that the principles set out in </w:t>
      </w:r>
      <w:r w:rsidR="002F488D" w:rsidRPr="00831573">
        <w:rPr>
          <w:i/>
          <w:lang w:val="en-GB"/>
        </w:rPr>
        <w:t>Benham</w:t>
      </w:r>
      <w:r w:rsidR="00241FC7" w:rsidRPr="00831573">
        <w:rPr>
          <w:lang w:val="en-GB"/>
        </w:rPr>
        <w:t>, cited above,</w:t>
      </w:r>
      <w:r w:rsidR="002F488D" w:rsidRPr="00831573">
        <w:rPr>
          <w:lang w:val="en-GB"/>
        </w:rPr>
        <w:t xml:space="preserve"> are now of general </w:t>
      </w:r>
      <w:r w:rsidR="00B4106A" w:rsidRPr="00831573">
        <w:rPr>
          <w:lang w:val="en-GB"/>
        </w:rPr>
        <w:t xml:space="preserve">relevance to the question of </w:t>
      </w:r>
      <w:r w:rsidR="00B60059" w:rsidRPr="00831573">
        <w:rPr>
          <w:lang w:val="en-GB"/>
        </w:rPr>
        <w:t xml:space="preserve">“lawfulness” </w:t>
      </w:r>
      <w:r w:rsidR="002F488D" w:rsidRPr="00831573">
        <w:rPr>
          <w:lang w:val="en-GB"/>
        </w:rPr>
        <w:t>and not confined to the specific context of immunity of justices of the peace. Furthermore, neither the applicant nor the Government have disputed the applicability of those principles in the current case</w:t>
      </w:r>
      <w:r w:rsidR="00241FC7" w:rsidRPr="00831573">
        <w:rPr>
          <w:lang w:val="en-GB"/>
        </w:rPr>
        <w:t xml:space="preserve"> and</w:t>
      </w:r>
      <w:r w:rsidR="00831E43" w:rsidRPr="00831573">
        <w:rPr>
          <w:lang w:val="en-GB"/>
        </w:rPr>
        <w:t xml:space="preserve"> Blake</w:t>
      </w:r>
      <w:r w:rsidR="00071297" w:rsidRPr="00831573">
        <w:rPr>
          <w:lang w:val="en-GB"/>
        </w:rPr>
        <w:t xml:space="preserve"> J</w:t>
      </w:r>
      <w:r w:rsidR="00831E43" w:rsidRPr="00831573">
        <w:rPr>
          <w:lang w:val="en-GB"/>
        </w:rPr>
        <w:t>, when considering the applicant</w:t>
      </w:r>
      <w:r w:rsidR="00831573" w:rsidRPr="00831573">
        <w:rPr>
          <w:lang w:val="en-GB"/>
        </w:rPr>
        <w:t>’</w:t>
      </w:r>
      <w:r w:rsidR="00831E43" w:rsidRPr="00831573">
        <w:rPr>
          <w:lang w:val="en-GB"/>
        </w:rPr>
        <w:t>s claim for compensation</w:t>
      </w:r>
      <w:r w:rsidR="00B60059" w:rsidRPr="00831573">
        <w:rPr>
          <w:lang w:val="en-GB"/>
        </w:rPr>
        <w:t xml:space="preserve"> in the High Court</w:t>
      </w:r>
      <w:r w:rsidR="00831E43" w:rsidRPr="00831573">
        <w:rPr>
          <w:lang w:val="en-GB"/>
        </w:rPr>
        <w:t xml:space="preserve">, accepted that the relevant test was that set out in </w:t>
      </w:r>
      <w:r w:rsidR="00831E43" w:rsidRPr="00831573">
        <w:rPr>
          <w:i/>
          <w:lang w:val="en-GB"/>
        </w:rPr>
        <w:t>Benham</w:t>
      </w:r>
      <w:r w:rsidR="00B571F9" w:rsidRPr="00831573">
        <w:rPr>
          <w:i/>
          <w:lang w:val="en-GB"/>
        </w:rPr>
        <w:t xml:space="preserve"> </w:t>
      </w:r>
      <w:r w:rsidR="00B571F9" w:rsidRPr="00831573">
        <w:rPr>
          <w:lang w:val="en-GB"/>
        </w:rPr>
        <w:t xml:space="preserve">(see paragraphs </w:t>
      </w:r>
      <w:r w:rsidR="000F6C50" w:rsidRPr="00831573">
        <w:rPr>
          <w:lang w:val="en-GB"/>
        </w:rPr>
        <w:fldChar w:fldCharType="begin"/>
      </w:r>
      <w:r w:rsidR="000F6C50" w:rsidRPr="00831573">
        <w:rPr>
          <w:lang w:val="en-GB"/>
        </w:rPr>
        <w:instrText xml:space="preserve"> REF HCGaOPICaseLaw \h </w:instrText>
      </w:r>
      <w:r w:rsidR="000F6C50" w:rsidRPr="00831573">
        <w:rPr>
          <w:lang w:val="en-GB"/>
        </w:rPr>
      </w:r>
      <w:r w:rsidR="000F6C50" w:rsidRPr="00831573">
        <w:rPr>
          <w:lang w:val="en-GB"/>
        </w:rPr>
        <w:fldChar w:fldCharType="separate"/>
      </w:r>
      <w:r w:rsidR="00831573" w:rsidRPr="00831573">
        <w:rPr>
          <w:noProof/>
          <w:lang w:val="en-GB"/>
        </w:rPr>
        <w:t>31</w:t>
      </w:r>
      <w:r w:rsidR="000F6C50" w:rsidRPr="00831573">
        <w:rPr>
          <w:lang w:val="en-GB"/>
        </w:rPr>
        <w:fldChar w:fldCharType="end"/>
      </w:r>
      <w:r w:rsidR="00B571F9" w:rsidRPr="00831573">
        <w:rPr>
          <w:lang w:val="en-GB"/>
        </w:rPr>
        <w:t xml:space="preserve"> and </w:t>
      </w:r>
      <w:r w:rsidR="000F6C50" w:rsidRPr="00831573">
        <w:rPr>
          <w:lang w:val="en-GB"/>
        </w:rPr>
        <w:fldChar w:fldCharType="begin"/>
      </w:r>
      <w:r w:rsidR="000F6C50" w:rsidRPr="00831573">
        <w:rPr>
          <w:lang w:val="en-GB"/>
        </w:rPr>
        <w:instrText xml:space="preserve"> REF HCGaOPIStart \h </w:instrText>
      </w:r>
      <w:r w:rsidR="000F6C50" w:rsidRPr="00831573">
        <w:rPr>
          <w:lang w:val="en-GB"/>
        </w:rPr>
      </w:r>
      <w:r w:rsidR="000F6C50" w:rsidRPr="00831573">
        <w:rPr>
          <w:lang w:val="en-GB"/>
        </w:rPr>
        <w:fldChar w:fldCharType="separate"/>
      </w:r>
      <w:r w:rsidR="00831573" w:rsidRPr="00831573">
        <w:rPr>
          <w:noProof/>
          <w:lang w:val="en-GB"/>
        </w:rPr>
        <w:t>32</w:t>
      </w:r>
      <w:r w:rsidR="000F6C50" w:rsidRPr="00831573">
        <w:rPr>
          <w:lang w:val="en-GB"/>
        </w:rPr>
        <w:fldChar w:fldCharType="end"/>
      </w:r>
      <w:r w:rsidR="00B571F9" w:rsidRPr="00831573">
        <w:rPr>
          <w:lang w:val="en-GB"/>
        </w:rPr>
        <w:t xml:space="preserve"> above)</w:t>
      </w:r>
      <w:r w:rsidR="009357B2" w:rsidRPr="00831573">
        <w:rPr>
          <w:lang w:val="en-GB"/>
        </w:rPr>
        <w:t>.</w:t>
      </w:r>
    </w:p>
    <w:p w:rsidR="00831E43" w:rsidRPr="00831573" w:rsidRDefault="00160667"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105</w:t>
      </w:r>
      <w:r w:rsidRPr="00831573">
        <w:rPr>
          <w:lang w:val="en-GB"/>
        </w:rPr>
        <w:fldChar w:fldCharType="end"/>
      </w:r>
      <w:r w:rsidR="008A4D7F" w:rsidRPr="00831573">
        <w:rPr>
          <w:lang w:val="en-GB"/>
        </w:rPr>
        <w:t>.  </w:t>
      </w:r>
      <w:r w:rsidR="007426EE" w:rsidRPr="00831573">
        <w:rPr>
          <w:lang w:val="en-GB"/>
        </w:rPr>
        <w:t>Secondly</w:t>
      </w:r>
      <w:r w:rsidR="00667CCE" w:rsidRPr="00831573">
        <w:rPr>
          <w:lang w:val="en-GB"/>
        </w:rPr>
        <w:t>,</w:t>
      </w:r>
      <w:r w:rsidRPr="00831573">
        <w:rPr>
          <w:lang w:val="en-GB"/>
        </w:rPr>
        <w:t xml:space="preserve"> </w:t>
      </w:r>
      <w:r w:rsidR="00667CCE" w:rsidRPr="00831573">
        <w:rPr>
          <w:lang w:val="en-GB"/>
        </w:rPr>
        <w:t xml:space="preserve">insofar as </w:t>
      </w:r>
      <w:r w:rsidRPr="00831573">
        <w:rPr>
          <w:lang w:val="en-GB"/>
        </w:rPr>
        <w:t>the Government argu</w:t>
      </w:r>
      <w:r w:rsidR="00667CCE" w:rsidRPr="00831573">
        <w:rPr>
          <w:lang w:val="en-GB"/>
        </w:rPr>
        <w:t>ed</w:t>
      </w:r>
      <w:r w:rsidRPr="00831573">
        <w:rPr>
          <w:lang w:val="en-GB"/>
        </w:rPr>
        <w:t xml:space="preserve"> that a margin of appreciation should apply during the assessment of compliance with domestic law, the Court has consistently acknowledged that it is for the national courts to interpret and apply domestic law in the first place and that it is the Court</w:t>
      </w:r>
      <w:r w:rsidR="00831573" w:rsidRPr="00831573">
        <w:rPr>
          <w:lang w:val="en-GB"/>
        </w:rPr>
        <w:t>’</w:t>
      </w:r>
      <w:r w:rsidRPr="00831573">
        <w:rPr>
          <w:lang w:val="en-GB"/>
        </w:rPr>
        <w:t xml:space="preserve">s task to </w:t>
      </w:r>
      <w:r w:rsidR="00975861" w:rsidRPr="00831573">
        <w:rPr>
          <w:lang w:val="en-GB"/>
        </w:rPr>
        <w:t>exercise a certain power of review</w:t>
      </w:r>
      <w:r w:rsidR="009357B2" w:rsidRPr="00831573">
        <w:rPr>
          <w:lang w:val="en-GB"/>
        </w:rPr>
        <w:t>.</w:t>
      </w:r>
    </w:p>
    <w:p w:rsidR="007426EE" w:rsidRPr="00831573" w:rsidRDefault="00874BD6" w:rsidP="00831573">
      <w:pPr>
        <w:pStyle w:val="ECHRHeading5"/>
        <w:rPr>
          <w:lang w:val="en-GB"/>
        </w:rPr>
      </w:pPr>
      <w:r w:rsidRPr="00831573">
        <w:rPr>
          <w:lang w:val="en-GB"/>
        </w:rPr>
        <w:t>(ii)  </w:t>
      </w:r>
      <w:r w:rsidR="00AC4D64" w:rsidRPr="00831573">
        <w:rPr>
          <w:lang w:val="en-GB"/>
        </w:rPr>
        <w:t>Application to the instant case</w:t>
      </w:r>
    </w:p>
    <w:p w:rsidR="00D66CC8" w:rsidRPr="00831573" w:rsidRDefault="00831E43"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106</w:t>
      </w:r>
      <w:r w:rsidRPr="00831573">
        <w:rPr>
          <w:lang w:val="en-GB"/>
        </w:rPr>
        <w:fldChar w:fldCharType="end"/>
      </w:r>
      <w:r w:rsidRPr="00831573">
        <w:rPr>
          <w:lang w:val="en-GB"/>
        </w:rPr>
        <w:t>. </w:t>
      </w:r>
      <w:r w:rsidR="008A4D7F" w:rsidRPr="00831573">
        <w:rPr>
          <w:lang w:val="en-GB"/>
        </w:rPr>
        <w:t> </w:t>
      </w:r>
      <w:r w:rsidR="00F94A98" w:rsidRPr="00831573">
        <w:rPr>
          <w:lang w:val="en-GB"/>
        </w:rPr>
        <w:t>T</w:t>
      </w:r>
      <w:r w:rsidRPr="00831573">
        <w:rPr>
          <w:lang w:val="en-GB"/>
        </w:rPr>
        <w:t xml:space="preserve">he Court will </w:t>
      </w:r>
      <w:r w:rsidR="000654F3" w:rsidRPr="00831573">
        <w:rPr>
          <w:lang w:val="en-GB"/>
        </w:rPr>
        <w:t xml:space="preserve">first </w:t>
      </w:r>
      <w:r w:rsidR="00F94A98" w:rsidRPr="00831573">
        <w:rPr>
          <w:lang w:val="en-GB"/>
        </w:rPr>
        <w:t>consider whether the applicant</w:t>
      </w:r>
      <w:r w:rsidR="00831573" w:rsidRPr="00831573">
        <w:rPr>
          <w:lang w:val="en-GB"/>
        </w:rPr>
        <w:t>’</w:t>
      </w:r>
      <w:r w:rsidR="00F94A98" w:rsidRPr="00831573">
        <w:rPr>
          <w:lang w:val="en-GB"/>
        </w:rPr>
        <w:t xml:space="preserve">s detention was justified under Article 5 </w:t>
      </w:r>
      <w:r w:rsidR="00F94A98" w:rsidRPr="00831573">
        <w:rPr>
          <w:rFonts w:cstheme="minorHAnsi"/>
          <w:lang w:val="en-GB"/>
        </w:rPr>
        <w:t>§</w:t>
      </w:r>
      <w:r w:rsidR="00F94A98" w:rsidRPr="00831573">
        <w:rPr>
          <w:lang w:val="en-GB"/>
        </w:rPr>
        <w:t xml:space="preserve"> 1 (a)</w:t>
      </w:r>
      <w:r w:rsidR="007C04BD" w:rsidRPr="00831573">
        <w:rPr>
          <w:lang w:val="en-GB"/>
        </w:rPr>
        <w:t>.</w:t>
      </w:r>
    </w:p>
    <w:p w:rsidR="002F2F46" w:rsidRPr="00831573" w:rsidRDefault="00D66CC8" w:rsidP="00831573">
      <w:pPr>
        <w:pStyle w:val="ECHRHeading6"/>
        <w:rPr>
          <w:lang w:val="en-GB"/>
        </w:rPr>
      </w:pPr>
      <w:r w:rsidRPr="00831573">
        <w:rPr>
          <w:lang w:val="en-GB"/>
        </w:rPr>
        <w:t>(</w:t>
      </w:r>
      <w:r w:rsidR="00AC4D64" w:rsidRPr="00831573">
        <w:rPr>
          <w:rFonts w:cstheme="majorHAnsi"/>
          <w:lang w:val="en-GB"/>
        </w:rPr>
        <w:t>α</w:t>
      </w:r>
      <w:r w:rsidR="00874BD6" w:rsidRPr="00831573">
        <w:rPr>
          <w:lang w:val="en-GB"/>
        </w:rPr>
        <w:t>)  </w:t>
      </w:r>
      <w:r w:rsidR="002F2F46" w:rsidRPr="00831573">
        <w:rPr>
          <w:lang w:val="en-GB"/>
        </w:rPr>
        <w:t>Compliance with national law</w:t>
      </w:r>
    </w:p>
    <w:p w:rsidR="00831E43" w:rsidRPr="00831573" w:rsidRDefault="00916EF3" w:rsidP="00831573">
      <w:pPr>
        <w:pStyle w:val="ECHRPara"/>
        <w:rPr>
          <w: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107</w:t>
      </w:r>
      <w:r w:rsidRPr="00831573">
        <w:rPr>
          <w:lang w:val="en-GB"/>
        </w:rPr>
        <w:fldChar w:fldCharType="end"/>
      </w:r>
      <w:r w:rsidRPr="00831573">
        <w:rPr>
          <w:lang w:val="en-GB"/>
        </w:rPr>
        <w:t>. </w:t>
      </w:r>
      <w:r w:rsidR="00A82A99" w:rsidRPr="00831573">
        <w:rPr>
          <w:lang w:val="en-GB"/>
        </w:rPr>
        <w:t> </w:t>
      </w:r>
      <w:r w:rsidRPr="00831573">
        <w:rPr>
          <w:lang w:val="en-GB"/>
        </w:rPr>
        <w:t xml:space="preserve">As it did in </w:t>
      </w:r>
      <w:r w:rsidR="00777869" w:rsidRPr="00831573">
        <w:rPr>
          <w:i/>
          <w:lang w:val="en-GB"/>
        </w:rPr>
        <w:t>Yefimenko v. Russia</w:t>
      </w:r>
      <w:r w:rsidR="00777869" w:rsidRPr="00831573">
        <w:rPr>
          <w:lang w:val="en-GB"/>
        </w:rPr>
        <w:t>, no. 152/04</w:t>
      </w:r>
      <w:r w:rsidR="00777869" w:rsidRPr="00831573">
        <w:rPr>
          <w:snapToGrid w:val="0"/>
          <w:lang w:val="en-GB"/>
        </w:rPr>
        <w:t>, § 104, 12 February 2013</w:t>
      </w:r>
      <w:r w:rsidRPr="00831573">
        <w:rPr>
          <w:lang w:val="en-GB"/>
        </w:rPr>
        <w:t xml:space="preserve">, the Court will apply the principles set out in </w:t>
      </w:r>
      <w:r w:rsidRPr="00831573">
        <w:rPr>
          <w:i/>
          <w:lang w:val="en-GB"/>
        </w:rPr>
        <w:t>Mooren</w:t>
      </w:r>
      <w:r w:rsidRPr="00831573">
        <w:rPr>
          <w:lang w:val="en-GB"/>
        </w:rPr>
        <w:t xml:space="preserve"> by the Grand Chamber</w:t>
      </w:r>
      <w:r w:rsidR="007426EE" w:rsidRPr="00831573">
        <w:rPr>
          <w:lang w:val="en-GB"/>
        </w:rPr>
        <w:t>, which have been</w:t>
      </w:r>
      <w:r w:rsidRPr="00831573">
        <w:rPr>
          <w:lang w:val="en-GB"/>
        </w:rPr>
        <w:t xml:space="preserve"> considered </w:t>
      </w:r>
      <w:r w:rsidR="007426EE" w:rsidRPr="00831573">
        <w:rPr>
          <w:lang w:val="en-GB"/>
        </w:rPr>
        <w:t>in</w:t>
      </w:r>
      <w:r w:rsidRPr="00831573">
        <w:rPr>
          <w:lang w:val="en-GB"/>
        </w:rPr>
        <w:t xml:space="preserve"> paragraphs</w:t>
      </w:r>
      <w:r w:rsidR="00C655B0" w:rsidRPr="00831573">
        <w:rPr>
          <w:lang w:val="en-GB"/>
        </w:rPr>
        <w:t xml:space="preserve"> </w:t>
      </w:r>
      <w:r w:rsidR="00C655B0" w:rsidRPr="00831573">
        <w:rPr>
          <w:lang w:val="en-GB"/>
        </w:rPr>
        <w:fldChar w:fldCharType="begin"/>
      </w:r>
      <w:r w:rsidR="00C655B0" w:rsidRPr="00831573">
        <w:rPr>
          <w:lang w:val="en-GB"/>
        </w:rPr>
        <w:instrText xml:space="preserve"> REF MoorenExFacieStart \h </w:instrText>
      </w:r>
      <w:r w:rsidR="00C655B0" w:rsidRPr="00831573">
        <w:rPr>
          <w:lang w:val="en-GB"/>
        </w:rPr>
      </w:r>
      <w:r w:rsidR="00C655B0" w:rsidRPr="00831573">
        <w:rPr>
          <w:lang w:val="en-GB"/>
        </w:rPr>
        <w:fldChar w:fldCharType="separate"/>
      </w:r>
      <w:r w:rsidR="00831573" w:rsidRPr="00831573">
        <w:rPr>
          <w:noProof/>
          <w:lang w:val="en-GB"/>
        </w:rPr>
        <w:t>95</w:t>
      </w:r>
      <w:r w:rsidR="00C655B0" w:rsidRPr="00831573">
        <w:rPr>
          <w:lang w:val="en-GB"/>
        </w:rPr>
        <w:fldChar w:fldCharType="end"/>
      </w:r>
      <w:r w:rsidR="00C655B0" w:rsidRPr="00831573">
        <w:rPr>
          <w:lang w:val="en-GB"/>
        </w:rPr>
        <w:t>-</w:t>
      </w:r>
      <w:r w:rsidR="00C655B0" w:rsidRPr="00831573">
        <w:rPr>
          <w:lang w:val="en-GB"/>
        </w:rPr>
        <w:fldChar w:fldCharType="begin"/>
      </w:r>
      <w:r w:rsidR="00C655B0" w:rsidRPr="00831573">
        <w:rPr>
          <w:lang w:val="en-GB"/>
        </w:rPr>
        <w:instrText xml:space="preserve"> REF MoorenExFacieEnd \h </w:instrText>
      </w:r>
      <w:r w:rsidR="00C655B0" w:rsidRPr="00831573">
        <w:rPr>
          <w:lang w:val="en-GB"/>
        </w:rPr>
      </w:r>
      <w:r w:rsidR="00C655B0" w:rsidRPr="00831573">
        <w:rPr>
          <w:lang w:val="en-GB"/>
        </w:rPr>
        <w:fldChar w:fldCharType="separate"/>
      </w:r>
      <w:r w:rsidR="00831573" w:rsidRPr="00831573">
        <w:rPr>
          <w:noProof/>
          <w:lang w:val="en-GB"/>
        </w:rPr>
        <w:t>96</w:t>
      </w:r>
      <w:r w:rsidR="00C655B0" w:rsidRPr="00831573">
        <w:rPr>
          <w:lang w:val="en-GB"/>
        </w:rPr>
        <w:fldChar w:fldCharType="end"/>
      </w:r>
      <w:r w:rsidR="00C655B0" w:rsidRPr="00831573">
        <w:rPr>
          <w:lang w:val="en-GB"/>
        </w:rPr>
        <w:t xml:space="preserve"> and </w:t>
      </w:r>
      <w:r w:rsidR="00975861" w:rsidRPr="00831573">
        <w:rPr>
          <w:lang w:val="en-GB"/>
        </w:rPr>
        <w:fldChar w:fldCharType="begin"/>
      </w:r>
      <w:r w:rsidR="00975861" w:rsidRPr="00831573">
        <w:rPr>
          <w:lang w:val="en-GB"/>
        </w:rPr>
        <w:instrText xml:space="preserve"> REF A5CompliancePrelimStart \h </w:instrText>
      </w:r>
      <w:r w:rsidR="00975861" w:rsidRPr="00831573">
        <w:rPr>
          <w:lang w:val="en-GB"/>
        </w:rPr>
      </w:r>
      <w:r w:rsidR="00975861" w:rsidRPr="00831573">
        <w:rPr>
          <w:lang w:val="en-GB"/>
        </w:rPr>
        <w:fldChar w:fldCharType="separate"/>
      </w:r>
      <w:r w:rsidR="00831573" w:rsidRPr="00831573">
        <w:rPr>
          <w:noProof/>
          <w:lang w:val="en-GB"/>
        </w:rPr>
        <w:t>100</w:t>
      </w:r>
      <w:r w:rsidR="00975861" w:rsidRPr="00831573">
        <w:rPr>
          <w:lang w:val="en-GB"/>
        </w:rPr>
        <w:fldChar w:fldCharType="end"/>
      </w:r>
      <w:r w:rsidRPr="00831573">
        <w:rPr>
          <w:lang w:val="en-GB"/>
        </w:rPr>
        <w:t>-</w:t>
      </w:r>
      <w:r w:rsidR="00C655B0" w:rsidRPr="00831573">
        <w:rPr>
          <w:lang w:val="en-GB"/>
        </w:rPr>
        <w:fldChar w:fldCharType="begin"/>
      </w:r>
      <w:r w:rsidR="00C655B0" w:rsidRPr="00831573">
        <w:rPr>
          <w:lang w:val="en-GB"/>
        </w:rPr>
        <w:instrText xml:space="preserve"> REF A5CompliancePrelimEnd \h </w:instrText>
      </w:r>
      <w:r w:rsidR="00C655B0" w:rsidRPr="00831573">
        <w:rPr>
          <w:lang w:val="en-GB"/>
        </w:rPr>
      </w:r>
      <w:r w:rsidR="00C655B0" w:rsidRPr="00831573">
        <w:rPr>
          <w:lang w:val="en-GB"/>
        </w:rPr>
        <w:fldChar w:fldCharType="separate"/>
      </w:r>
      <w:r w:rsidR="00831573" w:rsidRPr="00831573">
        <w:rPr>
          <w:noProof/>
          <w:lang w:val="en-GB"/>
        </w:rPr>
        <w:t>104</w:t>
      </w:r>
      <w:r w:rsidR="00C655B0" w:rsidRPr="00831573">
        <w:rPr>
          <w:lang w:val="en-GB"/>
        </w:rPr>
        <w:fldChar w:fldCharType="end"/>
      </w:r>
      <w:r w:rsidR="007426EE" w:rsidRPr="00831573">
        <w:rPr>
          <w:lang w:val="en-GB"/>
        </w:rPr>
        <w:t xml:space="preserve"> above</w:t>
      </w:r>
      <w:r w:rsidRPr="00831573">
        <w:rPr>
          <w:lang w:val="en-GB"/>
        </w:rPr>
        <w:t xml:space="preserve">. </w:t>
      </w:r>
      <w:r w:rsidR="00777869" w:rsidRPr="00831573">
        <w:rPr>
          <w:lang w:val="en-GB"/>
        </w:rPr>
        <w:t>I</w:t>
      </w:r>
      <w:r w:rsidR="000654F3" w:rsidRPr="00831573">
        <w:rPr>
          <w:lang w:val="en-GB"/>
        </w:rPr>
        <w:t>t is for the national authorities, particularly the domestic courts, to apply and interpret domestic law in the first place and for the Court to exercise a certain power of review</w:t>
      </w:r>
      <w:r w:rsidR="00D24AE1" w:rsidRPr="00831573">
        <w:rPr>
          <w:lang w:val="en-GB"/>
        </w:rPr>
        <w:t xml:space="preserve"> </w:t>
      </w:r>
      <w:r w:rsidR="00B60059" w:rsidRPr="00831573">
        <w:rPr>
          <w:lang w:val="en-GB"/>
        </w:rPr>
        <w:t>(</w:t>
      </w:r>
      <w:r w:rsidR="00D24AE1" w:rsidRPr="00831573">
        <w:rPr>
          <w:lang w:val="en-GB"/>
        </w:rPr>
        <w:t xml:space="preserve">see </w:t>
      </w:r>
      <w:r w:rsidR="00D24AE1" w:rsidRPr="00831573">
        <w:rPr>
          <w:i/>
          <w:lang w:val="en-GB"/>
        </w:rPr>
        <w:t>Benham</w:t>
      </w:r>
      <w:r w:rsidR="00D24AE1" w:rsidRPr="00831573">
        <w:rPr>
          <w:lang w:val="en-GB"/>
        </w:rPr>
        <w:t xml:space="preserve">, cited above, </w:t>
      </w:r>
      <w:r w:rsidR="00D24AE1" w:rsidRPr="00831573">
        <w:rPr>
          <w:rFonts w:cstheme="minorHAnsi"/>
          <w:lang w:val="en-GB"/>
        </w:rPr>
        <w:t>§</w:t>
      </w:r>
      <w:r w:rsidR="00D24AE1" w:rsidRPr="00831573">
        <w:rPr>
          <w:lang w:val="en-GB"/>
        </w:rPr>
        <w:t xml:space="preserve"> 41 and </w:t>
      </w:r>
      <w:r w:rsidR="00D24AE1" w:rsidRPr="00831573">
        <w:rPr>
          <w:i/>
          <w:lang w:val="en-GB"/>
        </w:rPr>
        <w:t>Mooren</w:t>
      </w:r>
      <w:r w:rsidR="00D24AE1" w:rsidRPr="00831573">
        <w:rPr>
          <w:lang w:val="en-GB"/>
        </w:rPr>
        <w:t xml:space="preserve">, cited above, </w:t>
      </w:r>
      <w:r w:rsidR="00D24AE1" w:rsidRPr="00831573">
        <w:rPr>
          <w:rFonts w:cstheme="minorHAnsi"/>
          <w:lang w:val="en-GB"/>
        </w:rPr>
        <w:t>§</w:t>
      </w:r>
      <w:r w:rsidR="00D24AE1" w:rsidRPr="00831573">
        <w:rPr>
          <w:lang w:val="en-GB"/>
        </w:rPr>
        <w:t xml:space="preserve"> 73</w:t>
      </w:r>
      <w:r w:rsidR="00B60059" w:rsidRPr="00831573">
        <w:rPr>
          <w:lang w:val="en-GB"/>
        </w:rPr>
        <w:t>)</w:t>
      </w:r>
      <w:r w:rsidR="000654F3" w:rsidRPr="00831573">
        <w:rPr>
          <w:lang w:val="en-GB"/>
        </w:rPr>
        <w:t>.</w:t>
      </w:r>
    </w:p>
    <w:p w:rsidR="00B86D25" w:rsidRPr="00831573" w:rsidRDefault="00D66CC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108</w:t>
      </w:r>
      <w:r w:rsidRPr="00831573">
        <w:rPr>
          <w:lang w:val="en-GB"/>
        </w:rPr>
        <w:fldChar w:fldCharType="end"/>
      </w:r>
      <w:r w:rsidRPr="00831573">
        <w:rPr>
          <w:lang w:val="en-GB"/>
        </w:rPr>
        <w:t>. </w:t>
      </w:r>
      <w:r w:rsidR="00A82A99" w:rsidRPr="00831573">
        <w:rPr>
          <w:lang w:val="en-GB"/>
        </w:rPr>
        <w:t> </w:t>
      </w:r>
      <w:r w:rsidRPr="00831573">
        <w:rPr>
          <w:lang w:val="en-GB"/>
        </w:rPr>
        <w:t xml:space="preserve">The applicant has not argued that the County Court </w:t>
      </w:r>
      <w:r w:rsidR="00AC4D64" w:rsidRPr="00831573">
        <w:rPr>
          <w:lang w:val="en-GB"/>
        </w:rPr>
        <w:t>did not have</w:t>
      </w:r>
      <w:r w:rsidRPr="00831573">
        <w:rPr>
          <w:lang w:val="en-GB"/>
        </w:rPr>
        <w:t xml:space="preserve"> jurisdiction </w:t>
      </w:r>
      <w:r w:rsidR="007C04BD" w:rsidRPr="00831573">
        <w:rPr>
          <w:lang w:val="en-GB"/>
        </w:rPr>
        <w:t xml:space="preserve">of </w:t>
      </w:r>
      <w:r w:rsidRPr="00831573">
        <w:rPr>
          <w:lang w:val="en-GB"/>
        </w:rPr>
        <w:t xml:space="preserve">the cause. Neither the Court of Appeal nor the High Court made </w:t>
      </w:r>
      <w:r w:rsidR="00AC4D64" w:rsidRPr="00831573">
        <w:rPr>
          <w:lang w:val="en-GB"/>
        </w:rPr>
        <w:t xml:space="preserve">such </w:t>
      </w:r>
      <w:r w:rsidRPr="00831573">
        <w:rPr>
          <w:lang w:val="en-GB"/>
        </w:rPr>
        <w:t>a finding. The Court therefore accepts that</w:t>
      </w:r>
      <w:r w:rsidR="00D24AE1" w:rsidRPr="00831573">
        <w:rPr>
          <w:lang w:val="en-GB"/>
        </w:rPr>
        <w:t xml:space="preserve"> </w:t>
      </w:r>
      <w:r w:rsidRPr="00831573">
        <w:rPr>
          <w:lang w:val="en-GB"/>
        </w:rPr>
        <w:t xml:space="preserve">the County Court enjoyed jurisdiction </w:t>
      </w:r>
      <w:r w:rsidR="00BD1DF8" w:rsidRPr="00831573">
        <w:rPr>
          <w:lang w:val="en-GB"/>
        </w:rPr>
        <w:t>of</w:t>
      </w:r>
      <w:r w:rsidRPr="00831573">
        <w:rPr>
          <w:lang w:val="en-GB"/>
        </w:rPr>
        <w:t xml:space="preserve"> the cause when </w:t>
      </w:r>
      <w:r w:rsidR="000654F3" w:rsidRPr="00831573">
        <w:rPr>
          <w:lang w:val="en-GB"/>
        </w:rPr>
        <w:t xml:space="preserve">it committed </w:t>
      </w:r>
      <w:r w:rsidRPr="00831573">
        <w:rPr>
          <w:lang w:val="en-GB"/>
        </w:rPr>
        <w:t>the applicant for contempt.</w:t>
      </w:r>
    </w:p>
    <w:p w:rsidR="000F4FBD" w:rsidRPr="00831573" w:rsidRDefault="007522CF"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109</w:t>
      </w:r>
      <w:r w:rsidRPr="00831573">
        <w:rPr>
          <w:lang w:val="en-GB"/>
        </w:rPr>
        <w:fldChar w:fldCharType="end"/>
      </w:r>
      <w:r w:rsidRPr="00831573">
        <w:rPr>
          <w:lang w:val="en-GB"/>
        </w:rPr>
        <w:t>.</w:t>
      </w:r>
      <w:r w:rsidR="00A82A99" w:rsidRPr="00831573">
        <w:rPr>
          <w:lang w:val="en-GB"/>
        </w:rPr>
        <w:t>  </w:t>
      </w:r>
      <w:r w:rsidR="00D24AE1" w:rsidRPr="00831573">
        <w:rPr>
          <w:lang w:val="en-GB"/>
        </w:rPr>
        <w:t>There is nothing in the judgment of the Court of Appeal in the present case which indicates that that court considered that</w:t>
      </w:r>
      <w:r w:rsidR="004E5ED4" w:rsidRPr="00831573">
        <w:rPr>
          <w:lang w:val="en-GB"/>
        </w:rPr>
        <w:t xml:space="preserve"> compliance with the requirements of</w:t>
      </w:r>
      <w:r w:rsidR="00D24AE1" w:rsidRPr="00831573">
        <w:rPr>
          <w:lang w:val="en-GB"/>
        </w:rPr>
        <w:t xml:space="preserve"> Article</w:t>
      </w:r>
      <w:r w:rsidR="009357B2" w:rsidRPr="00831573">
        <w:rPr>
          <w:lang w:val="en-GB"/>
        </w:rPr>
        <w:t xml:space="preserve"> </w:t>
      </w:r>
      <w:r w:rsidR="00D24AE1" w:rsidRPr="00831573">
        <w:rPr>
          <w:lang w:val="en-GB"/>
        </w:rPr>
        <w:t xml:space="preserve">6 </w:t>
      </w:r>
      <w:r w:rsidR="004E5ED4" w:rsidRPr="00831573">
        <w:rPr>
          <w:lang w:val="en-GB"/>
        </w:rPr>
        <w:t xml:space="preserve">in the conduct of the County Court proceedings </w:t>
      </w:r>
      <w:r w:rsidR="00D24AE1" w:rsidRPr="00831573">
        <w:rPr>
          <w:lang w:val="en-GB"/>
        </w:rPr>
        <w:t xml:space="preserve">had </w:t>
      </w:r>
      <w:r w:rsidR="00241FC7" w:rsidRPr="00831573">
        <w:rPr>
          <w:lang w:val="en-GB"/>
        </w:rPr>
        <w:t>the</w:t>
      </w:r>
      <w:r w:rsidR="00D24AE1" w:rsidRPr="00831573">
        <w:rPr>
          <w:lang w:val="en-GB"/>
        </w:rPr>
        <w:t xml:space="preserve"> status</w:t>
      </w:r>
      <w:r w:rsidR="00241FC7" w:rsidRPr="00831573">
        <w:rPr>
          <w:lang w:val="en-GB"/>
        </w:rPr>
        <w:t xml:space="preserve"> of a</w:t>
      </w:r>
      <w:r w:rsidR="004E5ED4" w:rsidRPr="00831573">
        <w:rPr>
          <w:lang w:val="en-GB"/>
        </w:rPr>
        <w:t>n essential</w:t>
      </w:r>
      <w:r w:rsidR="00241FC7" w:rsidRPr="00831573">
        <w:rPr>
          <w:lang w:val="en-GB"/>
        </w:rPr>
        <w:t xml:space="preserve"> condition precedent</w:t>
      </w:r>
      <w:r w:rsidR="004E5ED4" w:rsidRPr="00831573">
        <w:rPr>
          <w:lang w:val="en-GB"/>
        </w:rPr>
        <w:t xml:space="preserve"> for the very existence of jurisdiction in the first place</w:t>
      </w:r>
      <w:r w:rsidR="00D24AE1" w:rsidRPr="00831573">
        <w:rPr>
          <w:lang w:val="en-GB"/>
        </w:rPr>
        <w:t>. Nor did t</w:t>
      </w:r>
      <w:r w:rsidR="00AF555F" w:rsidRPr="00831573">
        <w:rPr>
          <w:lang w:val="en-GB"/>
        </w:rPr>
        <w:t xml:space="preserve">he High Court make </w:t>
      </w:r>
      <w:r w:rsidR="00D24AE1" w:rsidRPr="00831573">
        <w:rPr>
          <w:lang w:val="en-GB"/>
        </w:rPr>
        <w:t xml:space="preserve">such </w:t>
      </w:r>
      <w:r w:rsidR="00AF555F" w:rsidRPr="00831573">
        <w:rPr>
          <w:lang w:val="en-GB"/>
        </w:rPr>
        <w:t>a finding.</w:t>
      </w:r>
      <w:r w:rsidR="00131220" w:rsidRPr="00831573">
        <w:rPr>
          <w:lang w:val="en-GB"/>
        </w:rPr>
        <w:t xml:space="preserve"> T</w:t>
      </w:r>
      <w:r w:rsidR="000F4FBD" w:rsidRPr="00831573">
        <w:rPr>
          <w:lang w:val="en-GB"/>
        </w:rPr>
        <w:t xml:space="preserve">he applicant </w:t>
      </w:r>
      <w:r w:rsidR="00611B49" w:rsidRPr="00831573">
        <w:rPr>
          <w:lang w:val="en-GB"/>
        </w:rPr>
        <w:t>has</w:t>
      </w:r>
      <w:r w:rsidR="002E6252" w:rsidRPr="00831573">
        <w:rPr>
          <w:lang w:val="en-GB"/>
        </w:rPr>
        <w:t xml:space="preserve"> not refer</w:t>
      </w:r>
      <w:r w:rsidR="00611B49" w:rsidRPr="00831573">
        <w:rPr>
          <w:lang w:val="en-GB"/>
        </w:rPr>
        <w:t>red</w:t>
      </w:r>
      <w:r w:rsidR="000F4FBD" w:rsidRPr="00831573">
        <w:rPr>
          <w:lang w:val="en-GB"/>
        </w:rPr>
        <w:t xml:space="preserve"> to any domestic case-law</w:t>
      </w:r>
      <w:r w:rsidR="00AE6717" w:rsidRPr="00831573">
        <w:rPr>
          <w:lang w:val="en-GB"/>
        </w:rPr>
        <w:t xml:space="preserve"> which</w:t>
      </w:r>
      <w:r w:rsidR="000F4FBD" w:rsidRPr="00831573">
        <w:rPr>
          <w:lang w:val="en-GB"/>
        </w:rPr>
        <w:t xml:space="preserve"> </w:t>
      </w:r>
      <w:r w:rsidR="00325B43" w:rsidRPr="00831573">
        <w:rPr>
          <w:lang w:val="en-GB"/>
        </w:rPr>
        <w:t>clearly establish</w:t>
      </w:r>
      <w:r w:rsidR="00AE6717" w:rsidRPr="00831573">
        <w:rPr>
          <w:lang w:val="en-GB"/>
        </w:rPr>
        <w:t>es t</w:t>
      </w:r>
      <w:r w:rsidR="00325B43" w:rsidRPr="00831573">
        <w:rPr>
          <w:lang w:val="en-GB"/>
        </w:rPr>
        <w:t xml:space="preserve">hat </w:t>
      </w:r>
      <w:r w:rsidR="004E5ED4" w:rsidRPr="00831573">
        <w:rPr>
          <w:lang w:val="en-GB"/>
        </w:rPr>
        <w:t xml:space="preserve">compliance with </w:t>
      </w:r>
      <w:r w:rsidR="00325B43" w:rsidRPr="00831573">
        <w:rPr>
          <w:lang w:val="en-GB"/>
        </w:rPr>
        <w:t xml:space="preserve">Article 6 </w:t>
      </w:r>
      <w:r w:rsidR="004E5ED4" w:rsidRPr="00831573">
        <w:rPr>
          <w:lang w:val="en-GB"/>
        </w:rPr>
        <w:t xml:space="preserve">in the conduct of civil contempt-of-court proceedings by a family-law court </w:t>
      </w:r>
      <w:r w:rsidR="00325B43" w:rsidRPr="00831573">
        <w:rPr>
          <w:lang w:val="en-GB"/>
        </w:rPr>
        <w:t xml:space="preserve">enjoys </w:t>
      </w:r>
      <w:r w:rsidR="00AE6717" w:rsidRPr="00831573">
        <w:rPr>
          <w:lang w:val="en-GB"/>
        </w:rPr>
        <w:t xml:space="preserve">such a </w:t>
      </w:r>
      <w:r w:rsidR="00325B43" w:rsidRPr="00831573">
        <w:rPr>
          <w:lang w:val="en-GB"/>
        </w:rPr>
        <w:t xml:space="preserve">status </w:t>
      </w:r>
      <w:r w:rsidR="00AE6717" w:rsidRPr="00831573">
        <w:rPr>
          <w:lang w:val="en-GB"/>
        </w:rPr>
        <w:t>and</w:t>
      </w:r>
      <w:r w:rsidR="00131220" w:rsidRPr="00831573">
        <w:rPr>
          <w:lang w:val="en-GB"/>
        </w:rPr>
        <w:t xml:space="preserve"> which the</w:t>
      </w:r>
      <w:r w:rsidR="009357B2" w:rsidRPr="00831573">
        <w:rPr>
          <w:lang w:val="en-GB"/>
        </w:rPr>
        <w:t xml:space="preserve"> High Court failed to consider.</w:t>
      </w:r>
    </w:p>
    <w:p w:rsidR="00B86D25" w:rsidRPr="00831573" w:rsidRDefault="00BF383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110</w:t>
      </w:r>
      <w:r w:rsidRPr="00831573">
        <w:rPr>
          <w:lang w:val="en-GB"/>
        </w:rPr>
        <w:fldChar w:fldCharType="end"/>
      </w:r>
      <w:r w:rsidRPr="00831573">
        <w:rPr>
          <w:lang w:val="en-GB"/>
        </w:rPr>
        <w:t>.  </w:t>
      </w:r>
      <w:r w:rsidR="000654F3" w:rsidRPr="00831573">
        <w:rPr>
          <w:lang w:val="en-GB"/>
        </w:rPr>
        <w:t xml:space="preserve">Therefore, </w:t>
      </w:r>
      <w:r w:rsidRPr="00831573">
        <w:rPr>
          <w:lang w:val="en-GB"/>
        </w:rPr>
        <w:t xml:space="preserve">the Court </w:t>
      </w:r>
      <w:r w:rsidR="00611B49" w:rsidRPr="00831573">
        <w:rPr>
          <w:lang w:val="en-GB"/>
        </w:rPr>
        <w:t xml:space="preserve">accepts </w:t>
      </w:r>
      <w:r w:rsidRPr="00831573">
        <w:rPr>
          <w:lang w:val="en-GB"/>
        </w:rPr>
        <w:t>that the County Court did not fail to observe a condition precedent</w:t>
      </w:r>
      <w:r w:rsidR="004E5ED4" w:rsidRPr="00831573">
        <w:rPr>
          <w:lang w:val="en-GB"/>
        </w:rPr>
        <w:t xml:space="preserve"> for the exercise of its civil-contempt jurisdiction</w:t>
      </w:r>
      <w:r w:rsidRPr="00831573">
        <w:rPr>
          <w:lang w:val="en-GB"/>
        </w:rPr>
        <w:t>.</w:t>
      </w:r>
    </w:p>
    <w:p w:rsidR="004138F6" w:rsidRPr="00831573" w:rsidRDefault="00B86D2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111</w:t>
      </w:r>
      <w:r w:rsidRPr="00831573">
        <w:rPr>
          <w:lang w:val="en-GB"/>
        </w:rPr>
        <w:fldChar w:fldCharType="end"/>
      </w:r>
      <w:r w:rsidR="00A82A99" w:rsidRPr="00831573">
        <w:rPr>
          <w:lang w:val="en-GB"/>
        </w:rPr>
        <w:t>.  </w:t>
      </w:r>
      <w:r w:rsidR="00B400A4" w:rsidRPr="00831573">
        <w:rPr>
          <w:lang w:val="en-GB"/>
        </w:rPr>
        <w:t xml:space="preserve">The Court observes that, in the present case, not only did the Court of Appeal review the </w:t>
      </w:r>
      <w:r w:rsidR="004138F6" w:rsidRPr="00831573">
        <w:rPr>
          <w:lang w:val="en-GB"/>
        </w:rPr>
        <w:t>County Court</w:t>
      </w:r>
      <w:r w:rsidR="00831573" w:rsidRPr="00831573">
        <w:rPr>
          <w:lang w:val="en-GB"/>
        </w:rPr>
        <w:t>’</w:t>
      </w:r>
      <w:r w:rsidR="004138F6" w:rsidRPr="00831573">
        <w:rPr>
          <w:lang w:val="en-GB"/>
        </w:rPr>
        <w:t>s</w:t>
      </w:r>
      <w:r w:rsidR="00B400A4" w:rsidRPr="00831573">
        <w:rPr>
          <w:lang w:val="en-GB"/>
        </w:rPr>
        <w:t xml:space="preserve"> committal </w:t>
      </w:r>
      <w:r w:rsidR="004138F6" w:rsidRPr="00831573">
        <w:rPr>
          <w:lang w:val="en-GB"/>
        </w:rPr>
        <w:t xml:space="preserve">of the applicant </w:t>
      </w:r>
      <w:r w:rsidR="00B400A4" w:rsidRPr="00831573">
        <w:rPr>
          <w:lang w:val="en-GB"/>
        </w:rPr>
        <w:t>and decide to quash it because of the procedural flaws during his hearing</w:t>
      </w:r>
      <w:r w:rsidR="004E5ED4" w:rsidRPr="00831573">
        <w:rPr>
          <w:lang w:val="en-GB"/>
        </w:rPr>
        <w:t>,</w:t>
      </w:r>
      <w:r w:rsidR="00B400A4" w:rsidRPr="00831573">
        <w:rPr>
          <w:lang w:val="en-GB"/>
        </w:rPr>
        <w:t xml:space="preserve"> but the High Court</w:t>
      </w:r>
      <w:r w:rsidR="004138F6" w:rsidRPr="00831573">
        <w:rPr>
          <w:lang w:val="en-GB"/>
        </w:rPr>
        <w:t xml:space="preserve"> specifically </w:t>
      </w:r>
      <w:r w:rsidR="004E5ED4" w:rsidRPr="00831573">
        <w:rPr>
          <w:lang w:val="en-GB"/>
        </w:rPr>
        <w:t xml:space="preserve">examined </w:t>
      </w:r>
      <w:r w:rsidR="004138F6" w:rsidRPr="00831573">
        <w:rPr>
          <w:lang w:val="en-GB"/>
        </w:rPr>
        <w:t>the question whether the County Court</w:t>
      </w:r>
      <w:r w:rsidR="00831573" w:rsidRPr="00831573">
        <w:rPr>
          <w:lang w:val="en-GB"/>
        </w:rPr>
        <w:t>’</w:t>
      </w:r>
      <w:r w:rsidR="004138F6" w:rsidRPr="00831573">
        <w:rPr>
          <w:lang w:val="en-GB"/>
        </w:rPr>
        <w:t>s decision was in excess of its jurisdiction</w:t>
      </w:r>
      <w:r w:rsidR="009357B2" w:rsidRPr="00831573">
        <w:rPr>
          <w:lang w:val="en-GB"/>
        </w:rPr>
        <w:t>.</w:t>
      </w:r>
    </w:p>
    <w:p w:rsidR="004138F6" w:rsidRPr="00831573" w:rsidRDefault="004138F6"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112</w:t>
      </w:r>
      <w:r w:rsidRPr="00831573">
        <w:rPr>
          <w:lang w:val="en-GB"/>
        </w:rPr>
        <w:fldChar w:fldCharType="end"/>
      </w:r>
      <w:r w:rsidRPr="00831573">
        <w:rPr>
          <w:lang w:val="en-GB"/>
        </w:rPr>
        <w:t>. </w:t>
      </w:r>
      <w:r w:rsidR="00A82A99" w:rsidRPr="00831573">
        <w:rPr>
          <w:lang w:val="en-GB"/>
        </w:rPr>
        <w:t> </w:t>
      </w:r>
      <w:r w:rsidR="00262CCB" w:rsidRPr="00831573">
        <w:rPr>
          <w:lang w:val="en-GB"/>
        </w:rPr>
        <w:t xml:space="preserve">In contrast to other applications in which the Court has been required to decide for itself, in light of the circumstances of the case, whether there has been a </w:t>
      </w:r>
      <w:r w:rsidR="00131220" w:rsidRPr="00831573">
        <w:rPr>
          <w:lang w:val="en-GB"/>
        </w:rPr>
        <w:t>g</w:t>
      </w:r>
      <w:r w:rsidR="00262CCB" w:rsidRPr="00831573">
        <w:rPr>
          <w:lang w:val="en-GB"/>
        </w:rPr>
        <w:t>ross and obvious irregularity, t</w:t>
      </w:r>
      <w:r w:rsidR="00BF1F17" w:rsidRPr="00831573">
        <w:rPr>
          <w:lang w:val="en-GB"/>
        </w:rPr>
        <w:t xml:space="preserve">he Court </w:t>
      </w:r>
      <w:r w:rsidR="00262CCB" w:rsidRPr="00831573">
        <w:rPr>
          <w:lang w:val="en-GB"/>
        </w:rPr>
        <w:t>considers,</w:t>
      </w:r>
      <w:r w:rsidR="008869ED" w:rsidRPr="00831573">
        <w:rPr>
          <w:lang w:val="en-GB"/>
        </w:rPr>
        <w:t xml:space="preserve"> </w:t>
      </w:r>
      <w:r w:rsidR="00AC4D64" w:rsidRPr="00831573">
        <w:rPr>
          <w:lang w:val="en-GB"/>
        </w:rPr>
        <w:t>given</w:t>
      </w:r>
      <w:r w:rsidR="008869ED" w:rsidRPr="00831573">
        <w:rPr>
          <w:lang w:val="en-GB"/>
        </w:rPr>
        <w:t xml:space="preserve"> the detailed scrutiny </w:t>
      </w:r>
      <w:r w:rsidR="004E5ED4" w:rsidRPr="00831573">
        <w:rPr>
          <w:lang w:val="en-GB"/>
        </w:rPr>
        <w:t xml:space="preserve">embracing the Convention and its case-law, </w:t>
      </w:r>
      <w:r w:rsidR="008869ED" w:rsidRPr="00831573">
        <w:rPr>
          <w:lang w:val="en-GB"/>
        </w:rPr>
        <w:t xml:space="preserve">which the High Court gave to the </w:t>
      </w:r>
      <w:r w:rsidR="00FA6E73" w:rsidRPr="00831573">
        <w:rPr>
          <w:lang w:val="en-GB"/>
        </w:rPr>
        <w:t>applicant</w:t>
      </w:r>
      <w:r w:rsidR="00831573" w:rsidRPr="00831573">
        <w:rPr>
          <w:lang w:val="en-GB"/>
        </w:rPr>
        <w:t>’</w:t>
      </w:r>
      <w:r w:rsidR="00FA6E73" w:rsidRPr="00831573">
        <w:rPr>
          <w:lang w:val="en-GB"/>
        </w:rPr>
        <w:t>s claim</w:t>
      </w:r>
      <w:r w:rsidR="008869ED" w:rsidRPr="00831573">
        <w:rPr>
          <w:lang w:val="en-GB"/>
        </w:rPr>
        <w:t>, that its role</w:t>
      </w:r>
      <w:r w:rsidR="00262CCB" w:rsidRPr="00831573">
        <w:rPr>
          <w:lang w:val="en-GB"/>
        </w:rPr>
        <w:t xml:space="preserve"> in the present case is a subsidiary one</w:t>
      </w:r>
      <w:r w:rsidR="00131220" w:rsidRPr="00831573">
        <w:rPr>
          <w:lang w:val="en-GB"/>
        </w:rPr>
        <w:t xml:space="preserve"> and limited</w:t>
      </w:r>
      <w:r w:rsidR="008869ED" w:rsidRPr="00831573">
        <w:rPr>
          <w:lang w:val="en-GB"/>
        </w:rPr>
        <w:t xml:space="preserve"> to exercising </w:t>
      </w:r>
      <w:r w:rsidR="00131220" w:rsidRPr="00831573">
        <w:rPr>
          <w:lang w:val="en-GB"/>
        </w:rPr>
        <w:t xml:space="preserve">a </w:t>
      </w:r>
      <w:r w:rsidR="008869ED" w:rsidRPr="00831573">
        <w:rPr>
          <w:lang w:val="en-GB"/>
        </w:rPr>
        <w:t>power of review over the domestic courts</w:t>
      </w:r>
      <w:r w:rsidR="00831573" w:rsidRPr="00831573">
        <w:rPr>
          <w:lang w:val="en-GB"/>
        </w:rPr>
        <w:t>’</w:t>
      </w:r>
      <w:r w:rsidR="008869ED" w:rsidRPr="00831573">
        <w:rPr>
          <w:lang w:val="en-GB"/>
        </w:rPr>
        <w:t xml:space="preserve"> decisions.</w:t>
      </w:r>
    </w:p>
    <w:p w:rsidR="00EA7C8F" w:rsidRPr="00831573" w:rsidRDefault="00EA7C8F"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113</w:t>
      </w:r>
      <w:r w:rsidRPr="00831573">
        <w:rPr>
          <w:lang w:val="en-GB"/>
        </w:rPr>
        <w:fldChar w:fldCharType="end"/>
      </w:r>
      <w:r w:rsidRPr="00831573">
        <w:rPr>
          <w:lang w:val="en-GB"/>
        </w:rPr>
        <w:t>. </w:t>
      </w:r>
      <w:r w:rsidR="00A82A99" w:rsidRPr="00831573">
        <w:rPr>
          <w:lang w:val="en-GB"/>
        </w:rPr>
        <w:t> </w:t>
      </w:r>
      <w:r w:rsidRPr="00831573">
        <w:rPr>
          <w:lang w:val="en-GB"/>
        </w:rPr>
        <w:t xml:space="preserve">The </w:t>
      </w:r>
      <w:r w:rsidR="00FA6E73" w:rsidRPr="00831573">
        <w:rPr>
          <w:lang w:val="en-GB"/>
        </w:rPr>
        <w:t>Court accepts that an appeal court</w:t>
      </w:r>
      <w:r w:rsidR="00831573" w:rsidRPr="00831573">
        <w:rPr>
          <w:lang w:val="en-GB"/>
        </w:rPr>
        <w:t>’</w:t>
      </w:r>
      <w:r w:rsidR="00FA6E73" w:rsidRPr="00831573">
        <w:rPr>
          <w:lang w:val="en-GB"/>
        </w:rPr>
        <w:t xml:space="preserve">s decision to quash a detention order, as happened in the present case, is an important factor in deciding whether flaws in a detention order amount to a gross and obvious irregularity. However, </w:t>
      </w:r>
      <w:r w:rsidR="00E05C0B" w:rsidRPr="00831573">
        <w:rPr>
          <w:lang w:val="en-GB"/>
        </w:rPr>
        <w:t xml:space="preserve">the fact that a detention order is quashed is not determinative </w:t>
      </w:r>
      <w:r w:rsidR="00D24AE1" w:rsidRPr="00831573">
        <w:rPr>
          <w:lang w:val="en-GB"/>
        </w:rPr>
        <w:t xml:space="preserve">because </w:t>
      </w:r>
      <w:r w:rsidR="00E05C0B" w:rsidRPr="00831573">
        <w:rPr>
          <w:lang w:val="en-GB"/>
        </w:rPr>
        <w:t xml:space="preserve">only ex facie invalid detention orders </w:t>
      </w:r>
      <w:r w:rsidR="00B60059" w:rsidRPr="00831573">
        <w:rPr>
          <w:lang w:val="en-GB"/>
        </w:rPr>
        <w:t xml:space="preserve">can be said not to </w:t>
      </w:r>
      <w:r w:rsidR="00E05C0B" w:rsidRPr="00831573">
        <w:rPr>
          <w:lang w:val="en-GB"/>
        </w:rPr>
        <w:t xml:space="preserve">comply with the </w:t>
      </w:r>
      <w:r w:rsidR="00B60059" w:rsidRPr="00831573">
        <w:rPr>
          <w:lang w:val="en-GB"/>
        </w:rPr>
        <w:t>requirement of “lawfulness” under Article 5 § 1 (</w:t>
      </w:r>
      <w:r w:rsidR="00E05C0B" w:rsidRPr="00831573">
        <w:rPr>
          <w:i/>
          <w:lang w:val="en-GB"/>
        </w:rPr>
        <w:t>Mooren</w:t>
      </w:r>
      <w:r w:rsidR="00E05C0B" w:rsidRPr="00831573">
        <w:rPr>
          <w:lang w:val="en-GB"/>
        </w:rPr>
        <w:t>, cited above</w:t>
      </w:r>
      <w:r w:rsidR="00383FBF" w:rsidRPr="00831573">
        <w:rPr>
          <w:lang w:val="en-GB"/>
        </w:rPr>
        <w:t xml:space="preserve">, </w:t>
      </w:r>
      <w:r w:rsidR="00383FBF" w:rsidRPr="00831573">
        <w:rPr>
          <w:rFonts w:cstheme="minorHAnsi"/>
          <w:lang w:val="en-GB"/>
        </w:rPr>
        <w:t>§ 75</w:t>
      </w:r>
      <w:r w:rsidR="004E5ED4" w:rsidRPr="00831573">
        <w:rPr>
          <w:rFonts w:cstheme="minorHAnsi"/>
          <w:lang w:val="en-GB"/>
        </w:rPr>
        <w:t>)</w:t>
      </w:r>
      <w:r w:rsidR="009357B2" w:rsidRPr="00831573">
        <w:rPr>
          <w:lang w:val="en-GB"/>
        </w:rPr>
        <w:t>.</w:t>
      </w:r>
    </w:p>
    <w:p w:rsidR="00EE616A" w:rsidRPr="00831573" w:rsidRDefault="00EE616A" w:rsidP="00831573">
      <w:pPr>
        <w:pStyle w:val="ECHRPara"/>
        <w:rPr>
          <w: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114</w:t>
      </w:r>
      <w:r w:rsidRPr="00831573">
        <w:rPr>
          <w:lang w:val="en-GB"/>
        </w:rPr>
        <w:fldChar w:fldCharType="end"/>
      </w:r>
      <w:r w:rsidRPr="00831573">
        <w:rPr>
          <w:lang w:val="en-GB"/>
        </w:rPr>
        <w:t>. </w:t>
      </w:r>
      <w:r w:rsidR="00A82A99" w:rsidRPr="00831573">
        <w:rPr>
          <w:lang w:val="en-GB"/>
        </w:rPr>
        <w:t> </w:t>
      </w:r>
      <w:r w:rsidR="004E5ED4" w:rsidRPr="00831573">
        <w:rPr>
          <w:lang w:val="en-GB"/>
        </w:rPr>
        <w:t>I</w:t>
      </w:r>
      <w:r w:rsidR="00A81107" w:rsidRPr="00831573">
        <w:rPr>
          <w:lang w:val="en-GB"/>
        </w:rPr>
        <w:t>n the community</w:t>
      </w:r>
      <w:r w:rsidR="004E5ED4" w:rsidRPr="00831573">
        <w:rPr>
          <w:lang w:val="en-GB"/>
        </w:rPr>
        <w:t>-</w:t>
      </w:r>
      <w:r w:rsidR="008342C7" w:rsidRPr="00831573">
        <w:rPr>
          <w:lang w:val="en-GB"/>
        </w:rPr>
        <w:t xml:space="preserve">charge </w:t>
      </w:r>
      <w:r w:rsidR="00A81107" w:rsidRPr="00831573">
        <w:rPr>
          <w:lang w:val="en-GB"/>
        </w:rPr>
        <w:t>and fine</w:t>
      </w:r>
      <w:r w:rsidR="00737AB2" w:rsidRPr="00831573">
        <w:rPr>
          <w:lang w:val="en-GB"/>
        </w:rPr>
        <w:t>s</w:t>
      </w:r>
      <w:r w:rsidR="00A81107" w:rsidRPr="00831573">
        <w:rPr>
          <w:lang w:val="en-GB"/>
        </w:rPr>
        <w:t xml:space="preserve"> cases </w:t>
      </w:r>
      <w:r w:rsidR="004E5ED4" w:rsidRPr="00831573">
        <w:rPr>
          <w:lang w:val="en-GB"/>
        </w:rPr>
        <w:t>the Court held</w:t>
      </w:r>
      <w:r w:rsidR="00A81107" w:rsidRPr="00831573">
        <w:rPr>
          <w:lang w:val="en-GB"/>
        </w:rPr>
        <w:t xml:space="preserve"> that a violation of Article 6 on account of a lack of representation</w:t>
      </w:r>
      <w:r w:rsidR="0061068D" w:rsidRPr="00831573">
        <w:rPr>
          <w:lang w:val="en-GB"/>
        </w:rPr>
        <w:t xml:space="preserve">, </w:t>
      </w:r>
      <w:r w:rsidR="00894DCA" w:rsidRPr="00831573">
        <w:rPr>
          <w:lang w:val="en-GB"/>
        </w:rPr>
        <w:t xml:space="preserve">taken on its own, </w:t>
      </w:r>
      <w:r w:rsidR="0061068D" w:rsidRPr="00831573">
        <w:rPr>
          <w:lang w:val="en-GB"/>
        </w:rPr>
        <w:t>was not such as to render the ensuing detention “unlawful” for the purposes of Article 5</w:t>
      </w:r>
      <w:r w:rsidR="00B60059" w:rsidRPr="00831573">
        <w:rPr>
          <w:lang w:val="en-GB"/>
        </w:rPr>
        <w:t xml:space="preserve"> § 1</w:t>
      </w:r>
      <w:r w:rsidR="0061068D" w:rsidRPr="00831573">
        <w:rPr>
          <w:lang w:val="en-GB"/>
        </w:rPr>
        <w:t xml:space="preserve">. </w:t>
      </w:r>
      <w:r w:rsidR="00383FBF" w:rsidRPr="00831573">
        <w:rPr>
          <w:lang w:val="en-GB"/>
        </w:rPr>
        <w:t>The Court has taken a similar approach to other procedural flaws</w:t>
      </w:r>
      <w:r w:rsidR="00AC4D64" w:rsidRPr="00831573">
        <w:rPr>
          <w:lang w:val="en-GB"/>
        </w:rPr>
        <w:t xml:space="preserve"> (see, for example, </w:t>
      </w:r>
      <w:r w:rsidR="00AC4D64" w:rsidRPr="00831573">
        <w:rPr>
          <w:i/>
          <w:lang w:val="en-GB"/>
        </w:rPr>
        <w:t>Mooren</w:t>
      </w:r>
      <w:r w:rsidR="00AC4D64" w:rsidRPr="00831573">
        <w:rPr>
          <w:lang w:val="en-GB"/>
        </w:rPr>
        <w:t xml:space="preserve">, </w:t>
      </w:r>
      <w:r w:rsidR="00AC4D64" w:rsidRPr="00831573">
        <w:rPr>
          <w:rFonts w:cstheme="minorHAnsi"/>
          <w:lang w:val="en-GB"/>
        </w:rPr>
        <w:t xml:space="preserve">cited above, </w:t>
      </w:r>
      <w:r w:rsidR="00B60059" w:rsidRPr="00831573">
        <w:rPr>
          <w:rFonts w:cstheme="minorHAnsi"/>
          <w:lang w:val="en-GB"/>
        </w:rPr>
        <w:t>§</w:t>
      </w:r>
      <w:r w:rsidR="00AC4D64" w:rsidRPr="00831573">
        <w:rPr>
          <w:rFonts w:cstheme="minorHAnsi"/>
          <w:lang w:val="en-GB"/>
        </w:rPr>
        <w:t>§ 82-89</w:t>
      </w:r>
      <w:r w:rsidR="00AC4D64" w:rsidRPr="00831573">
        <w:rPr>
          <w:lang w:val="en-GB"/>
        </w:rPr>
        <w:t xml:space="preserve"> and </w:t>
      </w:r>
      <w:r w:rsidR="00AC4D64" w:rsidRPr="00831573">
        <w:rPr>
          <w:i/>
          <w:lang w:val="en-GB"/>
        </w:rPr>
        <w:t>Hađi v.</w:t>
      </w:r>
      <w:r w:rsidR="008342C7" w:rsidRPr="00831573">
        <w:rPr>
          <w:i/>
          <w:lang w:val="en-GB"/>
        </w:rPr>
        <w:t> </w:t>
      </w:r>
      <w:r w:rsidR="00AC4D64" w:rsidRPr="00831573">
        <w:rPr>
          <w:i/>
          <w:lang w:val="en-GB"/>
        </w:rPr>
        <w:t>Croatia</w:t>
      </w:r>
      <w:r w:rsidR="00AC4D64" w:rsidRPr="00831573">
        <w:rPr>
          <w:lang w:val="en-GB"/>
        </w:rPr>
        <w:t>,</w:t>
      </w:r>
      <w:r w:rsidR="00072006" w:rsidRPr="00831573">
        <w:rPr>
          <w:lang w:val="en-GB"/>
        </w:rPr>
        <w:t xml:space="preserve"> </w:t>
      </w:r>
      <w:r w:rsidR="00AC4D64" w:rsidRPr="00831573">
        <w:rPr>
          <w:lang w:val="en-GB"/>
        </w:rPr>
        <w:t>no.</w:t>
      </w:r>
      <w:r w:rsidR="00072006" w:rsidRPr="00831573">
        <w:rPr>
          <w:lang w:val="en-GB"/>
        </w:rPr>
        <w:t> </w:t>
      </w:r>
      <w:r w:rsidR="00AC4D64" w:rsidRPr="00831573">
        <w:rPr>
          <w:lang w:val="en-GB"/>
        </w:rPr>
        <w:t>42998/08</w:t>
      </w:r>
      <w:r w:rsidR="00AC4D64" w:rsidRPr="00831573">
        <w:rPr>
          <w:snapToGrid w:val="0"/>
          <w:szCs w:val="24"/>
          <w:lang w:val="en-GB"/>
        </w:rPr>
        <w:t>, § 30, 1 July 2010)</w:t>
      </w:r>
      <w:r w:rsidR="00AC4D64" w:rsidRPr="00831573">
        <w:rPr>
          <w:lang w:val="en-GB"/>
        </w:rPr>
        <w:t xml:space="preserve">. </w:t>
      </w:r>
      <w:r w:rsidR="00C55705" w:rsidRPr="00831573">
        <w:rPr>
          <w:lang w:val="en-GB"/>
        </w:rPr>
        <w:t xml:space="preserve">By contrast in </w:t>
      </w:r>
      <w:r w:rsidR="005605C6" w:rsidRPr="00831573">
        <w:rPr>
          <w:i/>
          <w:lang w:val="en-GB"/>
        </w:rPr>
        <w:t>Niyazov v. </w:t>
      </w:r>
      <w:r w:rsidR="00C55705" w:rsidRPr="00831573">
        <w:rPr>
          <w:i/>
          <w:lang w:val="en-GB"/>
        </w:rPr>
        <w:t>Russia</w:t>
      </w:r>
      <w:r w:rsidR="00C55705" w:rsidRPr="00831573">
        <w:rPr>
          <w:lang w:val="en-GB"/>
        </w:rPr>
        <w:t>, no. 27843/11, § 180, 16</w:t>
      </w:r>
      <w:r w:rsidR="00702B89" w:rsidRPr="00831573">
        <w:rPr>
          <w:lang w:val="en-GB"/>
        </w:rPr>
        <w:t> </w:t>
      </w:r>
      <w:r w:rsidR="00C55705" w:rsidRPr="00831573">
        <w:rPr>
          <w:lang w:val="en-GB"/>
        </w:rPr>
        <w:t>October 2012, the first instance court</w:t>
      </w:r>
      <w:r w:rsidR="00831573" w:rsidRPr="00831573">
        <w:rPr>
          <w:lang w:val="en-GB"/>
        </w:rPr>
        <w:t>’</w:t>
      </w:r>
      <w:r w:rsidR="00C55705" w:rsidRPr="00831573">
        <w:rPr>
          <w:lang w:val="en-GB"/>
        </w:rPr>
        <w:t xml:space="preserve">s failure to establish </w:t>
      </w:r>
      <w:r w:rsidR="0023451A" w:rsidRPr="00831573">
        <w:rPr>
          <w:lang w:val="en-GB"/>
        </w:rPr>
        <w:t xml:space="preserve">the </w:t>
      </w:r>
      <w:r w:rsidR="00C55705" w:rsidRPr="00831573">
        <w:rPr>
          <w:lang w:val="en-GB"/>
        </w:rPr>
        <w:t>facts in their entirety, taken together with a failure to give reasons and specify time-limits, as well as the applicant</w:t>
      </w:r>
      <w:r w:rsidR="00831573" w:rsidRPr="00831573">
        <w:rPr>
          <w:lang w:val="en-GB"/>
        </w:rPr>
        <w:t>’</w:t>
      </w:r>
      <w:r w:rsidR="00C55705" w:rsidRPr="00831573">
        <w:rPr>
          <w:lang w:val="en-GB"/>
        </w:rPr>
        <w:t>s inability to participate in the proceedings because he was neither represented nor provided with appropriate translations</w:t>
      </w:r>
      <w:r w:rsidR="008342C7" w:rsidRPr="00831573">
        <w:rPr>
          <w:lang w:val="en-GB"/>
        </w:rPr>
        <w:t>,</w:t>
      </w:r>
      <w:r w:rsidR="00C55705" w:rsidRPr="00831573">
        <w:rPr>
          <w:lang w:val="en-GB"/>
        </w:rPr>
        <w:t xml:space="preserve"> </w:t>
      </w:r>
      <w:r w:rsidR="00B60059" w:rsidRPr="00831573">
        <w:rPr>
          <w:lang w:val="en-GB"/>
        </w:rPr>
        <w:t xml:space="preserve">was held to </w:t>
      </w:r>
      <w:r w:rsidR="00C55705" w:rsidRPr="00831573">
        <w:rPr>
          <w:lang w:val="en-GB"/>
        </w:rPr>
        <w:t xml:space="preserve">amount to a </w:t>
      </w:r>
      <w:r w:rsidR="009357B2" w:rsidRPr="00831573">
        <w:rPr>
          <w:lang w:val="en-GB"/>
        </w:rPr>
        <w:t>gross and obvious irregularity.</w:t>
      </w:r>
    </w:p>
    <w:p w:rsidR="00EE616A" w:rsidRPr="00831573" w:rsidRDefault="00EE616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115</w:t>
      </w:r>
      <w:r w:rsidRPr="00831573">
        <w:rPr>
          <w:lang w:val="en-GB"/>
        </w:rPr>
        <w:fldChar w:fldCharType="end"/>
      </w:r>
      <w:r w:rsidRPr="00831573">
        <w:rPr>
          <w:lang w:val="en-GB"/>
        </w:rPr>
        <w:t>.  </w:t>
      </w:r>
      <w:r w:rsidR="00C55705" w:rsidRPr="00831573">
        <w:rPr>
          <w:lang w:val="en-GB"/>
        </w:rPr>
        <w:t>It is clear from the Court</w:t>
      </w:r>
      <w:r w:rsidR="00831573" w:rsidRPr="00831573">
        <w:rPr>
          <w:lang w:val="en-GB"/>
        </w:rPr>
        <w:t>’</w:t>
      </w:r>
      <w:r w:rsidR="00C55705" w:rsidRPr="00831573">
        <w:rPr>
          <w:lang w:val="en-GB"/>
        </w:rPr>
        <w:t xml:space="preserve">s case-law, including </w:t>
      </w:r>
      <w:r w:rsidR="00AC4D64" w:rsidRPr="00831573">
        <w:rPr>
          <w:lang w:val="en-GB"/>
        </w:rPr>
        <w:t xml:space="preserve">the cases </w:t>
      </w:r>
      <w:r w:rsidR="00C55705" w:rsidRPr="00831573">
        <w:rPr>
          <w:lang w:val="en-GB"/>
        </w:rPr>
        <w:t xml:space="preserve">cited </w:t>
      </w:r>
      <w:r w:rsidR="00AC4D64" w:rsidRPr="00831573">
        <w:rPr>
          <w:lang w:val="en-GB"/>
        </w:rPr>
        <w:t xml:space="preserve">immediately </w:t>
      </w:r>
      <w:r w:rsidR="00C55705" w:rsidRPr="00831573">
        <w:rPr>
          <w:lang w:val="en-GB"/>
        </w:rPr>
        <w:t>above, that</w:t>
      </w:r>
      <w:r w:rsidRPr="00831573">
        <w:rPr>
          <w:lang w:val="en-GB"/>
        </w:rPr>
        <w:t xml:space="preserve"> the </w:t>
      </w:r>
      <w:r w:rsidR="00D51F66" w:rsidRPr="00831573">
        <w:rPr>
          <w:lang w:val="en-GB"/>
        </w:rPr>
        <w:t>“gross</w:t>
      </w:r>
      <w:r w:rsidR="004E5ED4" w:rsidRPr="00831573">
        <w:rPr>
          <w:lang w:val="en-GB"/>
        </w:rPr>
        <w:t>-</w:t>
      </w:r>
      <w:r w:rsidR="00D51F66" w:rsidRPr="00831573">
        <w:rPr>
          <w:lang w:val="en-GB"/>
        </w:rPr>
        <w:t>and</w:t>
      </w:r>
      <w:r w:rsidR="004E5ED4" w:rsidRPr="00831573">
        <w:rPr>
          <w:lang w:val="en-GB"/>
        </w:rPr>
        <w:t>-</w:t>
      </w:r>
      <w:r w:rsidR="00D51F66" w:rsidRPr="00831573">
        <w:rPr>
          <w:lang w:val="en-GB"/>
        </w:rPr>
        <w:t>obvious</w:t>
      </w:r>
      <w:r w:rsidR="004E5ED4" w:rsidRPr="00831573">
        <w:rPr>
          <w:lang w:val="en-GB"/>
        </w:rPr>
        <w:t>-</w:t>
      </w:r>
      <w:r w:rsidR="00D51F66" w:rsidRPr="00831573">
        <w:rPr>
          <w:lang w:val="en-GB"/>
        </w:rPr>
        <w:t>irregularity” test is a stringent one</w:t>
      </w:r>
      <w:r w:rsidRPr="00831573">
        <w:rPr>
          <w:lang w:val="en-GB"/>
        </w:rPr>
        <w:t xml:space="preserve">. </w:t>
      </w:r>
      <w:r w:rsidR="00D51F66" w:rsidRPr="00831573">
        <w:rPr>
          <w:lang w:val="en-GB"/>
        </w:rPr>
        <w:t>In that regard it</w:t>
      </w:r>
      <w:r w:rsidRPr="00831573">
        <w:rPr>
          <w:lang w:val="en-GB"/>
        </w:rPr>
        <w:t xml:space="preserve"> resembles the </w:t>
      </w:r>
      <w:r w:rsidR="00D51F66" w:rsidRPr="00831573">
        <w:rPr>
          <w:lang w:val="en-GB"/>
        </w:rPr>
        <w:t>“</w:t>
      </w:r>
      <w:r w:rsidRPr="00831573">
        <w:rPr>
          <w:lang w:val="en-GB"/>
        </w:rPr>
        <w:t>flagrant</w:t>
      </w:r>
      <w:r w:rsidR="004E5ED4" w:rsidRPr="00831573">
        <w:rPr>
          <w:lang w:val="en-GB"/>
        </w:rPr>
        <w:t>-</w:t>
      </w:r>
      <w:r w:rsidRPr="00831573">
        <w:rPr>
          <w:lang w:val="en-GB"/>
        </w:rPr>
        <w:t>denial</w:t>
      </w:r>
      <w:r w:rsidR="004E5ED4" w:rsidRPr="00831573">
        <w:rPr>
          <w:lang w:val="en-GB"/>
        </w:rPr>
        <w:t>-</w:t>
      </w:r>
      <w:r w:rsidRPr="00831573">
        <w:rPr>
          <w:lang w:val="en-GB"/>
        </w:rPr>
        <w:t>of</w:t>
      </w:r>
      <w:r w:rsidR="004E5ED4" w:rsidRPr="00831573">
        <w:rPr>
          <w:lang w:val="en-GB"/>
        </w:rPr>
        <w:t>-</w:t>
      </w:r>
      <w:r w:rsidRPr="00831573">
        <w:rPr>
          <w:lang w:val="en-GB"/>
        </w:rPr>
        <w:t>justice</w:t>
      </w:r>
      <w:r w:rsidR="00D51F66" w:rsidRPr="00831573">
        <w:rPr>
          <w:lang w:val="en-GB"/>
        </w:rPr>
        <w:t>”</w:t>
      </w:r>
      <w:r w:rsidRPr="00831573">
        <w:rPr>
          <w:lang w:val="en-GB"/>
        </w:rPr>
        <w:t xml:space="preserve"> test (see paragraphs </w:t>
      </w:r>
      <w:r w:rsidR="00AC4D64" w:rsidRPr="00831573">
        <w:rPr>
          <w:lang w:val="en-GB"/>
        </w:rPr>
        <w:fldChar w:fldCharType="begin"/>
      </w:r>
      <w:r w:rsidR="00AC4D64" w:rsidRPr="00831573">
        <w:rPr>
          <w:lang w:val="en-GB"/>
        </w:rPr>
        <w:instrText xml:space="preserve"> REF FlagrantDoJStart \h </w:instrText>
      </w:r>
      <w:r w:rsidR="00AC4D64" w:rsidRPr="00831573">
        <w:rPr>
          <w:lang w:val="en-GB"/>
        </w:rPr>
      </w:r>
      <w:r w:rsidR="00AC4D64" w:rsidRPr="00831573">
        <w:rPr>
          <w:lang w:val="en-GB"/>
        </w:rPr>
        <w:fldChar w:fldCharType="separate"/>
      </w:r>
      <w:r w:rsidR="00831573" w:rsidRPr="00831573">
        <w:rPr>
          <w:noProof/>
          <w:lang w:val="en-GB"/>
        </w:rPr>
        <w:t>98</w:t>
      </w:r>
      <w:r w:rsidR="00AC4D64" w:rsidRPr="00831573">
        <w:rPr>
          <w:lang w:val="en-GB"/>
        </w:rPr>
        <w:fldChar w:fldCharType="end"/>
      </w:r>
      <w:r w:rsidRPr="00831573">
        <w:rPr>
          <w:lang w:val="en-GB"/>
        </w:rPr>
        <w:t>-</w:t>
      </w:r>
      <w:r w:rsidR="00737AB2" w:rsidRPr="00831573">
        <w:rPr>
          <w:lang w:val="en-GB"/>
        </w:rPr>
        <w:fldChar w:fldCharType="begin"/>
      </w:r>
      <w:r w:rsidR="00737AB2" w:rsidRPr="00831573">
        <w:rPr>
          <w:lang w:val="en-GB"/>
        </w:rPr>
        <w:instrText xml:space="preserve"> REF FlagrantDoJEnd \h </w:instrText>
      </w:r>
      <w:r w:rsidR="00737AB2" w:rsidRPr="00831573">
        <w:rPr>
          <w:lang w:val="en-GB"/>
        </w:rPr>
      </w:r>
      <w:r w:rsidR="00737AB2" w:rsidRPr="00831573">
        <w:rPr>
          <w:lang w:val="en-GB"/>
        </w:rPr>
        <w:fldChar w:fldCharType="separate"/>
      </w:r>
      <w:r w:rsidR="00831573" w:rsidRPr="00831573">
        <w:rPr>
          <w:noProof/>
          <w:lang w:val="en-GB"/>
        </w:rPr>
        <w:t>99</w:t>
      </w:r>
      <w:r w:rsidR="00737AB2" w:rsidRPr="00831573">
        <w:rPr>
          <w:lang w:val="en-GB"/>
        </w:rPr>
        <w:fldChar w:fldCharType="end"/>
      </w:r>
      <w:r w:rsidRPr="00831573">
        <w:rPr>
          <w:lang w:val="en-GB"/>
        </w:rPr>
        <w:t xml:space="preserve"> above)</w:t>
      </w:r>
      <w:r w:rsidR="00E05C0B" w:rsidRPr="00831573">
        <w:rPr>
          <w:lang w:val="en-GB"/>
        </w:rPr>
        <w:t>.</w:t>
      </w:r>
    </w:p>
    <w:p w:rsidR="00131220" w:rsidRPr="00831573" w:rsidRDefault="0013122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116</w:t>
      </w:r>
      <w:r w:rsidRPr="00831573">
        <w:rPr>
          <w:lang w:val="en-GB"/>
        </w:rPr>
        <w:fldChar w:fldCharType="end"/>
      </w:r>
      <w:r w:rsidRPr="00831573">
        <w:rPr>
          <w:lang w:val="en-GB"/>
        </w:rPr>
        <w:t>. </w:t>
      </w:r>
      <w:r w:rsidR="00072006" w:rsidRPr="00831573">
        <w:rPr>
          <w:lang w:val="en-GB"/>
        </w:rPr>
        <w:t> </w:t>
      </w:r>
      <w:r w:rsidRPr="00831573">
        <w:rPr>
          <w:lang w:val="en-GB"/>
        </w:rPr>
        <w:t xml:space="preserve">The present case is distinguishable from </w:t>
      </w:r>
      <w:r w:rsidRPr="00831573">
        <w:rPr>
          <w:i/>
          <w:lang w:val="en-GB"/>
        </w:rPr>
        <w:t>Nakach</w:t>
      </w:r>
      <w:r w:rsidRPr="00831573">
        <w:rPr>
          <w:lang w:val="en-GB"/>
        </w:rPr>
        <w:t xml:space="preserve"> and </w:t>
      </w:r>
      <w:r w:rsidRPr="00831573">
        <w:rPr>
          <w:i/>
          <w:lang w:val="en-GB"/>
        </w:rPr>
        <w:t>Schenkel</w:t>
      </w:r>
      <w:r w:rsidRPr="00831573">
        <w:rPr>
          <w:lang w:val="en-GB"/>
        </w:rPr>
        <w:t>, both cited above, in which there was clear domestic case-law that failure to make a record of proceedings rendered a trial court</w:t>
      </w:r>
      <w:r w:rsidR="00831573" w:rsidRPr="00831573">
        <w:rPr>
          <w:lang w:val="en-GB"/>
        </w:rPr>
        <w:t>’</w:t>
      </w:r>
      <w:r w:rsidRPr="00831573">
        <w:rPr>
          <w:lang w:val="en-GB"/>
        </w:rPr>
        <w:t>s decision null and void.</w:t>
      </w:r>
    </w:p>
    <w:p w:rsidR="000F49BF" w:rsidRPr="00831573" w:rsidRDefault="00262CC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117</w:t>
      </w:r>
      <w:r w:rsidRPr="00831573">
        <w:rPr>
          <w:lang w:val="en-GB"/>
        </w:rPr>
        <w:fldChar w:fldCharType="end"/>
      </w:r>
      <w:r w:rsidRPr="00831573">
        <w:rPr>
          <w:lang w:val="en-GB"/>
        </w:rPr>
        <w:t>.  </w:t>
      </w:r>
      <w:r w:rsidR="00F71465" w:rsidRPr="00831573">
        <w:rPr>
          <w:lang w:val="en-GB"/>
        </w:rPr>
        <w:t>Having reviewed all the material before it</w:t>
      </w:r>
      <w:r w:rsidRPr="00831573">
        <w:rPr>
          <w:lang w:val="en-GB"/>
        </w:rPr>
        <w:t xml:space="preserve">, in particular the reasons </w:t>
      </w:r>
      <w:r w:rsidR="00AC4D64" w:rsidRPr="00831573">
        <w:rPr>
          <w:lang w:val="en-GB"/>
        </w:rPr>
        <w:t xml:space="preserve">given by </w:t>
      </w:r>
      <w:r w:rsidRPr="00831573">
        <w:rPr>
          <w:lang w:val="en-GB"/>
        </w:rPr>
        <w:t>the High Court</w:t>
      </w:r>
      <w:r w:rsidR="00AF48B4" w:rsidRPr="00831573">
        <w:rPr>
          <w:lang w:val="en-GB"/>
        </w:rPr>
        <w:t xml:space="preserve"> (see paragraphs </w:t>
      </w:r>
      <w:r w:rsidR="00AF48B4" w:rsidRPr="00831573">
        <w:rPr>
          <w:lang w:val="en-GB"/>
        </w:rPr>
        <w:fldChar w:fldCharType="begin"/>
      </w:r>
      <w:r w:rsidR="00AF48B4" w:rsidRPr="00831573">
        <w:rPr>
          <w:lang w:val="en-GB"/>
        </w:rPr>
        <w:instrText xml:space="preserve"> REF HCGaOPIStart \h </w:instrText>
      </w:r>
      <w:r w:rsidR="00AF48B4" w:rsidRPr="00831573">
        <w:rPr>
          <w:lang w:val="en-GB"/>
        </w:rPr>
      </w:r>
      <w:r w:rsidR="00AF48B4" w:rsidRPr="00831573">
        <w:rPr>
          <w:lang w:val="en-GB"/>
        </w:rPr>
        <w:fldChar w:fldCharType="separate"/>
      </w:r>
      <w:r w:rsidR="00831573" w:rsidRPr="00831573">
        <w:rPr>
          <w:noProof/>
          <w:lang w:val="en-GB"/>
        </w:rPr>
        <w:t>32</w:t>
      </w:r>
      <w:r w:rsidR="00AF48B4" w:rsidRPr="00831573">
        <w:rPr>
          <w:lang w:val="en-GB"/>
        </w:rPr>
        <w:fldChar w:fldCharType="end"/>
      </w:r>
      <w:r w:rsidR="00AF48B4" w:rsidRPr="00831573">
        <w:rPr>
          <w:lang w:val="en-GB"/>
        </w:rPr>
        <w:t>-</w:t>
      </w:r>
      <w:r w:rsidR="00AF48B4" w:rsidRPr="00831573">
        <w:rPr>
          <w:lang w:val="en-GB"/>
        </w:rPr>
        <w:fldChar w:fldCharType="begin"/>
      </w:r>
      <w:r w:rsidR="00AF48B4" w:rsidRPr="00831573">
        <w:rPr>
          <w:lang w:val="en-GB"/>
        </w:rPr>
        <w:instrText xml:space="preserve"> REF HCGaOPIEnd \h </w:instrText>
      </w:r>
      <w:r w:rsidR="00AF48B4" w:rsidRPr="00831573">
        <w:rPr>
          <w:lang w:val="en-GB"/>
        </w:rPr>
      </w:r>
      <w:r w:rsidR="00AF48B4" w:rsidRPr="00831573">
        <w:rPr>
          <w:lang w:val="en-GB"/>
        </w:rPr>
        <w:fldChar w:fldCharType="separate"/>
      </w:r>
      <w:r w:rsidR="00831573" w:rsidRPr="00831573">
        <w:rPr>
          <w:noProof/>
          <w:lang w:val="en-GB"/>
        </w:rPr>
        <w:t>33</w:t>
      </w:r>
      <w:r w:rsidR="00AF48B4" w:rsidRPr="00831573">
        <w:rPr>
          <w:lang w:val="en-GB"/>
        </w:rPr>
        <w:fldChar w:fldCharType="end"/>
      </w:r>
      <w:r w:rsidR="00AF48B4" w:rsidRPr="00831573">
        <w:rPr>
          <w:lang w:val="en-GB"/>
        </w:rPr>
        <w:t xml:space="preserve"> above)</w:t>
      </w:r>
      <w:r w:rsidR="00AC4D64" w:rsidRPr="00831573">
        <w:rPr>
          <w:lang w:val="en-GB"/>
        </w:rPr>
        <w:t>,</w:t>
      </w:r>
      <w:r w:rsidRPr="00831573">
        <w:rPr>
          <w:lang w:val="en-GB"/>
        </w:rPr>
        <w:t xml:space="preserve"> </w:t>
      </w:r>
      <w:r w:rsidR="00F71465" w:rsidRPr="00831573">
        <w:rPr>
          <w:lang w:val="en-GB"/>
        </w:rPr>
        <w:t>and having regard to its case-law</w:t>
      </w:r>
      <w:r w:rsidRPr="00831573">
        <w:rPr>
          <w:lang w:val="en-GB"/>
        </w:rPr>
        <w:t xml:space="preserve"> and the matters set out above</w:t>
      </w:r>
      <w:r w:rsidR="00F71465" w:rsidRPr="00831573">
        <w:rPr>
          <w:lang w:val="en-GB"/>
        </w:rPr>
        <w:t xml:space="preserve">, the Court </w:t>
      </w:r>
      <w:r w:rsidR="00C700F4" w:rsidRPr="00831573">
        <w:rPr>
          <w:lang w:val="en-GB"/>
        </w:rPr>
        <w:t xml:space="preserve">concludes </w:t>
      </w:r>
      <w:r w:rsidR="00131220" w:rsidRPr="00831573">
        <w:rPr>
          <w:lang w:val="en-GB"/>
        </w:rPr>
        <w:t xml:space="preserve">that </w:t>
      </w:r>
      <w:r w:rsidR="004138F6" w:rsidRPr="00831573">
        <w:rPr>
          <w:lang w:val="en-GB"/>
        </w:rPr>
        <w:t xml:space="preserve">there was no gross </w:t>
      </w:r>
      <w:r w:rsidR="00C07220" w:rsidRPr="00831573">
        <w:rPr>
          <w:lang w:val="en-GB"/>
        </w:rPr>
        <w:t xml:space="preserve">and </w:t>
      </w:r>
      <w:r w:rsidR="004138F6" w:rsidRPr="00831573">
        <w:rPr>
          <w:lang w:val="en-GB"/>
        </w:rPr>
        <w:t>obvious irregularity in the present case</w:t>
      </w:r>
      <w:r w:rsidR="00073CE2" w:rsidRPr="00831573">
        <w:rPr>
          <w:lang w:val="en-GB"/>
        </w:rPr>
        <w:t>.</w:t>
      </w:r>
    </w:p>
    <w:p w:rsidR="002F2F46" w:rsidRPr="00831573" w:rsidRDefault="002F2F46" w:rsidP="00831573">
      <w:pPr>
        <w:pStyle w:val="ECHRHeading6"/>
        <w:rPr>
          <w:lang w:val="en-GB"/>
        </w:rPr>
      </w:pPr>
      <w:r w:rsidRPr="00831573">
        <w:rPr>
          <w:lang w:val="en-GB"/>
        </w:rPr>
        <w:t>(</w:t>
      </w:r>
      <w:r w:rsidR="00D24AE1" w:rsidRPr="00831573">
        <w:rPr>
          <w:rFonts w:cstheme="majorHAnsi"/>
          <w:lang w:val="en-GB"/>
        </w:rPr>
        <w:t>β</w:t>
      </w:r>
      <w:r w:rsidR="00874BD6" w:rsidRPr="00831573">
        <w:rPr>
          <w:lang w:val="en-GB"/>
        </w:rPr>
        <w:t>)  </w:t>
      </w:r>
      <w:r w:rsidR="00325B43" w:rsidRPr="00831573">
        <w:rPr>
          <w:lang w:val="en-GB"/>
        </w:rPr>
        <w:t>A</w:t>
      </w:r>
      <w:r w:rsidRPr="00831573">
        <w:rPr>
          <w:lang w:val="en-GB"/>
        </w:rPr>
        <w:t>rbitrariness</w:t>
      </w:r>
      <w:r w:rsidR="00325B43" w:rsidRPr="00831573">
        <w:rPr>
          <w:lang w:val="en-GB"/>
        </w:rPr>
        <w:t xml:space="preserve"> and flagrant denial of justice</w:t>
      </w:r>
    </w:p>
    <w:p w:rsidR="00262CCB"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118</w:t>
      </w:r>
      <w:r w:rsidRPr="00831573">
        <w:rPr>
          <w:lang w:val="en-GB"/>
        </w:rPr>
        <w:fldChar w:fldCharType="end"/>
      </w:r>
      <w:r w:rsidR="00072006" w:rsidRPr="00831573">
        <w:rPr>
          <w:lang w:val="en-GB"/>
        </w:rPr>
        <w:t>.  </w:t>
      </w:r>
      <w:r w:rsidR="00AF555F" w:rsidRPr="00831573">
        <w:rPr>
          <w:lang w:val="en-GB"/>
        </w:rPr>
        <w:t>T</w:t>
      </w:r>
      <w:r w:rsidR="000F49BF" w:rsidRPr="00831573">
        <w:rPr>
          <w:lang w:val="en-GB"/>
        </w:rPr>
        <w:t xml:space="preserve">he Court </w:t>
      </w:r>
      <w:r w:rsidR="00DC4078" w:rsidRPr="00831573">
        <w:rPr>
          <w:lang w:val="en-GB"/>
        </w:rPr>
        <w:t xml:space="preserve">considers that </w:t>
      </w:r>
      <w:r w:rsidR="00262CCB" w:rsidRPr="00831573">
        <w:rPr>
          <w:lang w:val="en-GB"/>
        </w:rPr>
        <w:t>the question whether the applicant</w:t>
      </w:r>
      <w:r w:rsidR="00831573" w:rsidRPr="00831573">
        <w:rPr>
          <w:lang w:val="en-GB"/>
        </w:rPr>
        <w:t>’</w:t>
      </w:r>
      <w:r w:rsidR="00262CCB" w:rsidRPr="00831573">
        <w:rPr>
          <w:lang w:val="en-GB"/>
        </w:rPr>
        <w:t xml:space="preserve">s detention was arbitrary includes </w:t>
      </w:r>
      <w:r w:rsidR="00DC4078" w:rsidRPr="00831573">
        <w:rPr>
          <w:lang w:val="en-GB"/>
        </w:rPr>
        <w:t xml:space="preserve">the </w:t>
      </w:r>
      <w:r w:rsidR="00262CCB" w:rsidRPr="00831573">
        <w:rPr>
          <w:lang w:val="en-GB"/>
        </w:rPr>
        <w:t>issue</w:t>
      </w:r>
      <w:r w:rsidR="00DC4078" w:rsidRPr="00831573">
        <w:rPr>
          <w:lang w:val="en-GB"/>
        </w:rPr>
        <w:t xml:space="preserve"> whether the committal hearing </w:t>
      </w:r>
      <w:r w:rsidR="00262CCB" w:rsidRPr="00831573">
        <w:rPr>
          <w:lang w:val="en-GB"/>
        </w:rPr>
        <w:t>amounted to a flagrant denial of justice</w:t>
      </w:r>
      <w:r w:rsidR="00AE049D" w:rsidRPr="00831573">
        <w:rPr>
          <w:lang w:val="en-GB"/>
        </w:rPr>
        <w:t xml:space="preserve"> (see </w:t>
      </w:r>
      <w:r w:rsidR="00931042" w:rsidRPr="00831573">
        <w:rPr>
          <w:i/>
          <w:lang w:val="en-GB"/>
        </w:rPr>
        <w:t>Ilaşcu and Others</w:t>
      </w:r>
      <w:r w:rsidR="00931042" w:rsidRPr="00831573">
        <w:rPr>
          <w:lang w:val="en-GB"/>
        </w:rPr>
        <w:t>, cited above,</w:t>
      </w:r>
      <w:r w:rsidR="00702B89" w:rsidRPr="00831573">
        <w:rPr>
          <w:lang w:val="en-GB"/>
        </w:rPr>
        <w:t xml:space="preserve"> </w:t>
      </w:r>
      <w:r w:rsidR="00931042" w:rsidRPr="00831573">
        <w:rPr>
          <w:rFonts w:cstheme="minorHAnsi"/>
          <w:lang w:val="en-GB"/>
        </w:rPr>
        <w:t>§ 461)</w:t>
      </w:r>
      <w:r w:rsidR="00AF555F" w:rsidRPr="00831573">
        <w:rPr>
          <w:lang w:val="en-GB"/>
        </w:rPr>
        <w:t>.</w:t>
      </w:r>
    </w:p>
    <w:p w:rsidR="005A191A" w:rsidRPr="00831573" w:rsidRDefault="005A191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119</w:t>
      </w:r>
      <w:r w:rsidRPr="00831573">
        <w:rPr>
          <w:lang w:val="en-GB"/>
        </w:rPr>
        <w:fldChar w:fldCharType="end"/>
      </w:r>
      <w:r w:rsidR="00072006" w:rsidRPr="00831573">
        <w:rPr>
          <w:lang w:val="en-GB"/>
        </w:rPr>
        <w:t>.  </w:t>
      </w:r>
      <w:r w:rsidR="00EA290F" w:rsidRPr="00831573">
        <w:rPr>
          <w:lang w:val="en-GB"/>
        </w:rPr>
        <w:t xml:space="preserve">While </w:t>
      </w:r>
      <w:r w:rsidR="00AE049D" w:rsidRPr="00831573">
        <w:rPr>
          <w:lang w:val="en-GB"/>
        </w:rPr>
        <w:t xml:space="preserve">the </w:t>
      </w:r>
      <w:r w:rsidR="00AF48B4" w:rsidRPr="00831573">
        <w:rPr>
          <w:lang w:val="en-GB"/>
        </w:rPr>
        <w:t xml:space="preserve">Court of Appeal </w:t>
      </w:r>
      <w:r w:rsidR="00EA290F" w:rsidRPr="00831573">
        <w:rPr>
          <w:lang w:val="en-GB"/>
        </w:rPr>
        <w:t xml:space="preserve">rightly </w:t>
      </w:r>
      <w:r w:rsidR="00AF48B4" w:rsidRPr="00831573">
        <w:rPr>
          <w:lang w:val="en-GB"/>
        </w:rPr>
        <w:t xml:space="preserve">accepted that the </w:t>
      </w:r>
      <w:r w:rsidR="00AE049D" w:rsidRPr="00831573">
        <w:rPr>
          <w:lang w:val="en-GB"/>
        </w:rPr>
        <w:t xml:space="preserve">failure to ensure that the applicant </w:t>
      </w:r>
      <w:r w:rsidR="00AF48B4" w:rsidRPr="00831573">
        <w:rPr>
          <w:lang w:val="en-GB"/>
        </w:rPr>
        <w:t>had access to a lawyer</w:t>
      </w:r>
      <w:r w:rsidR="00AE049D" w:rsidRPr="00831573">
        <w:rPr>
          <w:lang w:val="en-GB"/>
        </w:rPr>
        <w:t xml:space="preserve"> </w:t>
      </w:r>
      <w:r w:rsidR="00AF48B4" w:rsidRPr="00831573">
        <w:rPr>
          <w:lang w:val="en-GB"/>
        </w:rPr>
        <w:t>was a violation of Article 6</w:t>
      </w:r>
      <w:r w:rsidR="00AE049D" w:rsidRPr="00831573">
        <w:rPr>
          <w:lang w:val="en-GB"/>
        </w:rPr>
        <w:t xml:space="preserve">, the Court does not consider that </w:t>
      </w:r>
      <w:r w:rsidR="00AF48B4" w:rsidRPr="00831573">
        <w:rPr>
          <w:lang w:val="en-GB"/>
        </w:rPr>
        <w:t xml:space="preserve">such a violation </w:t>
      </w:r>
      <w:r w:rsidR="00AE049D" w:rsidRPr="00831573">
        <w:rPr>
          <w:lang w:val="en-GB"/>
        </w:rPr>
        <w:t xml:space="preserve">is comparable </w:t>
      </w:r>
      <w:r w:rsidR="00931042" w:rsidRPr="00831573">
        <w:rPr>
          <w:lang w:val="en-GB"/>
        </w:rPr>
        <w:t xml:space="preserve">to </w:t>
      </w:r>
      <w:r w:rsidR="00AF48B4" w:rsidRPr="00831573">
        <w:rPr>
          <w:lang w:val="en-GB"/>
        </w:rPr>
        <w:t xml:space="preserve">any of the </w:t>
      </w:r>
      <w:r w:rsidR="00931042" w:rsidRPr="00831573">
        <w:rPr>
          <w:lang w:val="en-GB"/>
        </w:rPr>
        <w:t xml:space="preserve">situations </w:t>
      </w:r>
      <w:r w:rsidR="00AF48B4" w:rsidRPr="00831573">
        <w:rPr>
          <w:lang w:val="en-GB"/>
        </w:rPr>
        <w:t>listed</w:t>
      </w:r>
      <w:r w:rsidR="00931042" w:rsidRPr="00831573">
        <w:rPr>
          <w:lang w:val="en-GB"/>
        </w:rPr>
        <w:t xml:space="preserve"> at </w:t>
      </w:r>
      <w:r w:rsidR="00931042" w:rsidRPr="00831573">
        <w:rPr>
          <w:i/>
          <w:lang w:val="en-GB"/>
        </w:rPr>
        <w:t>Tsonyo Tsonev</w:t>
      </w:r>
      <w:r w:rsidR="00931042" w:rsidRPr="00831573">
        <w:rPr>
          <w:lang w:val="en-GB"/>
        </w:rPr>
        <w:t xml:space="preserve">, cited above, </w:t>
      </w:r>
      <w:r w:rsidR="00DE25E3" w:rsidRPr="00831573">
        <w:rPr>
          <w:rFonts w:cstheme="minorHAnsi"/>
          <w:lang w:val="en-GB"/>
        </w:rPr>
        <w:t>§ 59</w:t>
      </w:r>
      <w:r w:rsidR="00AE049D" w:rsidRPr="00831573">
        <w:rPr>
          <w:lang w:val="en-GB"/>
        </w:rPr>
        <w:t>.</w:t>
      </w:r>
      <w:r w:rsidR="00DE25E3" w:rsidRPr="00831573">
        <w:rPr>
          <w:lang w:val="en-GB"/>
        </w:rPr>
        <w:t xml:space="preserve"> To find otherwise would come close to removing the distinction between a violation of Article</w:t>
      </w:r>
      <w:r w:rsidR="00D24AE1" w:rsidRPr="00831573">
        <w:rPr>
          <w:lang w:val="en-GB"/>
        </w:rPr>
        <w:t> </w:t>
      </w:r>
      <w:r w:rsidR="00DE25E3" w:rsidRPr="00831573">
        <w:rPr>
          <w:lang w:val="en-GB"/>
        </w:rPr>
        <w:t>6 and a flagrant denial of justice</w:t>
      </w:r>
      <w:r w:rsidR="00AF48B4" w:rsidRPr="00831573">
        <w:rPr>
          <w:lang w:val="en-GB"/>
        </w:rPr>
        <w:t xml:space="preserve">, if </w:t>
      </w:r>
      <w:r w:rsidR="00131220" w:rsidRPr="00831573">
        <w:rPr>
          <w:lang w:val="en-GB"/>
        </w:rPr>
        <w:t xml:space="preserve">it did </w:t>
      </w:r>
      <w:r w:rsidR="00AF48B4" w:rsidRPr="00831573">
        <w:rPr>
          <w:lang w:val="en-GB"/>
        </w:rPr>
        <w:t>not actually do</w:t>
      </w:r>
      <w:r w:rsidR="00131220" w:rsidRPr="00831573">
        <w:rPr>
          <w:lang w:val="en-GB"/>
        </w:rPr>
        <w:t xml:space="preserve"> </w:t>
      </w:r>
      <w:r w:rsidR="00AF48B4" w:rsidRPr="00831573">
        <w:rPr>
          <w:lang w:val="en-GB"/>
        </w:rPr>
        <w:t>so</w:t>
      </w:r>
      <w:r w:rsidR="00DE25E3" w:rsidRPr="00831573">
        <w:rPr>
          <w:lang w:val="en-GB"/>
        </w:rPr>
        <w:t>.</w:t>
      </w:r>
      <w:r w:rsidR="00AE049D" w:rsidRPr="00831573">
        <w:rPr>
          <w:lang w:val="en-GB"/>
        </w:rPr>
        <w:t xml:space="preserve"> </w:t>
      </w:r>
      <w:r w:rsidR="00931042" w:rsidRPr="00831573">
        <w:rPr>
          <w:lang w:val="en-GB"/>
        </w:rPr>
        <w:t xml:space="preserve">The Court also observes that the applicant in </w:t>
      </w:r>
      <w:r w:rsidR="00931042" w:rsidRPr="00831573">
        <w:rPr>
          <w:i/>
          <w:lang w:val="en-GB"/>
        </w:rPr>
        <w:t>Tsonyo Tsonev</w:t>
      </w:r>
      <w:r w:rsidR="00931042" w:rsidRPr="00831573">
        <w:rPr>
          <w:lang w:val="en-GB"/>
        </w:rPr>
        <w:t xml:space="preserve"> complained about a lack of representation and that, although the Court found that there had been a violation of Article 6, it did not accept </w:t>
      </w:r>
      <w:r w:rsidR="00AF48B4" w:rsidRPr="00831573">
        <w:rPr>
          <w:lang w:val="en-GB"/>
        </w:rPr>
        <w:t>that there had been</w:t>
      </w:r>
      <w:r w:rsidR="00931042" w:rsidRPr="00831573">
        <w:rPr>
          <w:lang w:val="en-GB"/>
        </w:rPr>
        <w:t xml:space="preserve"> a flagrant denial of justice. </w:t>
      </w:r>
      <w:r w:rsidR="00AE049D" w:rsidRPr="00831573">
        <w:rPr>
          <w:lang w:val="en-GB"/>
        </w:rPr>
        <w:t xml:space="preserve">It cannot therefore be said that the violation of Article 6 in the </w:t>
      </w:r>
      <w:r w:rsidR="00DE25E3" w:rsidRPr="00831573">
        <w:rPr>
          <w:lang w:val="en-GB"/>
        </w:rPr>
        <w:t>present</w:t>
      </w:r>
      <w:r w:rsidR="00AE049D" w:rsidRPr="00831573">
        <w:rPr>
          <w:lang w:val="en-GB"/>
        </w:rPr>
        <w:t xml:space="preserve"> case went beyond a mere irregularity or lack of safeguards in the trial process and amounted to </w:t>
      </w:r>
      <w:r w:rsidR="00931042" w:rsidRPr="00831573">
        <w:rPr>
          <w:lang w:val="en-GB"/>
        </w:rPr>
        <w:t>“a nullification, or destruction of the very essence, of the right guaranteed by that Article”</w:t>
      </w:r>
      <w:r w:rsidR="00EA290F" w:rsidRPr="00831573">
        <w:rPr>
          <w:lang w:val="en-GB"/>
        </w:rPr>
        <w:t xml:space="preserve"> (see paragraph </w:t>
      </w:r>
      <w:r w:rsidR="00EA290F" w:rsidRPr="00831573">
        <w:rPr>
          <w:lang w:val="en-GB"/>
        </w:rPr>
        <w:fldChar w:fldCharType="begin"/>
      </w:r>
      <w:r w:rsidR="00EA290F" w:rsidRPr="00831573">
        <w:rPr>
          <w:lang w:val="en-GB"/>
        </w:rPr>
        <w:instrText xml:space="preserve"> REF FlagrantDoJEnd \h </w:instrText>
      </w:r>
      <w:r w:rsidR="00EA290F" w:rsidRPr="00831573">
        <w:rPr>
          <w:lang w:val="en-GB"/>
        </w:rPr>
      </w:r>
      <w:r w:rsidR="00EA290F" w:rsidRPr="00831573">
        <w:rPr>
          <w:lang w:val="en-GB"/>
        </w:rPr>
        <w:fldChar w:fldCharType="separate"/>
      </w:r>
      <w:r w:rsidR="00831573" w:rsidRPr="00831573">
        <w:rPr>
          <w:noProof/>
          <w:lang w:val="en-GB"/>
        </w:rPr>
        <w:t>99</w:t>
      </w:r>
      <w:r w:rsidR="00EA290F" w:rsidRPr="00831573">
        <w:rPr>
          <w:lang w:val="en-GB"/>
        </w:rPr>
        <w:fldChar w:fldCharType="end"/>
      </w:r>
      <w:r w:rsidR="00EA290F" w:rsidRPr="00831573">
        <w:rPr>
          <w:lang w:val="en-GB"/>
        </w:rPr>
        <w:t xml:space="preserve"> above)</w:t>
      </w:r>
      <w:r w:rsidR="00931042" w:rsidRPr="00831573">
        <w:rPr>
          <w:lang w:val="en-GB"/>
        </w:rPr>
        <w:t xml:space="preserve">. Accordingly, the Court finds that </w:t>
      </w:r>
      <w:r w:rsidR="00DE25E3" w:rsidRPr="00831573">
        <w:rPr>
          <w:lang w:val="en-GB"/>
        </w:rPr>
        <w:t>the violation of Article 6 in the present case did not amount to a</w:t>
      </w:r>
      <w:r w:rsidR="00931042" w:rsidRPr="00831573">
        <w:rPr>
          <w:lang w:val="en-GB"/>
        </w:rPr>
        <w:t xml:space="preserve"> flagrant denial of justice.</w:t>
      </w:r>
    </w:p>
    <w:p w:rsidR="0058128C" w:rsidRPr="00831573" w:rsidRDefault="003266F1"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120</w:t>
      </w:r>
      <w:r w:rsidRPr="00831573">
        <w:rPr>
          <w:lang w:val="en-GB"/>
        </w:rPr>
        <w:fldChar w:fldCharType="end"/>
      </w:r>
      <w:r w:rsidR="00073CE2" w:rsidRPr="00831573">
        <w:rPr>
          <w:lang w:val="en-GB"/>
        </w:rPr>
        <w:t>.</w:t>
      </w:r>
      <w:r w:rsidR="00072006" w:rsidRPr="00831573">
        <w:rPr>
          <w:lang w:val="en-GB"/>
        </w:rPr>
        <w:t>  </w:t>
      </w:r>
      <w:r w:rsidR="00DE3763" w:rsidRPr="00831573">
        <w:rPr>
          <w:lang w:val="en-GB"/>
        </w:rPr>
        <w:t xml:space="preserve">The Court </w:t>
      </w:r>
      <w:r w:rsidR="00EA290F" w:rsidRPr="00831573">
        <w:rPr>
          <w:lang w:val="en-GB"/>
        </w:rPr>
        <w:t xml:space="preserve">is satisfied </w:t>
      </w:r>
      <w:r w:rsidR="00DE3763" w:rsidRPr="00831573">
        <w:rPr>
          <w:lang w:val="en-GB"/>
        </w:rPr>
        <w:t>that the applicant</w:t>
      </w:r>
      <w:r w:rsidR="00831573" w:rsidRPr="00831573">
        <w:rPr>
          <w:lang w:val="en-GB"/>
        </w:rPr>
        <w:t>’</w:t>
      </w:r>
      <w:r w:rsidR="00DE3763" w:rsidRPr="00831573">
        <w:rPr>
          <w:lang w:val="en-GB"/>
        </w:rPr>
        <w:t xml:space="preserve">s </w:t>
      </w:r>
      <w:r w:rsidRPr="00831573">
        <w:rPr>
          <w:lang w:val="en-GB"/>
        </w:rPr>
        <w:t xml:space="preserve">committal </w:t>
      </w:r>
      <w:r w:rsidR="00DE3763" w:rsidRPr="00831573">
        <w:rPr>
          <w:lang w:val="en-GB"/>
        </w:rPr>
        <w:t xml:space="preserve">to prison </w:t>
      </w:r>
      <w:r w:rsidRPr="00831573">
        <w:rPr>
          <w:lang w:val="en-GB"/>
        </w:rPr>
        <w:t xml:space="preserve">was </w:t>
      </w:r>
      <w:r w:rsidR="00DE3763" w:rsidRPr="00831573">
        <w:rPr>
          <w:lang w:val="en-GB"/>
        </w:rPr>
        <w:t xml:space="preserve">not </w:t>
      </w:r>
      <w:r w:rsidRPr="00831573">
        <w:rPr>
          <w:lang w:val="en-GB"/>
        </w:rPr>
        <w:t>rendered arbitrary for any other reason</w:t>
      </w:r>
      <w:r w:rsidR="00DE3763" w:rsidRPr="00831573">
        <w:rPr>
          <w:lang w:val="en-GB"/>
        </w:rPr>
        <w:t xml:space="preserve">. </w:t>
      </w:r>
      <w:r w:rsidR="000F49BF" w:rsidRPr="00831573">
        <w:rPr>
          <w:lang w:val="en-GB"/>
        </w:rPr>
        <w:t xml:space="preserve">It follows that </w:t>
      </w:r>
      <w:r w:rsidR="00DE25E3" w:rsidRPr="00831573">
        <w:rPr>
          <w:lang w:val="en-GB"/>
        </w:rPr>
        <w:t>the applicant</w:t>
      </w:r>
      <w:r w:rsidR="00831573" w:rsidRPr="00831573">
        <w:rPr>
          <w:lang w:val="en-GB"/>
        </w:rPr>
        <w:t>’</w:t>
      </w:r>
      <w:r w:rsidR="00DE25E3" w:rsidRPr="00831573">
        <w:rPr>
          <w:lang w:val="en-GB"/>
        </w:rPr>
        <w:t>s detention was justified under</w:t>
      </w:r>
      <w:r w:rsidR="000F49BF" w:rsidRPr="00831573">
        <w:rPr>
          <w:lang w:val="en-GB"/>
        </w:rPr>
        <w:t xml:space="preserve"> Article</w:t>
      </w:r>
      <w:r w:rsidR="00DE25E3" w:rsidRPr="00831573">
        <w:rPr>
          <w:lang w:val="en-GB"/>
        </w:rPr>
        <w:t> </w:t>
      </w:r>
      <w:r w:rsidR="000F49BF" w:rsidRPr="00831573">
        <w:rPr>
          <w:lang w:val="en-GB"/>
        </w:rPr>
        <w:t>5</w:t>
      </w:r>
      <w:r w:rsidR="009357B2" w:rsidRPr="00831573">
        <w:rPr>
          <w:lang w:val="en-GB"/>
        </w:rPr>
        <w:t xml:space="preserve"> </w:t>
      </w:r>
      <w:r w:rsidR="000F49BF" w:rsidRPr="00831573">
        <w:rPr>
          <w:rFonts w:cstheme="minorHAnsi"/>
          <w:lang w:val="en-GB"/>
        </w:rPr>
        <w:t>§</w:t>
      </w:r>
      <w:r w:rsidR="00DE25E3" w:rsidRPr="00831573">
        <w:rPr>
          <w:lang w:val="en-GB"/>
        </w:rPr>
        <w:t> </w:t>
      </w:r>
      <w:r w:rsidR="000F49BF" w:rsidRPr="00831573">
        <w:rPr>
          <w:lang w:val="en-GB"/>
        </w:rPr>
        <w:t>1</w:t>
      </w:r>
      <w:r w:rsidR="00DE25E3" w:rsidRPr="00831573">
        <w:rPr>
          <w:lang w:val="en-GB"/>
        </w:rPr>
        <w:t> (a)</w:t>
      </w:r>
      <w:r w:rsidR="000F49BF" w:rsidRPr="00831573">
        <w:rPr>
          <w:lang w:val="en-GB"/>
        </w:rPr>
        <w:t xml:space="preserve"> of the Convention.</w:t>
      </w:r>
      <w:r w:rsidR="00DE25E3" w:rsidRPr="00831573">
        <w:rPr>
          <w:lang w:val="en-GB"/>
        </w:rPr>
        <w:t xml:space="preserve"> Owing to the Court</w:t>
      </w:r>
      <w:r w:rsidR="00831573" w:rsidRPr="00831573">
        <w:rPr>
          <w:lang w:val="en-GB"/>
        </w:rPr>
        <w:t>’</w:t>
      </w:r>
      <w:r w:rsidR="00DE25E3" w:rsidRPr="00831573">
        <w:rPr>
          <w:lang w:val="en-GB"/>
        </w:rPr>
        <w:t>s decision in respect of Article 5</w:t>
      </w:r>
      <w:r w:rsidR="009357B2" w:rsidRPr="00831573">
        <w:rPr>
          <w:lang w:val="en-GB"/>
        </w:rPr>
        <w:t xml:space="preserve"> </w:t>
      </w:r>
      <w:r w:rsidR="00DE25E3" w:rsidRPr="00831573">
        <w:rPr>
          <w:rFonts w:cstheme="minorHAnsi"/>
          <w:lang w:val="en-GB"/>
        </w:rPr>
        <w:t>§ </w:t>
      </w:r>
      <w:r w:rsidR="00DE25E3" w:rsidRPr="00831573">
        <w:rPr>
          <w:lang w:val="en-GB"/>
        </w:rPr>
        <w:t>1 (a), set out above, it is not necessary to examine the Government</w:t>
      </w:r>
      <w:r w:rsidR="00831573" w:rsidRPr="00831573">
        <w:rPr>
          <w:lang w:val="en-GB"/>
        </w:rPr>
        <w:t>’</w:t>
      </w:r>
      <w:r w:rsidR="00DE25E3" w:rsidRPr="00831573">
        <w:rPr>
          <w:lang w:val="en-GB"/>
        </w:rPr>
        <w:t>s arguments relating to Article</w:t>
      </w:r>
      <w:r w:rsidR="00737AB2" w:rsidRPr="00831573">
        <w:rPr>
          <w:lang w:val="en-GB"/>
        </w:rPr>
        <w:t> </w:t>
      </w:r>
      <w:r w:rsidR="00DE25E3" w:rsidRPr="00831573">
        <w:rPr>
          <w:lang w:val="en-GB"/>
        </w:rPr>
        <w:t>5</w:t>
      </w:r>
      <w:r w:rsidR="009357B2" w:rsidRPr="00831573">
        <w:rPr>
          <w:lang w:val="en-GB"/>
        </w:rPr>
        <w:t xml:space="preserve"> </w:t>
      </w:r>
      <w:r w:rsidR="00DE25E3" w:rsidRPr="00831573">
        <w:rPr>
          <w:rFonts w:cstheme="minorHAnsi"/>
          <w:lang w:val="en-GB"/>
        </w:rPr>
        <w:t>§ </w:t>
      </w:r>
      <w:r w:rsidR="00DE25E3" w:rsidRPr="00831573">
        <w:rPr>
          <w:lang w:val="en-GB"/>
        </w:rPr>
        <w:t>1 (b).</w:t>
      </w:r>
    </w:p>
    <w:p w:rsidR="00DE25E3" w:rsidRPr="00831573" w:rsidRDefault="0058128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121</w:t>
      </w:r>
      <w:r w:rsidRPr="00831573">
        <w:rPr>
          <w:lang w:val="en-GB"/>
        </w:rPr>
        <w:fldChar w:fldCharType="end"/>
      </w:r>
      <w:r w:rsidRPr="00831573">
        <w:rPr>
          <w:lang w:val="en-GB"/>
        </w:rPr>
        <w:t>.  There has therefore been no violation of Article 5</w:t>
      </w:r>
      <w:r w:rsidR="009357B2" w:rsidRPr="00831573">
        <w:rPr>
          <w:lang w:val="en-GB"/>
        </w:rPr>
        <w:t xml:space="preserve"> </w:t>
      </w:r>
      <w:r w:rsidRPr="00831573">
        <w:rPr>
          <w:rFonts w:cstheme="minorHAnsi"/>
          <w:lang w:val="en-GB"/>
        </w:rPr>
        <w:t>§</w:t>
      </w:r>
      <w:r w:rsidRPr="00831573">
        <w:rPr>
          <w:lang w:val="en-GB"/>
        </w:rPr>
        <w:t> 1.</w:t>
      </w:r>
    </w:p>
    <w:p w:rsidR="000F49BF" w:rsidRPr="00831573" w:rsidRDefault="000F49BF" w:rsidP="00831573">
      <w:pPr>
        <w:pStyle w:val="ECHRHeading1"/>
        <w:rPr>
          <w:lang w:val="en-GB"/>
        </w:rPr>
      </w:pPr>
      <w:r w:rsidRPr="00831573">
        <w:rPr>
          <w:lang w:val="en-GB"/>
        </w:rPr>
        <w:t>II.  ALLEGED VIOLATION OF ARTICLE 6 OF THE CONVENTION</w:t>
      </w:r>
    </w:p>
    <w:bookmarkStart w:id="44" w:name="A6Start"/>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122</w:t>
      </w:r>
      <w:r w:rsidRPr="00831573">
        <w:rPr>
          <w:lang w:val="en-GB"/>
        </w:rPr>
        <w:fldChar w:fldCharType="end"/>
      </w:r>
      <w:bookmarkEnd w:id="44"/>
      <w:r w:rsidR="000F49BF" w:rsidRPr="00831573">
        <w:rPr>
          <w:lang w:val="en-GB"/>
        </w:rPr>
        <w:t xml:space="preserve">.  The applicant </w:t>
      </w:r>
      <w:r w:rsidR="0007267E" w:rsidRPr="00831573">
        <w:rPr>
          <w:lang w:val="en-GB"/>
        </w:rPr>
        <w:t xml:space="preserve">submitted </w:t>
      </w:r>
      <w:r w:rsidR="00994243" w:rsidRPr="00831573">
        <w:rPr>
          <w:lang w:val="en-GB"/>
        </w:rPr>
        <w:t>that he should have received damages for the violation of</w:t>
      </w:r>
      <w:r w:rsidR="006F617F" w:rsidRPr="00831573">
        <w:rPr>
          <w:lang w:val="en-GB"/>
        </w:rPr>
        <w:t xml:space="preserve"> Article </w:t>
      </w:r>
      <w:r w:rsidR="000F49BF" w:rsidRPr="00831573">
        <w:rPr>
          <w:lang w:val="en-GB"/>
        </w:rPr>
        <w:t>6</w:t>
      </w:r>
      <w:r w:rsidR="006F617F" w:rsidRPr="00831573">
        <w:rPr>
          <w:lang w:val="en-GB"/>
        </w:rPr>
        <w:t xml:space="preserve"> </w:t>
      </w:r>
      <w:r w:rsidR="00894DCA" w:rsidRPr="00831573">
        <w:rPr>
          <w:lang w:val="en-GB"/>
        </w:rPr>
        <w:t xml:space="preserve">§§ 1 and 3 (c) </w:t>
      </w:r>
      <w:r w:rsidR="00994243" w:rsidRPr="00831573">
        <w:rPr>
          <w:lang w:val="en-GB"/>
        </w:rPr>
        <w:t xml:space="preserve">which </w:t>
      </w:r>
      <w:r w:rsidR="00E01E43" w:rsidRPr="00831573">
        <w:rPr>
          <w:lang w:val="en-GB"/>
        </w:rPr>
        <w:t xml:space="preserve">had </w:t>
      </w:r>
      <w:r w:rsidR="005819E2" w:rsidRPr="00831573">
        <w:rPr>
          <w:lang w:val="en-GB"/>
        </w:rPr>
        <w:t>occurred</w:t>
      </w:r>
      <w:r w:rsidR="00994243" w:rsidRPr="00831573">
        <w:rPr>
          <w:lang w:val="en-GB"/>
        </w:rPr>
        <w:t xml:space="preserve"> </w:t>
      </w:r>
      <w:r w:rsidR="00E01E43" w:rsidRPr="00831573">
        <w:rPr>
          <w:lang w:val="en-GB"/>
        </w:rPr>
        <w:t>as a result of his not having been</w:t>
      </w:r>
      <w:r w:rsidR="00994243" w:rsidRPr="00831573">
        <w:rPr>
          <w:lang w:val="en-GB"/>
        </w:rPr>
        <w:t xml:space="preserve"> represented</w:t>
      </w:r>
      <w:r w:rsidR="000F49BF" w:rsidRPr="00831573">
        <w:rPr>
          <w:lang w:val="en-GB"/>
        </w:rPr>
        <w:t xml:space="preserve"> during the hearing </w:t>
      </w:r>
      <w:r w:rsidR="003616A1" w:rsidRPr="00831573">
        <w:rPr>
          <w:lang w:val="en-GB"/>
        </w:rPr>
        <w:t>in</w:t>
      </w:r>
      <w:r w:rsidR="002D3073" w:rsidRPr="00831573">
        <w:rPr>
          <w:lang w:val="en-GB"/>
        </w:rPr>
        <w:t xml:space="preserve"> the County Court </w:t>
      </w:r>
      <w:r w:rsidR="000F49BF" w:rsidRPr="00831573">
        <w:rPr>
          <w:lang w:val="en-GB"/>
        </w:rPr>
        <w:t xml:space="preserve">in July 2005. He also </w:t>
      </w:r>
      <w:r w:rsidR="0007267E" w:rsidRPr="00831573">
        <w:rPr>
          <w:lang w:val="en-GB"/>
        </w:rPr>
        <w:t xml:space="preserve">argued </w:t>
      </w:r>
      <w:r w:rsidR="000F49BF" w:rsidRPr="00831573">
        <w:rPr>
          <w:lang w:val="en-GB"/>
        </w:rPr>
        <w:t xml:space="preserve">that owing to the existence of section 9(3) of the </w:t>
      </w:r>
      <w:r w:rsidR="00E01E43" w:rsidRPr="00831573">
        <w:rPr>
          <w:lang w:val="en-GB"/>
        </w:rPr>
        <w:t xml:space="preserve">Human Rights </w:t>
      </w:r>
      <w:r w:rsidR="000F49BF" w:rsidRPr="00831573">
        <w:rPr>
          <w:lang w:val="en-GB"/>
        </w:rPr>
        <w:t xml:space="preserve">Act </w:t>
      </w:r>
      <w:r w:rsidR="005819E2" w:rsidRPr="00831573">
        <w:rPr>
          <w:lang w:val="en-GB"/>
        </w:rPr>
        <w:t>(</w:t>
      </w:r>
      <w:r w:rsidR="003F3B72" w:rsidRPr="00831573">
        <w:rPr>
          <w:lang w:val="en-GB"/>
        </w:rPr>
        <w:t xml:space="preserve">which precludes damages in respect of a judicial act done in good faith, with the exception of damages required by Article 5 </w:t>
      </w:r>
      <w:r w:rsidR="003F3B72" w:rsidRPr="00831573">
        <w:rPr>
          <w:rFonts w:cstheme="minorHAnsi"/>
          <w:lang w:val="en-GB"/>
        </w:rPr>
        <w:t>§</w:t>
      </w:r>
      <w:r w:rsidR="003F3B72" w:rsidRPr="00831573">
        <w:rPr>
          <w:lang w:val="en-GB"/>
        </w:rPr>
        <w:t xml:space="preserve"> 5 of the Convention - </w:t>
      </w:r>
      <w:r w:rsidR="005819E2" w:rsidRPr="00831573">
        <w:rPr>
          <w:lang w:val="en-GB"/>
        </w:rPr>
        <w:t>see paragraph</w:t>
      </w:r>
      <w:r w:rsidR="00966094" w:rsidRPr="00831573">
        <w:rPr>
          <w:lang w:val="en-GB"/>
        </w:rPr>
        <w:t> </w:t>
      </w:r>
      <w:r w:rsidR="00DE3763" w:rsidRPr="00831573">
        <w:rPr>
          <w:lang w:val="en-GB"/>
        </w:rPr>
        <w:fldChar w:fldCharType="begin"/>
      </w:r>
      <w:r w:rsidR="00DE3763" w:rsidRPr="00831573">
        <w:rPr>
          <w:lang w:val="en-GB"/>
        </w:rPr>
        <w:instrText xml:space="preserve"> REF HRA9sub3 \h </w:instrText>
      </w:r>
      <w:r w:rsidR="00DE3763" w:rsidRPr="00831573">
        <w:rPr>
          <w:lang w:val="en-GB"/>
        </w:rPr>
      </w:r>
      <w:r w:rsidR="00DE3763" w:rsidRPr="00831573">
        <w:rPr>
          <w:lang w:val="en-GB"/>
        </w:rPr>
        <w:fldChar w:fldCharType="separate"/>
      </w:r>
      <w:r w:rsidR="00831573" w:rsidRPr="00831573">
        <w:rPr>
          <w:noProof/>
          <w:lang w:val="en-GB"/>
        </w:rPr>
        <w:t>55</w:t>
      </w:r>
      <w:r w:rsidR="00DE3763" w:rsidRPr="00831573">
        <w:rPr>
          <w:lang w:val="en-GB"/>
        </w:rPr>
        <w:fldChar w:fldCharType="end"/>
      </w:r>
      <w:r w:rsidR="005819E2" w:rsidRPr="00831573">
        <w:rPr>
          <w:lang w:val="en-GB"/>
        </w:rPr>
        <w:t xml:space="preserve"> above) </w:t>
      </w:r>
      <w:r w:rsidR="000F49BF" w:rsidRPr="00831573">
        <w:rPr>
          <w:lang w:val="en-GB"/>
        </w:rPr>
        <w:t>the state of domestic law violate</w:t>
      </w:r>
      <w:r w:rsidR="00C13D41" w:rsidRPr="00831573">
        <w:rPr>
          <w:lang w:val="en-GB"/>
        </w:rPr>
        <w:t>d</w:t>
      </w:r>
      <w:r w:rsidR="000F49BF" w:rsidRPr="00831573">
        <w:rPr>
          <w:lang w:val="en-GB"/>
        </w:rPr>
        <w:t xml:space="preserve"> Article</w:t>
      </w:r>
      <w:r w:rsidR="006F617F" w:rsidRPr="00831573">
        <w:rPr>
          <w:lang w:val="en-GB"/>
        </w:rPr>
        <w:t xml:space="preserve"> </w:t>
      </w:r>
      <w:r w:rsidR="000F49BF" w:rsidRPr="00831573">
        <w:rPr>
          <w:lang w:val="en-GB"/>
        </w:rPr>
        <w:t>6. Article 6</w:t>
      </w:r>
      <w:r w:rsidR="006F617F" w:rsidRPr="00831573">
        <w:rPr>
          <w:lang w:val="en-GB"/>
        </w:rPr>
        <w:t xml:space="preserve"> </w:t>
      </w:r>
      <w:r w:rsidR="000F49BF" w:rsidRPr="00831573">
        <w:rPr>
          <w:rFonts w:cstheme="minorHAnsi"/>
          <w:lang w:val="en-GB"/>
        </w:rPr>
        <w:t>§</w:t>
      </w:r>
      <w:r w:rsidR="00894DCA" w:rsidRPr="00831573">
        <w:rPr>
          <w:rFonts w:cstheme="minorHAnsi"/>
          <w:lang w:val="en-GB"/>
        </w:rPr>
        <w:t>§</w:t>
      </w:r>
      <w:r w:rsidR="000F49BF" w:rsidRPr="00831573">
        <w:rPr>
          <w:lang w:val="en-GB"/>
        </w:rPr>
        <w:t> 1 and 3 (c) read</w:t>
      </w:r>
      <w:r w:rsidR="00894DCA" w:rsidRPr="00831573">
        <w:rPr>
          <w:lang w:val="en-GB"/>
        </w:rPr>
        <w:t>s</w:t>
      </w:r>
      <w:r w:rsidR="000F49BF" w:rsidRPr="00831573">
        <w:rPr>
          <w:lang w:val="en-GB"/>
        </w:rPr>
        <w:t xml:space="preserve"> as follows:</w:t>
      </w:r>
    </w:p>
    <w:p w:rsidR="000F49BF" w:rsidRPr="00831573" w:rsidRDefault="000F49BF" w:rsidP="00831573">
      <w:pPr>
        <w:pStyle w:val="ECHRParaQuote"/>
        <w:rPr>
          <w:lang w:val="en-GB"/>
        </w:rPr>
      </w:pPr>
      <w:r w:rsidRPr="00831573">
        <w:rPr>
          <w:lang w:val="en-GB"/>
        </w:rPr>
        <w:t>“1.  In the determination of his civil rights and obligations or of any criminal charge against him, everyone is entitled to a fair and public hearing within a reasonable time by an independent and imparti</w:t>
      </w:r>
      <w:r w:rsidR="006F617F" w:rsidRPr="00831573">
        <w:rPr>
          <w:lang w:val="en-GB"/>
        </w:rPr>
        <w:t>al tribunal established by law.</w:t>
      </w:r>
    </w:p>
    <w:p w:rsidR="000F49BF" w:rsidRPr="00831573" w:rsidRDefault="00F87D13" w:rsidP="00831573">
      <w:pPr>
        <w:pStyle w:val="ECHRParaQuote"/>
        <w:rPr>
          <w:lang w:val="en-GB"/>
        </w:rPr>
      </w:pPr>
      <w:r w:rsidRPr="00831573">
        <w:rPr>
          <w:lang w:val="en-GB"/>
        </w:rPr>
        <w:t>...</w:t>
      </w:r>
    </w:p>
    <w:p w:rsidR="000F49BF" w:rsidRPr="00831573" w:rsidRDefault="000F49BF" w:rsidP="00831573">
      <w:pPr>
        <w:pStyle w:val="ECHRParaQuote"/>
        <w:rPr>
          <w:lang w:val="en-GB"/>
        </w:rPr>
      </w:pPr>
      <w:r w:rsidRPr="00831573">
        <w:rPr>
          <w:lang w:val="en-GB"/>
        </w:rPr>
        <w:t>3.  Everyone charged with a criminal offence has the following minimum rights:</w:t>
      </w:r>
    </w:p>
    <w:p w:rsidR="000F49BF" w:rsidRPr="00831573" w:rsidRDefault="00F87D13" w:rsidP="00831573">
      <w:pPr>
        <w:pStyle w:val="ECHRParaQuote"/>
        <w:rPr>
          <w:lang w:val="en-GB"/>
        </w:rPr>
      </w:pPr>
      <w:r w:rsidRPr="00831573">
        <w:rPr>
          <w:lang w:val="en-GB"/>
        </w:rPr>
        <w:t>...</w:t>
      </w:r>
    </w:p>
    <w:p w:rsidR="000F49BF" w:rsidRPr="00831573" w:rsidRDefault="000F49BF" w:rsidP="00831573">
      <w:pPr>
        <w:pStyle w:val="ECHRParaQuote"/>
        <w:rPr>
          <w:lang w:val="en-GB"/>
        </w:rPr>
      </w:pPr>
      <w:r w:rsidRPr="00831573">
        <w:rPr>
          <w:lang w:val="en-GB"/>
        </w:rPr>
        <w:t>(c)  to defend himself in person or through legal assistance of his own choosing or, if he has not sufficient means to pay for legal assistance, to be given it free when the interests of justice so require;</w:t>
      </w:r>
      <w:r w:rsidR="002D3073" w:rsidRPr="00831573">
        <w:rPr>
          <w:lang w:val="en-GB"/>
        </w:rPr>
        <w:t>”</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123</w:t>
      </w:r>
      <w:r w:rsidRPr="00831573">
        <w:rPr>
          <w:lang w:val="en-GB"/>
        </w:rPr>
        <w:fldChar w:fldCharType="end"/>
      </w:r>
      <w:r w:rsidR="00A20437" w:rsidRPr="00831573">
        <w:rPr>
          <w:lang w:val="en-GB"/>
        </w:rPr>
        <w:t>.</w:t>
      </w:r>
      <w:r w:rsidR="00966094" w:rsidRPr="00831573">
        <w:rPr>
          <w:lang w:val="en-GB"/>
        </w:rPr>
        <w:t>  </w:t>
      </w:r>
      <w:r w:rsidR="000F49BF" w:rsidRPr="00831573">
        <w:rPr>
          <w:lang w:val="en-GB"/>
        </w:rPr>
        <w:t>The Government contested those arguments.</w:t>
      </w:r>
    </w:p>
    <w:p w:rsidR="000F49BF" w:rsidRPr="00831573" w:rsidRDefault="000F49BF" w:rsidP="00831573">
      <w:pPr>
        <w:pStyle w:val="ECHRHeading2"/>
        <w:rPr>
          <w:lang w:val="en-GB"/>
        </w:rPr>
      </w:pPr>
      <w:r w:rsidRPr="00831573">
        <w:rPr>
          <w:lang w:val="en-GB"/>
        </w:rPr>
        <w:t>A.  Admissibility</w:t>
      </w:r>
    </w:p>
    <w:p w:rsidR="003C29FD" w:rsidRPr="00831573" w:rsidRDefault="003C29FD" w:rsidP="00831573">
      <w:pPr>
        <w:pStyle w:val="ECHRHeading3"/>
        <w:rPr>
          <w:lang w:val="en-GB"/>
        </w:rPr>
      </w:pPr>
      <w:r w:rsidRPr="00831573">
        <w:rPr>
          <w:lang w:val="en-GB"/>
        </w:rPr>
        <w:t>1.</w:t>
      </w:r>
      <w:r w:rsidR="00377531" w:rsidRPr="00831573">
        <w:rPr>
          <w:lang w:val="en-GB"/>
        </w:rPr>
        <w:t>  </w:t>
      </w:r>
      <w:r w:rsidR="006F617F" w:rsidRPr="00831573">
        <w:rPr>
          <w:lang w:val="en-GB"/>
        </w:rPr>
        <w:t>Exhaustion of domestic remedies</w:t>
      </w:r>
    </w:p>
    <w:p w:rsidR="003C29FD" w:rsidRPr="00831573" w:rsidRDefault="00874BD6" w:rsidP="00831573">
      <w:pPr>
        <w:pStyle w:val="ECHRHeading4"/>
        <w:rPr>
          <w:lang w:val="en-GB"/>
        </w:rPr>
      </w:pPr>
      <w:r w:rsidRPr="00831573">
        <w:rPr>
          <w:lang w:val="en-GB"/>
        </w:rPr>
        <w:t>(a)  </w:t>
      </w:r>
      <w:r w:rsidR="003C29FD" w:rsidRPr="00831573">
        <w:rPr>
          <w:lang w:val="en-GB"/>
        </w:rPr>
        <w:t>The parties</w:t>
      </w:r>
      <w:r w:rsidR="00831573" w:rsidRPr="00831573">
        <w:rPr>
          <w:lang w:val="en-GB"/>
        </w:rPr>
        <w:t>’</w:t>
      </w:r>
      <w:r w:rsidR="003C29FD" w:rsidRPr="00831573">
        <w:rPr>
          <w:lang w:val="en-GB"/>
        </w:rPr>
        <w:t xml:space="preserve"> submissions</w:t>
      </w:r>
    </w:p>
    <w:bookmarkStart w:id="45" w:name="GovtA6ExhaustionArgStart"/>
    <w:p w:rsidR="003C29FD" w:rsidRPr="00831573" w:rsidRDefault="003C29F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124</w:t>
      </w:r>
      <w:r w:rsidRPr="00831573">
        <w:rPr>
          <w:lang w:val="en-GB"/>
        </w:rPr>
        <w:fldChar w:fldCharType="end"/>
      </w:r>
      <w:bookmarkEnd w:id="45"/>
      <w:r w:rsidRPr="00831573">
        <w:rPr>
          <w:lang w:val="en-GB"/>
        </w:rPr>
        <w:t>.  </w:t>
      </w:r>
      <w:r w:rsidR="002138B5" w:rsidRPr="00831573">
        <w:rPr>
          <w:lang w:val="en-GB"/>
        </w:rPr>
        <w:t>According</w:t>
      </w:r>
      <w:r w:rsidR="004E0285" w:rsidRPr="00831573">
        <w:rPr>
          <w:lang w:val="en-GB"/>
        </w:rPr>
        <w:t xml:space="preserve"> to t</w:t>
      </w:r>
      <w:r w:rsidRPr="00831573">
        <w:rPr>
          <w:lang w:val="en-GB"/>
        </w:rPr>
        <w:t>he Government</w:t>
      </w:r>
      <w:r w:rsidR="004E0285" w:rsidRPr="00831573">
        <w:rPr>
          <w:lang w:val="en-GB"/>
        </w:rPr>
        <w:t xml:space="preserve">, </w:t>
      </w:r>
      <w:r w:rsidRPr="00831573">
        <w:rPr>
          <w:lang w:val="en-GB"/>
        </w:rPr>
        <w:t xml:space="preserve">the applicant had not exhausted his complaint that the state of domestic law violated Article 6. He could have requested the domestic courts to </w:t>
      </w:r>
      <w:r w:rsidR="005530C8" w:rsidRPr="00831573">
        <w:rPr>
          <w:lang w:val="en-GB"/>
        </w:rPr>
        <w:t xml:space="preserve">use section 3(1) of the </w:t>
      </w:r>
      <w:r w:rsidR="009A1CA6" w:rsidRPr="00831573">
        <w:rPr>
          <w:lang w:val="en-GB"/>
        </w:rPr>
        <w:t xml:space="preserve">Human Rights </w:t>
      </w:r>
      <w:r w:rsidR="005530C8" w:rsidRPr="00831573">
        <w:rPr>
          <w:lang w:val="en-GB"/>
        </w:rPr>
        <w:t>Act (see paragraph</w:t>
      </w:r>
      <w:r w:rsidR="00966094" w:rsidRPr="00831573">
        <w:rPr>
          <w:lang w:val="en-GB"/>
        </w:rPr>
        <w:t> </w:t>
      </w:r>
      <w:r w:rsidR="00DB51BA" w:rsidRPr="00831573">
        <w:rPr>
          <w:lang w:val="en-GB"/>
        </w:rPr>
        <w:fldChar w:fldCharType="begin"/>
      </w:r>
      <w:r w:rsidR="00DB51BA" w:rsidRPr="00831573">
        <w:rPr>
          <w:lang w:val="en-GB"/>
        </w:rPr>
        <w:instrText xml:space="preserve"> REF HRA3sub1 \h </w:instrText>
      </w:r>
      <w:r w:rsidR="00DB51BA" w:rsidRPr="00831573">
        <w:rPr>
          <w:lang w:val="en-GB"/>
        </w:rPr>
      </w:r>
      <w:r w:rsidR="00DB51BA" w:rsidRPr="00831573">
        <w:rPr>
          <w:lang w:val="en-GB"/>
        </w:rPr>
        <w:fldChar w:fldCharType="separate"/>
      </w:r>
      <w:r w:rsidR="00831573" w:rsidRPr="00831573">
        <w:rPr>
          <w:noProof/>
          <w:lang w:val="en-GB"/>
        </w:rPr>
        <w:t>50</w:t>
      </w:r>
      <w:r w:rsidR="00DB51BA" w:rsidRPr="00831573">
        <w:rPr>
          <w:lang w:val="en-GB"/>
        </w:rPr>
        <w:fldChar w:fldCharType="end"/>
      </w:r>
      <w:r w:rsidR="005530C8" w:rsidRPr="00831573">
        <w:rPr>
          <w:lang w:val="en-GB"/>
        </w:rPr>
        <w:t xml:space="preserve"> above) to </w:t>
      </w:r>
      <w:r w:rsidRPr="00831573">
        <w:rPr>
          <w:lang w:val="en-GB"/>
        </w:rPr>
        <w:t xml:space="preserve">interpret section 9(3) of the </w:t>
      </w:r>
      <w:r w:rsidR="009A1CA6" w:rsidRPr="00831573">
        <w:rPr>
          <w:lang w:val="en-GB"/>
        </w:rPr>
        <w:t>Human Rights</w:t>
      </w:r>
      <w:r w:rsidR="00DE3763" w:rsidRPr="00831573">
        <w:rPr>
          <w:lang w:val="en-GB"/>
        </w:rPr>
        <w:t xml:space="preserve"> </w:t>
      </w:r>
      <w:r w:rsidRPr="00831573">
        <w:rPr>
          <w:lang w:val="en-GB"/>
        </w:rPr>
        <w:t xml:space="preserve">Act </w:t>
      </w:r>
      <w:r w:rsidR="005530C8" w:rsidRPr="00831573">
        <w:rPr>
          <w:lang w:val="en-GB"/>
        </w:rPr>
        <w:t>consistently with Article 6 of the Convention</w:t>
      </w:r>
      <w:r w:rsidR="00433887" w:rsidRPr="00831573">
        <w:rPr>
          <w:lang w:val="en-GB"/>
        </w:rPr>
        <w:t xml:space="preserve"> or</w:t>
      </w:r>
      <w:r w:rsidR="005530C8" w:rsidRPr="00831573">
        <w:rPr>
          <w:lang w:val="en-GB"/>
        </w:rPr>
        <w:t xml:space="preserve"> to make a declaration of incompatibility in accordance with section 4</w:t>
      </w:r>
      <w:r w:rsidR="00AB27D8" w:rsidRPr="00831573">
        <w:rPr>
          <w:lang w:val="en-GB"/>
        </w:rPr>
        <w:t>(2)</w:t>
      </w:r>
      <w:r w:rsidR="005530C8" w:rsidRPr="00831573">
        <w:rPr>
          <w:lang w:val="en-GB"/>
        </w:rPr>
        <w:t xml:space="preserve"> of the </w:t>
      </w:r>
      <w:r w:rsidR="009A1CA6" w:rsidRPr="00831573">
        <w:rPr>
          <w:lang w:val="en-GB"/>
        </w:rPr>
        <w:t>Human Rights</w:t>
      </w:r>
      <w:r w:rsidR="005530C8" w:rsidRPr="00831573">
        <w:rPr>
          <w:lang w:val="en-GB"/>
        </w:rPr>
        <w:t xml:space="preserve"> Act (see paragraph </w:t>
      </w:r>
      <w:r w:rsidR="00DB51BA" w:rsidRPr="00831573">
        <w:rPr>
          <w:lang w:val="en-GB"/>
        </w:rPr>
        <w:fldChar w:fldCharType="begin"/>
      </w:r>
      <w:r w:rsidR="00DB51BA" w:rsidRPr="00831573">
        <w:rPr>
          <w:lang w:val="en-GB"/>
        </w:rPr>
        <w:instrText xml:space="preserve"> REF HRA4sub2 \h </w:instrText>
      </w:r>
      <w:r w:rsidR="00DB51BA" w:rsidRPr="00831573">
        <w:rPr>
          <w:lang w:val="en-GB"/>
        </w:rPr>
      </w:r>
      <w:r w:rsidR="00DB51BA" w:rsidRPr="00831573">
        <w:rPr>
          <w:lang w:val="en-GB"/>
        </w:rPr>
        <w:fldChar w:fldCharType="separate"/>
      </w:r>
      <w:r w:rsidR="00831573" w:rsidRPr="00831573">
        <w:rPr>
          <w:noProof/>
          <w:lang w:val="en-GB"/>
        </w:rPr>
        <w:t>51</w:t>
      </w:r>
      <w:r w:rsidR="00DB51BA" w:rsidRPr="00831573">
        <w:rPr>
          <w:lang w:val="en-GB"/>
        </w:rPr>
        <w:fldChar w:fldCharType="end"/>
      </w:r>
      <w:r w:rsidR="005530C8" w:rsidRPr="00831573">
        <w:rPr>
          <w:lang w:val="en-GB"/>
        </w:rPr>
        <w:t xml:space="preserve"> above).</w:t>
      </w:r>
    </w:p>
    <w:p w:rsidR="003C29FD" w:rsidRPr="00831573" w:rsidRDefault="003C29F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125</w:t>
      </w:r>
      <w:r w:rsidRPr="00831573">
        <w:rPr>
          <w:lang w:val="en-GB"/>
        </w:rPr>
        <w:fldChar w:fldCharType="end"/>
      </w:r>
      <w:r w:rsidR="00966094" w:rsidRPr="00831573">
        <w:rPr>
          <w:lang w:val="en-GB"/>
        </w:rPr>
        <w:t>.  </w:t>
      </w:r>
      <w:r w:rsidR="00E270A3" w:rsidRPr="00831573">
        <w:rPr>
          <w:lang w:val="en-GB"/>
        </w:rPr>
        <w:t xml:space="preserve">The applicant argued that he had requested the High Court to make a declaration of incompatibility in relation to section 9(3) of the 1998 Act. Blake J had not ruled on his request because </w:t>
      </w:r>
      <w:r w:rsidR="004E0285" w:rsidRPr="00831573">
        <w:rPr>
          <w:lang w:val="en-GB"/>
        </w:rPr>
        <w:t>t</w:t>
      </w:r>
      <w:r w:rsidR="00E270A3" w:rsidRPr="00831573">
        <w:rPr>
          <w:lang w:val="en-GB"/>
        </w:rPr>
        <w:t xml:space="preserve">he </w:t>
      </w:r>
      <w:r w:rsidR="004E0285" w:rsidRPr="00831573">
        <w:rPr>
          <w:lang w:val="en-GB"/>
        </w:rPr>
        <w:t xml:space="preserve">judge </w:t>
      </w:r>
      <w:r w:rsidR="00E270A3" w:rsidRPr="00831573">
        <w:rPr>
          <w:lang w:val="en-GB"/>
        </w:rPr>
        <w:t xml:space="preserve">had, in any event, found that a declaration </w:t>
      </w:r>
      <w:r w:rsidR="009A1CA6" w:rsidRPr="00831573">
        <w:rPr>
          <w:lang w:val="en-GB"/>
        </w:rPr>
        <w:t xml:space="preserve">that his human rights had been violated (see paragraph </w:t>
      </w:r>
      <w:r w:rsidR="009A1CA6" w:rsidRPr="00831573">
        <w:rPr>
          <w:lang w:val="en-GB"/>
        </w:rPr>
        <w:fldChar w:fldCharType="begin"/>
      </w:r>
      <w:r w:rsidR="009A1CA6" w:rsidRPr="00831573">
        <w:rPr>
          <w:lang w:val="en-GB"/>
        </w:rPr>
        <w:instrText xml:space="preserve"> REF HCCAMadeDec \h </w:instrText>
      </w:r>
      <w:r w:rsidR="009A1CA6" w:rsidRPr="00831573">
        <w:rPr>
          <w:lang w:val="en-GB"/>
        </w:rPr>
      </w:r>
      <w:r w:rsidR="009A1CA6" w:rsidRPr="00831573">
        <w:rPr>
          <w:lang w:val="en-GB"/>
        </w:rPr>
        <w:fldChar w:fldCharType="separate"/>
      </w:r>
      <w:r w:rsidR="00831573" w:rsidRPr="00831573">
        <w:rPr>
          <w:noProof/>
          <w:lang w:val="en-GB"/>
        </w:rPr>
        <w:t>28</w:t>
      </w:r>
      <w:r w:rsidR="009A1CA6" w:rsidRPr="00831573">
        <w:rPr>
          <w:lang w:val="en-GB"/>
        </w:rPr>
        <w:fldChar w:fldCharType="end"/>
      </w:r>
      <w:r w:rsidR="009A1CA6" w:rsidRPr="00831573">
        <w:rPr>
          <w:lang w:val="en-GB"/>
        </w:rPr>
        <w:t xml:space="preserve"> above) </w:t>
      </w:r>
      <w:r w:rsidR="00E270A3" w:rsidRPr="00831573">
        <w:rPr>
          <w:lang w:val="en-GB"/>
        </w:rPr>
        <w:t>was sufficient redress.</w:t>
      </w:r>
    </w:p>
    <w:p w:rsidR="003C29FD" w:rsidRPr="00831573" w:rsidRDefault="00874BD6" w:rsidP="00831573">
      <w:pPr>
        <w:pStyle w:val="ECHRHeading4"/>
        <w:rPr>
          <w:lang w:val="en-GB" w:bidi="en-US"/>
        </w:rPr>
      </w:pPr>
      <w:r w:rsidRPr="00831573">
        <w:rPr>
          <w:lang w:val="en-GB" w:bidi="en-US"/>
        </w:rPr>
        <w:t>(b)  </w:t>
      </w:r>
      <w:r w:rsidR="003C29FD" w:rsidRPr="00831573">
        <w:rPr>
          <w:lang w:val="en-GB" w:bidi="en-US"/>
        </w:rPr>
        <w:t>The Court</w:t>
      </w:r>
      <w:r w:rsidR="00831573" w:rsidRPr="00831573">
        <w:rPr>
          <w:lang w:val="en-GB" w:bidi="en-US"/>
        </w:rPr>
        <w:t>’</w:t>
      </w:r>
      <w:r w:rsidR="003C29FD" w:rsidRPr="00831573">
        <w:rPr>
          <w:lang w:val="en-GB" w:bidi="en-US"/>
        </w:rPr>
        <w:t>s assessment</w:t>
      </w:r>
    </w:p>
    <w:p w:rsidR="00E270A3" w:rsidRPr="00831573" w:rsidRDefault="004E028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126</w:t>
      </w:r>
      <w:r w:rsidRPr="00831573">
        <w:rPr>
          <w:lang w:val="en-GB"/>
        </w:rPr>
        <w:fldChar w:fldCharType="end"/>
      </w:r>
      <w:r w:rsidRPr="00831573">
        <w:rPr>
          <w:lang w:val="en-GB"/>
        </w:rPr>
        <w:t>.  </w:t>
      </w:r>
      <w:r w:rsidR="000F2858" w:rsidRPr="00831573">
        <w:rPr>
          <w:lang w:val="en-GB"/>
        </w:rPr>
        <w:t>The applicant claimed damages before the High Court</w:t>
      </w:r>
      <w:r w:rsidR="00966094" w:rsidRPr="00831573">
        <w:rPr>
          <w:lang w:val="en-GB"/>
        </w:rPr>
        <w:t xml:space="preserve"> for the violation of Article </w:t>
      </w:r>
      <w:r w:rsidR="0061068D" w:rsidRPr="00831573">
        <w:rPr>
          <w:lang w:val="en-GB"/>
        </w:rPr>
        <w:t>6</w:t>
      </w:r>
      <w:r w:rsidR="00994243" w:rsidRPr="00831573">
        <w:rPr>
          <w:lang w:val="en-GB"/>
        </w:rPr>
        <w:t xml:space="preserve"> which </w:t>
      </w:r>
      <w:r w:rsidR="009A1CA6" w:rsidRPr="00831573">
        <w:rPr>
          <w:lang w:val="en-GB"/>
        </w:rPr>
        <w:t xml:space="preserve">had occurred in the civil-contempt-of-court proceedings before </w:t>
      </w:r>
      <w:r w:rsidR="00994243" w:rsidRPr="00831573">
        <w:rPr>
          <w:lang w:val="en-GB"/>
        </w:rPr>
        <w:t>the County Court</w:t>
      </w:r>
      <w:r w:rsidR="000F2858" w:rsidRPr="00831573">
        <w:rPr>
          <w:lang w:val="en-GB"/>
        </w:rPr>
        <w:t>. Accordingly, the Court accepts that he exhausted domestic remedi</w:t>
      </w:r>
      <w:r w:rsidR="0061068D" w:rsidRPr="00831573">
        <w:rPr>
          <w:lang w:val="en-GB"/>
        </w:rPr>
        <w:t>es in relation to his complaint of violation of Article 6 as such, that is to say, violation on account of his lack of legal representation before the County Court.</w:t>
      </w:r>
    </w:p>
    <w:p w:rsidR="004E0285" w:rsidRPr="00831573" w:rsidRDefault="004E028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127</w:t>
      </w:r>
      <w:r w:rsidRPr="00831573">
        <w:rPr>
          <w:lang w:val="en-GB"/>
        </w:rPr>
        <w:fldChar w:fldCharType="end"/>
      </w:r>
      <w:r w:rsidRPr="00831573">
        <w:rPr>
          <w:lang w:val="en-GB"/>
        </w:rPr>
        <w:t>.</w:t>
      </w:r>
      <w:r w:rsidR="00AD5723" w:rsidRPr="00831573">
        <w:rPr>
          <w:lang w:val="en-GB"/>
        </w:rPr>
        <w:t>  </w:t>
      </w:r>
      <w:r w:rsidR="00B44B27" w:rsidRPr="00831573">
        <w:rPr>
          <w:lang w:val="en-GB"/>
        </w:rPr>
        <w:t>As regards the applicant</w:t>
      </w:r>
      <w:r w:rsidR="00831573" w:rsidRPr="00831573">
        <w:rPr>
          <w:lang w:val="en-GB"/>
        </w:rPr>
        <w:t>’</w:t>
      </w:r>
      <w:r w:rsidR="00B44B27" w:rsidRPr="00831573">
        <w:rPr>
          <w:lang w:val="en-GB"/>
        </w:rPr>
        <w:t xml:space="preserve">s complaint concerning the state of domestic law, the Court considers that the complaint is </w:t>
      </w:r>
      <w:r w:rsidR="00993E9D" w:rsidRPr="00831573">
        <w:rPr>
          <w:lang w:val="en-GB"/>
        </w:rPr>
        <w:t>directed against</w:t>
      </w:r>
      <w:r w:rsidR="00B44B27" w:rsidRPr="00831573">
        <w:rPr>
          <w:lang w:val="en-GB"/>
        </w:rPr>
        <w:t xml:space="preserve"> the absence of an effective remedy in the law to provide redress for his </w:t>
      </w:r>
      <w:r w:rsidR="00993E9D" w:rsidRPr="00831573">
        <w:rPr>
          <w:lang w:val="en-GB"/>
        </w:rPr>
        <w:t xml:space="preserve">Article 6 </w:t>
      </w:r>
      <w:r w:rsidR="00B44B27" w:rsidRPr="00831573">
        <w:rPr>
          <w:lang w:val="en-GB"/>
        </w:rPr>
        <w:t>complaint concerning the lack of legal representation. In these circumstances, the former complaint, and the Government</w:t>
      </w:r>
      <w:r w:rsidR="00831573" w:rsidRPr="00831573">
        <w:rPr>
          <w:lang w:val="en-GB"/>
        </w:rPr>
        <w:t>’</w:t>
      </w:r>
      <w:r w:rsidR="00B44B27" w:rsidRPr="00831573">
        <w:rPr>
          <w:lang w:val="en-GB"/>
        </w:rPr>
        <w:t>s objection as to exhaustion of domestic remedies,</w:t>
      </w:r>
      <w:r w:rsidR="00993E9D" w:rsidRPr="00831573">
        <w:rPr>
          <w:lang w:val="en-GB"/>
        </w:rPr>
        <w:t xml:space="preserve"> fall to be considered </w:t>
      </w:r>
      <w:r w:rsidR="00B44B27" w:rsidRPr="00831573">
        <w:rPr>
          <w:lang w:val="en-GB"/>
        </w:rPr>
        <w:t>in the context of the Court</w:t>
      </w:r>
      <w:r w:rsidR="00831573" w:rsidRPr="00831573">
        <w:rPr>
          <w:lang w:val="en-GB"/>
        </w:rPr>
        <w:t>’</w:t>
      </w:r>
      <w:r w:rsidR="00B44B27" w:rsidRPr="00831573">
        <w:rPr>
          <w:lang w:val="en-GB"/>
        </w:rPr>
        <w:t xml:space="preserve">s examination of the alleged violation of Article 13 of the Convention (see paragraphs </w:t>
      </w:r>
      <w:r w:rsidR="00713E21" w:rsidRPr="00831573">
        <w:rPr>
          <w:lang w:val="en-GB"/>
        </w:rPr>
        <w:fldChar w:fldCharType="begin"/>
      </w:r>
      <w:r w:rsidR="00713E21" w:rsidRPr="00831573">
        <w:rPr>
          <w:lang w:val="en-GB"/>
        </w:rPr>
        <w:instrText xml:space="preserve"> REF A13Start \h </w:instrText>
      </w:r>
      <w:r w:rsidR="00713E21" w:rsidRPr="00831573">
        <w:rPr>
          <w:lang w:val="en-GB"/>
        </w:rPr>
      </w:r>
      <w:r w:rsidR="00713E21" w:rsidRPr="00831573">
        <w:rPr>
          <w:lang w:val="en-GB"/>
        </w:rPr>
        <w:fldChar w:fldCharType="separate"/>
      </w:r>
      <w:r w:rsidR="00831573" w:rsidRPr="00831573">
        <w:rPr>
          <w:noProof/>
          <w:lang w:val="en-GB"/>
        </w:rPr>
        <w:t>144</w:t>
      </w:r>
      <w:r w:rsidR="00713E21" w:rsidRPr="00831573">
        <w:rPr>
          <w:lang w:val="en-GB"/>
        </w:rPr>
        <w:fldChar w:fldCharType="end"/>
      </w:r>
      <w:r w:rsidR="00713E21" w:rsidRPr="00831573">
        <w:rPr>
          <w:lang w:val="en-GB"/>
        </w:rPr>
        <w:t xml:space="preserve"> to</w:t>
      </w:r>
      <w:r w:rsidR="00B44B27" w:rsidRPr="00831573">
        <w:rPr>
          <w:lang w:val="en-GB"/>
        </w:rPr>
        <w:t xml:space="preserve"> </w:t>
      </w:r>
      <w:r w:rsidR="00713E21" w:rsidRPr="00831573">
        <w:rPr>
          <w:lang w:val="en-GB"/>
        </w:rPr>
        <w:fldChar w:fldCharType="begin"/>
      </w:r>
      <w:r w:rsidR="00713E21" w:rsidRPr="00831573">
        <w:rPr>
          <w:lang w:val="en-GB"/>
        </w:rPr>
        <w:instrText xml:space="preserve"> REF A13End \h </w:instrText>
      </w:r>
      <w:r w:rsidR="00713E21" w:rsidRPr="00831573">
        <w:rPr>
          <w:lang w:val="en-GB"/>
        </w:rPr>
      </w:r>
      <w:r w:rsidR="00713E21" w:rsidRPr="00831573">
        <w:rPr>
          <w:lang w:val="en-GB"/>
        </w:rPr>
        <w:fldChar w:fldCharType="separate"/>
      </w:r>
      <w:r w:rsidR="00831573" w:rsidRPr="00831573">
        <w:rPr>
          <w:rFonts w:cstheme="minorHAnsi"/>
          <w:noProof/>
          <w:lang w:val="en-GB"/>
        </w:rPr>
        <w:t>152</w:t>
      </w:r>
      <w:r w:rsidR="00713E21" w:rsidRPr="00831573">
        <w:rPr>
          <w:lang w:val="en-GB"/>
        </w:rPr>
        <w:fldChar w:fldCharType="end"/>
      </w:r>
      <w:r w:rsidR="00713E21" w:rsidRPr="00831573">
        <w:rPr>
          <w:lang w:val="en-GB"/>
        </w:rPr>
        <w:t xml:space="preserve"> </w:t>
      </w:r>
      <w:r w:rsidR="00B44B27" w:rsidRPr="00831573">
        <w:rPr>
          <w:lang w:val="en-GB"/>
        </w:rPr>
        <w:t>below).</w:t>
      </w:r>
    </w:p>
    <w:p w:rsidR="000F49BF" w:rsidRPr="00831573" w:rsidRDefault="003C29FD" w:rsidP="00831573">
      <w:pPr>
        <w:pStyle w:val="ECHRHeading3"/>
        <w:rPr>
          <w:lang w:val="en-GB"/>
        </w:rPr>
      </w:pPr>
      <w:r w:rsidRPr="00831573">
        <w:rPr>
          <w:lang w:val="en-GB"/>
        </w:rPr>
        <w:t>2</w:t>
      </w:r>
      <w:r w:rsidR="00377531" w:rsidRPr="00831573">
        <w:rPr>
          <w:lang w:val="en-GB"/>
        </w:rPr>
        <w:t>. </w:t>
      </w:r>
      <w:r w:rsidR="00EF400F" w:rsidRPr="00831573">
        <w:rPr>
          <w:lang w:val="en-GB"/>
        </w:rPr>
        <w:t> </w:t>
      </w:r>
      <w:r w:rsidR="0061068D" w:rsidRPr="00831573">
        <w:rPr>
          <w:lang w:val="en-GB"/>
        </w:rPr>
        <w:t>“</w:t>
      </w:r>
      <w:r w:rsidR="000F49BF" w:rsidRPr="00831573">
        <w:rPr>
          <w:lang w:val="en-GB"/>
        </w:rPr>
        <w:t>Victim</w:t>
      </w:r>
      <w:r w:rsidR="0061068D" w:rsidRPr="00831573">
        <w:rPr>
          <w:lang w:val="en-GB"/>
        </w:rPr>
        <w:t>”</w:t>
      </w:r>
      <w:r w:rsidR="00190BF6" w:rsidRPr="00831573">
        <w:rPr>
          <w:lang w:val="en-GB"/>
        </w:rPr>
        <w:t xml:space="preserve"> status</w:t>
      </w:r>
    </w:p>
    <w:p w:rsidR="000F49BF" w:rsidRPr="00831573" w:rsidRDefault="000F49BF" w:rsidP="00831573">
      <w:pPr>
        <w:pStyle w:val="ECHRHeading4"/>
        <w:rPr>
          <w:lang w:val="en-GB"/>
        </w:rPr>
      </w:pPr>
      <w:r w:rsidRPr="00831573">
        <w:rPr>
          <w:lang w:val="en-GB"/>
        </w:rPr>
        <w:t>(</w:t>
      </w:r>
      <w:r w:rsidR="00320B1C" w:rsidRPr="00831573">
        <w:rPr>
          <w:lang w:val="en-GB"/>
        </w:rPr>
        <w:t>a</w:t>
      </w:r>
      <w:r w:rsidR="00874BD6" w:rsidRPr="00831573">
        <w:rPr>
          <w:lang w:val="en-GB"/>
        </w:rPr>
        <w:t>)  </w:t>
      </w:r>
      <w:r w:rsidRPr="00831573">
        <w:rPr>
          <w:lang w:val="en-GB"/>
        </w:rPr>
        <w:t xml:space="preserve">The </w:t>
      </w:r>
      <w:r w:rsidR="0075518A" w:rsidRPr="00831573">
        <w:rPr>
          <w:lang w:val="en-GB"/>
        </w:rPr>
        <w:t>p</w:t>
      </w:r>
      <w:r w:rsidRPr="00831573">
        <w:rPr>
          <w:lang w:val="en-GB"/>
        </w:rPr>
        <w:t>arties</w:t>
      </w:r>
      <w:r w:rsidR="00831573" w:rsidRPr="00831573">
        <w:rPr>
          <w:lang w:val="en-GB"/>
        </w:rPr>
        <w:t>’</w:t>
      </w:r>
      <w:r w:rsidRPr="00831573">
        <w:rPr>
          <w:lang w:val="en-GB"/>
        </w:rPr>
        <w:t xml:space="preserve"> submissions</w:t>
      </w:r>
    </w:p>
    <w:p w:rsidR="0075518A" w:rsidRPr="00831573" w:rsidRDefault="00874BD6" w:rsidP="00831573">
      <w:pPr>
        <w:pStyle w:val="ECHRHeading5"/>
        <w:rPr>
          <w:lang w:val="en-GB"/>
        </w:rPr>
      </w:pPr>
      <w:r w:rsidRPr="00831573">
        <w:rPr>
          <w:lang w:val="en-GB"/>
        </w:rPr>
        <w:t>(i)  </w:t>
      </w:r>
      <w:r w:rsidR="0075518A" w:rsidRPr="00831573">
        <w:rPr>
          <w:lang w:val="en-GB"/>
        </w:rPr>
        <w:t>The Government</w:t>
      </w:r>
    </w:p>
    <w:bookmarkStart w:id="46" w:name="GovtAdmArgA6VicStart"/>
    <w:p w:rsidR="0075518A" w:rsidRPr="00831573" w:rsidRDefault="0075518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128</w:t>
      </w:r>
      <w:r w:rsidRPr="00831573">
        <w:rPr>
          <w:lang w:val="en-GB"/>
        </w:rPr>
        <w:fldChar w:fldCharType="end"/>
      </w:r>
      <w:bookmarkEnd w:id="46"/>
      <w:r w:rsidRPr="00831573">
        <w:rPr>
          <w:lang w:val="en-GB"/>
        </w:rPr>
        <w:t>.  The Government argued that</w:t>
      </w:r>
      <w:r w:rsidR="00B0068C" w:rsidRPr="00831573">
        <w:rPr>
          <w:lang w:val="en-GB"/>
        </w:rPr>
        <w:t xml:space="preserve"> </w:t>
      </w:r>
      <w:r w:rsidRPr="00831573">
        <w:rPr>
          <w:lang w:val="en-GB"/>
        </w:rPr>
        <w:t xml:space="preserve">an applicant ceased to be a </w:t>
      </w:r>
      <w:r w:rsidR="009A1CA6" w:rsidRPr="00831573">
        <w:rPr>
          <w:lang w:val="en-GB"/>
        </w:rPr>
        <w:t>“</w:t>
      </w:r>
      <w:r w:rsidRPr="00831573">
        <w:rPr>
          <w:lang w:val="en-GB"/>
        </w:rPr>
        <w:t>victim</w:t>
      </w:r>
      <w:r w:rsidR="009A1CA6" w:rsidRPr="00831573">
        <w:rPr>
          <w:lang w:val="en-GB"/>
        </w:rPr>
        <w:t xml:space="preserve">” within the meaning of Article 34 of the Convention </w:t>
      </w:r>
      <w:r w:rsidRPr="00831573">
        <w:rPr>
          <w:lang w:val="en-GB"/>
        </w:rPr>
        <w:t xml:space="preserve">if the authorities acknowledged, at least in substance, a violation of a protected right and provided appropriate and sufficient redress. As regards acknowledgment of a violation, the Government pointed to the findings of the Court of Appeal in 2007 and the High Court in 2009. The Government submitted that a finding of a violation was itself appropriate and sufficient redress. They relied on </w:t>
      </w:r>
      <w:r w:rsidRPr="00831573">
        <w:rPr>
          <w:i/>
          <w:lang w:val="en-GB"/>
        </w:rPr>
        <w:t>Benham</w:t>
      </w:r>
      <w:r w:rsidR="00DB51BA" w:rsidRPr="00831573">
        <w:rPr>
          <w:lang w:val="en-GB"/>
        </w:rPr>
        <w:t>,</w:t>
      </w:r>
      <w:r w:rsidRPr="00831573">
        <w:rPr>
          <w:lang w:val="en-GB"/>
        </w:rPr>
        <w:t xml:space="preserve"> </w:t>
      </w:r>
      <w:r w:rsidRPr="00831573">
        <w:rPr>
          <w:i/>
          <w:lang w:val="en-GB"/>
        </w:rPr>
        <w:t xml:space="preserve">Perks and </w:t>
      </w:r>
      <w:r w:rsidR="009A1CA6" w:rsidRPr="00831573">
        <w:rPr>
          <w:i/>
          <w:lang w:val="en-GB"/>
        </w:rPr>
        <w:t>O</w:t>
      </w:r>
      <w:r w:rsidRPr="00831573">
        <w:rPr>
          <w:i/>
          <w:lang w:val="en-GB"/>
        </w:rPr>
        <w:t>thers</w:t>
      </w:r>
      <w:r w:rsidR="00DB51BA" w:rsidRPr="00831573">
        <w:rPr>
          <w:lang w:val="en-GB"/>
        </w:rPr>
        <w:t>,</w:t>
      </w:r>
      <w:r w:rsidRPr="00831573">
        <w:rPr>
          <w:lang w:val="en-GB"/>
        </w:rPr>
        <w:t xml:space="preserve"> and </w:t>
      </w:r>
      <w:r w:rsidRPr="00831573">
        <w:rPr>
          <w:i/>
          <w:lang w:val="en-GB"/>
        </w:rPr>
        <w:t xml:space="preserve">Lloyd and </w:t>
      </w:r>
      <w:r w:rsidR="009A1CA6" w:rsidRPr="00831573">
        <w:rPr>
          <w:i/>
          <w:lang w:val="en-GB"/>
        </w:rPr>
        <w:t>O</w:t>
      </w:r>
      <w:r w:rsidRPr="00831573">
        <w:rPr>
          <w:i/>
          <w:lang w:val="en-GB"/>
        </w:rPr>
        <w:t>thers</w:t>
      </w:r>
      <w:r w:rsidRPr="00831573">
        <w:rPr>
          <w:lang w:val="en-GB"/>
        </w:rPr>
        <w:t>, all cited above.</w:t>
      </w:r>
    </w:p>
    <w:bookmarkStart w:id="47" w:name="GovtAdmArgA6VicEnd"/>
    <w:p w:rsidR="0075518A" w:rsidRPr="00831573" w:rsidRDefault="0075518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129</w:t>
      </w:r>
      <w:r w:rsidRPr="00831573">
        <w:rPr>
          <w:lang w:val="en-GB"/>
        </w:rPr>
        <w:fldChar w:fldCharType="end"/>
      </w:r>
      <w:bookmarkEnd w:id="47"/>
      <w:r w:rsidR="00CD0EC4" w:rsidRPr="00831573">
        <w:rPr>
          <w:lang w:val="en-GB"/>
        </w:rPr>
        <w:t>.  </w:t>
      </w:r>
      <w:r w:rsidRPr="00831573">
        <w:rPr>
          <w:lang w:val="en-GB"/>
        </w:rPr>
        <w:t>The Government further argued that no part of the applicant</w:t>
      </w:r>
      <w:r w:rsidR="00831573" w:rsidRPr="00831573">
        <w:rPr>
          <w:lang w:val="en-GB"/>
        </w:rPr>
        <w:t>’</w:t>
      </w:r>
      <w:r w:rsidRPr="00831573">
        <w:rPr>
          <w:lang w:val="en-GB"/>
        </w:rPr>
        <w:t xml:space="preserve">s imprisonment was caused by the violation of his Article 6 rights. They disagreed with </w:t>
      </w:r>
      <w:r w:rsidR="000034C0" w:rsidRPr="00831573">
        <w:rPr>
          <w:lang w:val="en-GB"/>
        </w:rPr>
        <w:t>hi</w:t>
      </w:r>
      <w:r w:rsidRPr="00831573">
        <w:rPr>
          <w:lang w:val="en-GB"/>
        </w:rPr>
        <w:t>s argument that it was likely that he would have been detained for a shorter period</w:t>
      </w:r>
      <w:r w:rsidR="000034C0" w:rsidRPr="00831573">
        <w:rPr>
          <w:lang w:val="en-GB"/>
        </w:rPr>
        <w:t xml:space="preserve"> if he had been represented</w:t>
      </w:r>
      <w:r w:rsidRPr="00831573">
        <w:rPr>
          <w:lang w:val="en-GB"/>
        </w:rPr>
        <w:t>. They observed that following a finding of contempt it was for the trial judge to decide on sentence length. They therefore argued that it was impossible to say, with the required amount of confidence, how long the applicant would have been detained. The Government argued that he could have immediately appealed against his sentence and that the Court of Appeal could have granted him bail and/or expedited his case if he had done so. He had had access to legal representation in detention but had failed to appeal until after his sentence</w:t>
      </w:r>
      <w:r w:rsidR="00B0068C" w:rsidRPr="00831573">
        <w:rPr>
          <w:lang w:val="en-GB"/>
        </w:rPr>
        <w:t xml:space="preserve"> had been served</w:t>
      </w:r>
      <w:r w:rsidRPr="00831573">
        <w:rPr>
          <w:lang w:val="en-GB"/>
        </w:rPr>
        <w:t xml:space="preserve">. This fundamentally undermined the </w:t>
      </w:r>
      <w:r w:rsidR="00B0068C" w:rsidRPr="00831573">
        <w:rPr>
          <w:lang w:val="en-GB"/>
        </w:rPr>
        <w:t>“</w:t>
      </w:r>
      <w:r w:rsidRPr="00831573">
        <w:rPr>
          <w:lang w:val="en-GB"/>
        </w:rPr>
        <w:t>chain of causation</w:t>
      </w:r>
      <w:r w:rsidR="00B0068C" w:rsidRPr="00831573">
        <w:rPr>
          <w:lang w:val="en-GB"/>
        </w:rPr>
        <w:t>”</w:t>
      </w:r>
      <w:r w:rsidRPr="00831573">
        <w:rPr>
          <w:lang w:val="en-GB"/>
        </w:rPr>
        <w:t xml:space="preserve"> flowing from the violation of Article 6. Finally, the Government observed that the applicant had received GBP </w:t>
      </w:r>
      <w:r w:rsidR="00C700F4" w:rsidRPr="00831573">
        <w:rPr>
          <w:lang w:val="en-GB"/>
        </w:rPr>
        <w:t>500</w:t>
      </w:r>
      <w:r w:rsidR="001A4F9C" w:rsidRPr="00831573">
        <w:rPr>
          <w:lang w:val="en-GB"/>
        </w:rPr>
        <w:t xml:space="preserve"> </w:t>
      </w:r>
      <w:r w:rsidRPr="00831573">
        <w:rPr>
          <w:lang w:val="en-GB"/>
        </w:rPr>
        <w:t>in compensation as a result of the failings of the lawyers he initially instructed</w:t>
      </w:r>
      <w:r w:rsidR="001A4F9C" w:rsidRPr="00831573">
        <w:rPr>
          <w:lang w:val="en-GB"/>
        </w:rPr>
        <w:t xml:space="preserve"> (paragraph </w:t>
      </w:r>
      <w:r w:rsidR="001A4F9C" w:rsidRPr="00831573">
        <w:rPr>
          <w:lang w:val="en-GB"/>
        </w:rPr>
        <w:fldChar w:fldCharType="begin"/>
      </w:r>
      <w:r w:rsidR="001A4F9C" w:rsidRPr="00831573">
        <w:rPr>
          <w:lang w:val="en-GB"/>
        </w:rPr>
        <w:instrText xml:space="preserve"> REF CompensationLawyer \h </w:instrText>
      </w:r>
      <w:r w:rsidR="001A4F9C" w:rsidRPr="00831573">
        <w:rPr>
          <w:lang w:val="en-GB"/>
        </w:rPr>
      </w:r>
      <w:r w:rsidR="001A4F9C" w:rsidRPr="00831573">
        <w:rPr>
          <w:lang w:val="en-GB"/>
        </w:rPr>
        <w:fldChar w:fldCharType="separate"/>
      </w:r>
      <w:r w:rsidR="00831573" w:rsidRPr="00831573">
        <w:rPr>
          <w:noProof/>
          <w:lang w:val="en-GB"/>
        </w:rPr>
        <w:t>14</w:t>
      </w:r>
      <w:r w:rsidR="001A4F9C" w:rsidRPr="00831573">
        <w:rPr>
          <w:lang w:val="en-GB"/>
        </w:rPr>
        <w:fldChar w:fldCharType="end"/>
      </w:r>
      <w:r w:rsidR="001A4F9C" w:rsidRPr="00831573">
        <w:rPr>
          <w:lang w:val="en-GB"/>
        </w:rPr>
        <w:t xml:space="preserve"> above)</w:t>
      </w:r>
      <w:r w:rsidRPr="00831573">
        <w:rPr>
          <w:lang w:val="en-GB"/>
        </w:rPr>
        <w:t>.</w:t>
      </w:r>
    </w:p>
    <w:p w:rsidR="000F49BF" w:rsidRPr="00831573" w:rsidRDefault="000F49BF" w:rsidP="00831573">
      <w:pPr>
        <w:pStyle w:val="ECHRHeading5"/>
        <w:rPr>
          <w:lang w:val="en-GB"/>
        </w:rPr>
      </w:pPr>
      <w:r w:rsidRPr="00831573">
        <w:rPr>
          <w:lang w:val="en-GB"/>
        </w:rPr>
        <w:t>(</w:t>
      </w:r>
      <w:r w:rsidR="0075518A" w:rsidRPr="00831573">
        <w:rPr>
          <w:lang w:val="en-GB"/>
        </w:rPr>
        <w:t>i</w:t>
      </w:r>
      <w:r w:rsidR="00320B1C" w:rsidRPr="00831573">
        <w:rPr>
          <w:lang w:val="en-GB"/>
        </w:rPr>
        <w:t>i</w:t>
      </w:r>
      <w:r w:rsidR="00874BD6" w:rsidRPr="00831573">
        <w:rPr>
          <w:lang w:val="en-GB"/>
        </w:rPr>
        <w:t>)  </w:t>
      </w:r>
      <w:r w:rsidRPr="00831573">
        <w:rPr>
          <w:lang w:val="en-GB"/>
        </w:rPr>
        <w:t>The applicant</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130</w:t>
      </w:r>
      <w:r w:rsidRPr="00831573">
        <w:rPr>
          <w:lang w:val="en-GB"/>
        </w:rPr>
        <w:fldChar w:fldCharType="end"/>
      </w:r>
      <w:r w:rsidR="00CD0EC4" w:rsidRPr="00831573">
        <w:rPr>
          <w:lang w:val="en-GB"/>
        </w:rPr>
        <w:t>.  </w:t>
      </w:r>
      <w:r w:rsidR="000F49BF" w:rsidRPr="00831573">
        <w:rPr>
          <w:lang w:val="en-GB"/>
        </w:rPr>
        <w:t>The applicant argued that, although the domestic courts had acknowledged that there had been a violation of Article 6, he remained a victim of the violation because the High Court had decided not to award any damages.</w:t>
      </w:r>
    </w:p>
    <w:p w:rsidR="000F49BF" w:rsidRPr="00831573" w:rsidRDefault="000F49BF" w:rsidP="00831573">
      <w:pPr>
        <w:pStyle w:val="ECHRHeading4"/>
        <w:rPr>
          <w:lang w:val="en-GB" w:bidi="en-US"/>
        </w:rPr>
      </w:pPr>
      <w:r w:rsidRPr="00831573">
        <w:rPr>
          <w:lang w:val="en-GB" w:bidi="en-US"/>
        </w:rPr>
        <w:t>(</w:t>
      </w:r>
      <w:r w:rsidR="00320B1C" w:rsidRPr="00831573">
        <w:rPr>
          <w:lang w:val="en-GB" w:bidi="en-US"/>
        </w:rPr>
        <w:t>b</w:t>
      </w:r>
      <w:r w:rsidR="00874BD6" w:rsidRPr="00831573">
        <w:rPr>
          <w:lang w:val="en-GB" w:bidi="en-US"/>
        </w:rPr>
        <w:t>)  </w:t>
      </w:r>
      <w:r w:rsidRPr="00831573">
        <w:rPr>
          <w:lang w:val="en-GB" w:bidi="en-US"/>
        </w:rPr>
        <w:t>The Court</w:t>
      </w:r>
      <w:r w:rsidR="00831573" w:rsidRPr="00831573">
        <w:rPr>
          <w:lang w:val="en-GB" w:bidi="en-US"/>
        </w:rPr>
        <w:t>’</w:t>
      </w:r>
      <w:r w:rsidRPr="00831573">
        <w:rPr>
          <w:lang w:val="en-GB" w:bidi="en-US"/>
        </w:rPr>
        <w:t>s assessment</w:t>
      </w:r>
    </w:p>
    <w:bookmarkStart w:id="48" w:name="ECrtHRA6VictimStart"/>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131</w:t>
      </w:r>
      <w:r w:rsidRPr="00831573">
        <w:rPr>
          <w:lang w:val="en-GB"/>
        </w:rPr>
        <w:fldChar w:fldCharType="end"/>
      </w:r>
      <w:bookmarkEnd w:id="48"/>
      <w:r w:rsidR="00CD0EC4" w:rsidRPr="00831573">
        <w:rPr>
          <w:lang w:val="en-GB"/>
        </w:rPr>
        <w:t>.  </w:t>
      </w:r>
      <w:r w:rsidR="001A4F9C" w:rsidRPr="00831573">
        <w:rPr>
          <w:lang w:val="en-GB"/>
        </w:rPr>
        <w:t>T</w:t>
      </w:r>
      <w:r w:rsidR="000F49BF" w:rsidRPr="00831573">
        <w:rPr>
          <w:lang w:val="en-GB"/>
        </w:rPr>
        <w:t xml:space="preserve">he Court reiterates that an applicant is deprived of his or her status as a </w:t>
      </w:r>
      <w:r w:rsidR="00027DCB" w:rsidRPr="00831573">
        <w:rPr>
          <w:lang w:val="en-GB"/>
        </w:rPr>
        <w:t>“</w:t>
      </w:r>
      <w:r w:rsidR="000F49BF" w:rsidRPr="00831573">
        <w:rPr>
          <w:lang w:val="en-GB"/>
        </w:rPr>
        <w:t>victim</w:t>
      </w:r>
      <w:r w:rsidR="00027DCB" w:rsidRPr="00831573">
        <w:rPr>
          <w:lang w:val="en-GB"/>
        </w:rPr>
        <w:t>”</w:t>
      </w:r>
      <w:r w:rsidR="000F49BF" w:rsidRPr="00831573">
        <w:rPr>
          <w:lang w:val="en-GB"/>
        </w:rPr>
        <w:t xml:space="preserve"> </w:t>
      </w:r>
      <w:r w:rsidR="00027DCB" w:rsidRPr="00831573">
        <w:rPr>
          <w:lang w:val="en-GB"/>
        </w:rPr>
        <w:t xml:space="preserve">within the meaning of Article 34 of the Convention </w:t>
      </w:r>
      <w:r w:rsidR="000F49BF" w:rsidRPr="00831573">
        <w:rPr>
          <w:lang w:val="en-GB"/>
        </w:rPr>
        <w:t xml:space="preserve">if the national authorities have acknowledged, either expressly or in substance, and then afforded appropriate and sufficient redress for, a breach of the Convention (see, for example, </w:t>
      </w:r>
      <w:r w:rsidR="000F49BF" w:rsidRPr="00831573">
        <w:rPr>
          <w:i/>
          <w:szCs w:val="24"/>
          <w:lang w:val="en-GB"/>
        </w:rPr>
        <w:t>Scordino</w:t>
      </w:r>
      <w:r w:rsidR="00190BF6" w:rsidRPr="00831573">
        <w:rPr>
          <w:i/>
          <w:szCs w:val="24"/>
          <w:lang w:val="en-GB"/>
        </w:rPr>
        <w:t xml:space="preserve"> </w:t>
      </w:r>
      <w:r w:rsidR="000F49BF" w:rsidRPr="00831573">
        <w:rPr>
          <w:i/>
          <w:szCs w:val="24"/>
          <w:lang w:val="en-GB"/>
        </w:rPr>
        <w:t>v.</w:t>
      </w:r>
      <w:r w:rsidR="00190BF6" w:rsidRPr="00831573">
        <w:rPr>
          <w:i/>
          <w:szCs w:val="24"/>
          <w:lang w:val="en-GB"/>
        </w:rPr>
        <w:t xml:space="preserve"> </w:t>
      </w:r>
      <w:r w:rsidR="000F49BF" w:rsidRPr="00831573">
        <w:rPr>
          <w:i/>
          <w:iCs/>
          <w:lang w:val="en-GB"/>
        </w:rPr>
        <w:t>Italy</w:t>
      </w:r>
      <w:r w:rsidR="00190BF6" w:rsidRPr="00831573">
        <w:rPr>
          <w:i/>
          <w:iCs/>
          <w:lang w:val="en-GB"/>
        </w:rPr>
        <w:t xml:space="preserve"> </w:t>
      </w:r>
      <w:r w:rsidR="000F49BF" w:rsidRPr="00831573">
        <w:rPr>
          <w:i/>
          <w:iCs/>
          <w:lang w:val="en-GB"/>
        </w:rPr>
        <w:t xml:space="preserve">(no. 1) </w:t>
      </w:r>
      <w:r w:rsidR="000F49BF" w:rsidRPr="00831573">
        <w:rPr>
          <w:szCs w:val="24"/>
          <w:lang w:val="en-GB"/>
        </w:rPr>
        <w:t>[GC],</w:t>
      </w:r>
      <w:r w:rsidR="00190BF6" w:rsidRPr="00831573">
        <w:rPr>
          <w:szCs w:val="24"/>
          <w:lang w:val="en-GB"/>
        </w:rPr>
        <w:t xml:space="preserve"> </w:t>
      </w:r>
      <w:r w:rsidR="000F49BF" w:rsidRPr="00831573">
        <w:rPr>
          <w:szCs w:val="24"/>
          <w:lang w:val="en-GB"/>
        </w:rPr>
        <w:t>no. 36813/97, §§ 178-193, ECHR 2006</w:t>
      </w:r>
      <w:r w:rsidR="000F49BF" w:rsidRPr="00831573">
        <w:rPr>
          <w:szCs w:val="24"/>
          <w:lang w:val="en-GB"/>
        </w:rPr>
        <w:noBreakHyphen/>
        <w:t>V</w:t>
      </w:r>
      <w:r w:rsidR="000F49BF" w:rsidRPr="00831573">
        <w:rPr>
          <w:lang w:val="en-GB"/>
        </w:rPr>
        <w:t>).</w:t>
      </w:r>
    </w:p>
    <w:bookmarkStart w:id="49" w:name="CAHCAcceptViolation"/>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132</w:t>
      </w:r>
      <w:r w:rsidRPr="00831573">
        <w:rPr>
          <w:lang w:val="en-GB"/>
        </w:rPr>
        <w:fldChar w:fldCharType="end"/>
      </w:r>
      <w:bookmarkEnd w:id="49"/>
      <w:r w:rsidR="000F49BF" w:rsidRPr="00831573">
        <w:rPr>
          <w:lang w:val="en-GB"/>
        </w:rPr>
        <w:t>.</w:t>
      </w:r>
      <w:r w:rsidR="00CD0EC4" w:rsidRPr="00831573">
        <w:rPr>
          <w:lang w:val="en-GB"/>
        </w:rPr>
        <w:t>  </w:t>
      </w:r>
      <w:r w:rsidR="000F49BF" w:rsidRPr="00831573">
        <w:rPr>
          <w:lang w:val="en-GB"/>
        </w:rPr>
        <w:t xml:space="preserve">As regards the first condition, namely the acknowledgement of a violation of the Convention, </w:t>
      </w:r>
      <w:r w:rsidR="001A4F9C" w:rsidRPr="00831573">
        <w:rPr>
          <w:lang w:val="en-GB"/>
        </w:rPr>
        <w:t>t</w:t>
      </w:r>
      <w:r w:rsidR="000F49BF" w:rsidRPr="00831573">
        <w:rPr>
          <w:lang w:val="en-GB"/>
        </w:rPr>
        <w:t>he Court considers that the findings of both the Court of Appeal and the High Court</w:t>
      </w:r>
      <w:r w:rsidR="00992E5B" w:rsidRPr="00831573">
        <w:rPr>
          <w:lang w:val="en-GB"/>
        </w:rPr>
        <w:t xml:space="preserve"> amounted to an acknowledgment </w:t>
      </w:r>
      <w:r w:rsidR="000F49BF" w:rsidRPr="00831573">
        <w:rPr>
          <w:lang w:val="en-GB"/>
        </w:rPr>
        <w:t xml:space="preserve">that there had been a </w:t>
      </w:r>
      <w:r w:rsidR="00C13D41" w:rsidRPr="00831573">
        <w:rPr>
          <w:lang w:val="en-GB"/>
        </w:rPr>
        <w:t>violation</w:t>
      </w:r>
      <w:r w:rsidR="000F49BF" w:rsidRPr="00831573">
        <w:rPr>
          <w:lang w:val="en-GB"/>
        </w:rPr>
        <w:t xml:space="preserve"> of Article 6 of the Convention. </w:t>
      </w:r>
      <w:r w:rsidR="008F2BFA" w:rsidRPr="00831573">
        <w:rPr>
          <w:lang w:val="en-GB"/>
        </w:rPr>
        <w:t>In particular, the Court of Appeal decided to quash the decision of the County Court</w:t>
      </w:r>
      <w:r w:rsidR="00F91FD6" w:rsidRPr="00831573">
        <w:rPr>
          <w:lang w:val="en-GB"/>
        </w:rPr>
        <w:t xml:space="preserve"> because the applicant had not been represented</w:t>
      </w:r>
      <w:r w:rsidR="008F2BFA" w:rsidRPr="00831573">
        <w:rPr>
          <w:lang w:val="en-GB"/>
        </w:rPr>
        <w:t xml:space="preserve">. In </w:t>
      </w:r>
      <w:r w:rsidR="008F2BFA" w:rsidRPr="00831573">
        <w:rPr>
          <w:i/>
          <w:lang w:val="en-GB"/>
        </w:rPr>
        <w:t>Sakhnovskiy v.</w:t>
      </w:r>
      <w:r w:rsidR="00190BF6" w:rsidRPr="00831573">
        <w:rPr>
          <w:i/>
          <w:lang w:val="en-GB"/>
        </w:rPr>
        <w:t xml:space="preserve"> </w:t>
      </w:r>
      <w:r w:rsidR="008F2BFA" w:rsidRPr="00831573">
        <w:rPr>
          <w:i/>
          <w:lang w:val="en-GB"/>
        </w:rPr>
        <w:t>Russia</w:t>
      </w:r>
      <w:r w:rsidR="007D5256" w:rsidRPr="00831573">
        <w:rPr>
          <w:lang w:val="en-GB"/>
        </w:rPr>
        <w:t>, no. </w:t>
      </w:r>
      <w:r w:rsidR="008F2BFA" w:rsidRPr="00831573">
        <w:rPr>
          <w:lang w:val="en-GB"/>
        </w:rPr>
        <w:t xml:space="preserve">21272/03, § 35, 5 February 2009 the Court </w:t>
      </w:r>
      <w:r w:rsidR="00027DCB" w:rsidRPr="00831573">
        <w:rPr>
          <w:lang w:val="en-GB"/>
        </w:rPr>
        <w:t xml:space="preserve">held </w:t>
      </w:r>
      <w:r w:rsidR="008F2BFA" w:rsidRPr="00831573">
        <w:rPr>
          <w:lang w:val="en-GB"/>
        </w:rPr>
        <w:t>that such a decision amounted to an acknowledgment that there had been a violation of Article</w:t>
      </w:r>
      <w:r w:rsidR="00F91FD6" w:rsidRPr="00831573">
        <w:rPr>
          <w:lang w:val="en-GB"/>
        </w:rPr>
        <w:t> </w:t>
      </w:r>
      <w:r w:rsidR="008F2BFA" w:rsidRPr="00831573">
        <w:rPr>
          <w:lang w:val="en-GB"/>
        </w:rPr>
        <w:t xml:space="preserve">6. </w:t>
      </w:r>
      <w:r w:rsidR="0023451A" w:rsidRPr="00831573">
        <w:rPr>
          <w:lang w:val="en-GB"/>
        </w:rPr>
        <w:t>Accordingly</w:t>
      </w:r>
      <w:r w:rsidR="00F91FD6" w:rsidRPr="00831573">
        <w:rPr>
          <w:lang w:val="en-GB"/>
        </w:rPr>
        <w:t xml:space="preserve">, the Court finds that the domestic authorities in the present case have acknowledged a violation of Article 6 </w:t>
      </w:r>
      <w:r w:rsidR="00F91FD6" w:rsidRPr="00831573">
        <w:rPr>
          <w:rFonts w:cstheme="minorHAnsi"/>
          <w:lang w:val="en-GB"/>
        </w:rPr>
        <w:t>§</w:t>
      </w:r>
      <w:r w:rsidR="00F91FD6" w:rsidRPr="00831573">
        <w:rPr>
          <w:lang w:val="en-GB"/>
        </w:rPr>
        <w:t xml:space="preserve"> 1 taken together with Article 6</w:t>
      </w:r>
      <w:r w:rsidR="00190BF6" w:rsidRPr="00831573">
        <w:rPr>
          <w:lang w:val="en-GB"/>
        </w:rPr>
        <w:t xml:space="preserve"> </w:t>
      </w:r>
      <w:r w:rsidR="00F91FD6" w:rsidRPr="00831573">
        <w:rPr>
          <w:rFonts w:cstheme="minorHAnsi"/>
          <w:lang w:val="en-GB"/>
        </w:rPr>
        <w:t>§ </w:t>
      </w:r>
      <w:r w:rsidR="00F91FD6" w:rsidRPr="00831573">
        <w:rPr>
          <w:lang w:val="en-GB"/>
        </w:rPr>
        <w:t>3 (c).</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133</w:t>
      </w:r>
      <w:r w:rsidRPr="00831573">
        <w:rPr>
          <w:lang w:val="en-GB"/>
        </w:rPr>
        <w:fldChar w:fldCharType="end"/>
      </w:r>
      <w:r w:rsidR="000F49BF" w:rsidRPr="00831573">
        <w:rPr>
          <w:lang w:val="en-GB"/>
        </w:rPr>
        <w:t>.</w:t>
      </w:r>
      <w:r w:rsidR="00A13399" w:rsidRPr="00831573">
        <w:rPr>
          <w:lang w:val="en-GB"/>
        </w:rPr>
        <w:t>  </w:t>
      </w:r>
      <w:r w:rsidR="00F91FD6" w:rsidRPr="00831573">
        <w:rPr>
          <w:lang w:val="en-GB"/>
        </w:rPr>
        <w:t>T</w:t>
      </w:r>
      <w:r w:rsidR="000F49BF" w:rsidRPr="00831573">
        <w:rPr>
          <w:lang w:val="en-GB"/>
        </w:rPr>
        <w:t xml:space="preserve">he Court must </w:t>
      </w:r>
      <w:r w:rsidR="00F91FD6" w:rsidRPr="00831573">
        <w:rPr>
          <w:lang w:val="en-GB"/>
        </w:rPr>
        <w:t xml:space="preserve">therefore </w:t>
      </w:r>
      <w:r w:rsidR="000F49BF" w:rsidRPr="00831573">
        <w:rPr>
          <w:lang w:val="en-GB"/>
        </w:rPr>
        <w:t xml:space="preserve">ascertain whether </w:t>
      </w:r>
      <w:r w:rsidR="00433887" w:rsidRPr="00831573">
        <w:rPr>
          <w:lang w:val="en-GB"/>
        </w:rPr>
        <w:t xml:space="preserve">the applicant was afforded appropriate redress </w:t>
      </w:r>
      <w:r w:rsidR="000F49BF" w:rsidRPr="00831573">
        <w:rPr>
          <w:lang w:val="en-GB"/>
        </w:rPr>
        <w:t xml:space="preserve">in the circumstances of the </w:t>
      </w:r>
      <w:r w:rsidR="00433887" w:rsidRPr="00831573">
        <w:rPr>
          <w:lang w:val="en-GB"/>
        </w:rPr>
        <w:t xml:space="preserve">present </w:t>
      </w:r>
      <w:r w:rsidR="000F49BF" w:rsidRPr="00831573">
        <w:rPr>
          <w:lang w:val="en-GB"/>
        </w:rPr>
        <w:t>case.</w:t>
      </w:r>
    </w:p>
    <w:p w:rsidR="000F49BF" w:rsidRPr="00831573" w:rsidRDefault="00AE1F98" w:rsidP="00831573">
      <w:pPr>
        <w:pStyle w:val="ECHRPara"/>
        <w:rPr>
          <w:szCs w:val="24"/>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134</w:t>
      </w:r>
      <w:r w:rsidRPr="00831573">
        <w:rPr>
          <w:lang w:val="en-GB"/>
        </w:rPr>
        <w:fldChar w:fldCharType="end"/>
      </w:r>
      <w:r w:rsidR="00A13399" w:rsidRPr="00831573">
        <w:rPr>
          <w:lang w:val="en-GB"/>
        </w:rPr>
        <w:t>.  </w:t>
      </w:r>
      <w:r w:rsidR="00891BAB" w:rsidRPr="00831573">
        <w:rPr>
          <w:lang w:val="en-GB"/>
        </w:rPr>
        <w:t>As regards</w:t>
      </w:r>
      <w:r w:rsidR="000F49BF" w:rsidRPr="00831573">
        <w:rPr>
          <w:lang w:val="en-GB"/>
        </w:rPr>
        <w:t xml:space="preserve"> </w:t>
      </w:r>
      <w:r w:rsidR="00891BAB" w:rsidRPr="00831573">
        <w:rPr>
          <w:lang w:val="en-GB"/>
        </w:rPr>
        <w:t xml:space="preserve">awards of </w:t>
      </w:r>
      <w:r w:rsidR="00B90E14" w:rsidRPr="00831573">
        <w:rPr>
          <w:lang w:val="en-GB"/>
        </w:rPr>
        <w:t>non-</w:t>
      </w:r>
      <w:r w:rsidR="000F49BF" w:rsidRPr="00831573">
        <w:rPr>
          <w:lang w:val="en-GB"/>
        </w:rPr>
        <w:t>pecuniary damages for violations of Article 6, it is well established in the Court</w:t>
      </w:r>
      <w:r w:rsidR="00831573" w:rsidRPr="00831573">
        <w:rPr>
          <w:lang w:val="en-GB"/>
        </w:rPr>
        <w:t>’</w:t>
      </w:r>
      <w:r w:rsidR="000F49BF" w:rsidRPr="00831573">
        <w:rPr>
          <w:lang w:val="en-GB"/>
        </w:rPr>
        <w:t xml:space="preserve">s case-law that </w:t>
      </w:r>
      <w:r w:rsidR="00912B90" w:rsidRPr="00831573">
        <w:rPr>
          <w:lang w:val="en-GB"/>
        </w:rPr>
        <w:t xml:space="preserve">the Court </w:t>
      </w:r>
      <w:r w:rsidR="00992E5B" w:rsidRPr="00831573">
        <w:rPr>
          <w:lang w:val="en-GB"/>
        </w:rPr>
        <w:t xml:space="preserve">itself </w:t>
      </w:r>
      <w:r w:rsidR="000F49BF" w:rsidRPr="00831573">
        <w:rPr>
          <w:lang w:val="en-GB"/>
        </w:rPr>
        <w:t xml:space="preserve">will not speculate as to what </w:t>
      </w:r>
      <w:r w:rsidR="00992E5B" w:rsidRPr="00831573">
        <w:rPr>
          <w:lang w:val="en-GB"/>
        </w:rPr>
        <w:t xml:space="preserve">the outcome of the relevant proceedings might have been </w:t>
      </w:r>
      <w:r w:rsidR="000F49BF" w:rsidRPr="00831573">
        <w:rPr>
          <w:lang w:val="en-GB"/>
        </w:rPr>
        <w:t>had there been no breach of the procedural guarantees of that provision (</w:t>
      </w:r>
      <w:r w:rsidR="00912B90" w:rsidRPr="00831573">
        <w:rPr>
          <w:lang w:val="en-GB"/>
        </w:rPr>
        <w:t>see, for example,</w:t>
      </w:r>
      <w:r w:rsidR="000F49BF" w:rsidRPr="00831573">
        <w:rPr>
          <w:lang w:val="en-GB"/>
        </w:rPr>
        <w:t xml:space="preserve"> </w:t>
      </w:r>
      <w:r w:rsidR="000F49BF" w:rsidRPr="00831573">
        <w:rPr>
          <w:i/>
          <w:lang w:val="en-GB"/>
        </w:rPr>
        <w:t>Ezeh and Connors</w:t>
      </w:r>
      <w:r w:rsidR="00145A74" w:rsidRPr="00831573">
        <w:rPr>
          <w:lang w:val="en-GB"/>
        </w:rPr>
        <w:t>,</w:t>
      </w:r>
      <w:r w:rsidR="000F49BF" w:rsidRPr="00831573">
        <w:rPr>
          <w:i/>
          <w:lang w:val="en-GB"/>
        </w:rPr>
        <w:t xml:space="preserve"> </w:t>
      </w:r>
      <w:r w:rsidR="00145A74" w:rsidRPr="00831573">
        <w:rPr>
          <w:lang w:val="en-GB"/>
        </w:rPr>
        <w:t>cited above</w:t>
      </w:r>
      <w:r w:rsidR="000F49BF" w:rsidRPr="00831573">
        <w:rPr>
          <w:lang w:val="en-GB"/>
        </w:rPr>
        <w:t>, §§ 141-143, ECHR 2003</w:t>
      </w:r>
      <w:r w:rsidR="000F49BF" w:rsidRPr="00831573">
        <w:rPr>
          <w:lang w:val="en-GB"/>
        </w:rPr>
        <w:noBreakHyphen/>
        <w:t xml:space="preserve">X; and </w:t>
      </w:r>
      <w:r w:rsidR="000F49BF" w:rsidRPr="00831573">
        <w:rPr>
          <w:i/>
          <w:lang w:val="en-GB"/>
        </w:rPr>
        <w:t xml:space="preserve">Lloyd and </w:t>
      </w:r>
      <w:r w:rsidR="00027DCB" w:rsidRPr="00831573">
        <w:rPr>
          <w:i/>
          <w:lang w:val="en-GB"/>
        </w:rPr>
        <w:t>O</w:t>
      </w:r>
      <w:r w:rsidR="000F49BF" w:rsidRPr="00831573">
        <w:rPr>
          <w:i/>
          <w:lang w:val="en-GB"/>
        </w:rPr>
        <w:t>thers</w:t>
      </w:r>
      <w:r w:rsidR="000F49BF" w:rsidRPr="00831573">
        <w:rPr>
          <w:lang w:val="en-GB"/>
        </w:rPr>
        <w:t>, cited above, § 153). However, if the Court finds special featur</w:t>
      </w:r>
      <w:r w:rsidR="00992E5B" w:rsidRPr="00831573">
        <w:rPr>
          <w:lang w:val="en-GB"/>
        </w:rPr>
        <w:t>es in the case, amounting to a “</w:t>
      </w:r>
      <w:r w:rsidR="000F49BF" w:rsidRPr="00831573">
        <w:rPr>
          <w:lang w:val="en-GB"/>
        </w:rPr>
        <w:t>real loss of opportunity</w:t>
      </w:r>
      <w:r w:rsidR="00992E5B" w:rsidRPr="00831573">
        <w:rPr>
          <w:lang w:val="en-GB"/>
        </w:rPr>
        <w:t>”</w:t>
      </w:r>
      <w:r w:rsidR="00035B28" w:rsidRPr="00831573">
        <w:rPr>
          <w:lang w:val="en-GB"/>
        </w:rPr>
        <w:t>,</w:t>
      </w:r>
      <w:r w:rsidR="000F49BF" w:rsidRPr="00831573">
        <w:rPr>
          <w:lang w:val="en-GB"/>
        </w:rPr>
        <w:t xml:space="preserve"> it may award such damages (</w:t>
      </w:r>
      <w:r w:rsidR="00912B90" w:rsidRPr="00831573">
        <w:rPr>
          <w:lang w:val="en-GB"/>
        </w:rPr>
        <w:t xml:space="preserve">see, for example, </w:t>
      </w:r>
      <w:r w:rsidR="000F49BF" w:rsidRPr="00831573">
        <w:rPr>
          <w:i/>
          <w:lang w:val="en-GB"/>
        </w:rPr>
        <w:t>Goddi v. Italy</w:t>
      </w:r>
      <w:r w:rsidR="00831573" w:rsidRPr="00831573">
        <w:rPr>
          <w:lang w:val="en-GB"/>
        </w:rPr>
        <w:t>, 9 </w:t>
      </w:r>
      <w:r w:rsidR="000F49BF" w:rsidRPr="00831573">
        <w:rPr>
          <w:lang w:val="en-GB"/>
        </w:rPr>
        <w:t>April 1984, § 35, Series A no. 76 and</w:t>
      </w:r>
      <w:r w:rsidR="00912B90" w:rsidRPr="00831573">
        <w:rPr>
          <w:lang w:val="en-GB"/>
        </w:rPr>
        <w:t xml:space="preserve"> more recently</w:t>
      </w:r>
      <w:r w:rsidR="000F49BF" w:rsidRPr="00831573">
        <w:rPr>
          <w:i/>
          <w:lang w:val="en-GB"/>
        </w:rPr>
        <w:t xml:space="preserve"> Whitfield and Others v. the United Kingdom</w:t>
      </w:r>
      <w:r w:rsidR="000F49BF" w:rsidRPr="00831573">
        <w:rPr>
          <w:lang w:val="en-GB"/>
        </w:rPr>
        <w:t>,</w:t>
      </w:r>
      <w:r w:rsidR="00190BF6" w:rsidRPr="00831573">
        <w:rPr>
          <w:lang w:val="en-GB"/>
        </w:rPr>
        <w:t xml:space="preserve"> </w:t>
      </w:r>
      <w:r w:rsidR="000F49BF" w:rsidRPr="00831573">
        <w:rPr>
          <w:lang w:val="en-GB"/>
        </w:rPr>
        <w:t>nos.</w:t>
      </w:r>
      <w:r w:rsidR="00190BF6" w:rsidRPr="00831573">
        <w:rPr>
          <w:lang w:val="en-GB"/>
        </w:rPr>
        <w:t xml:space="preserve"> </w:t>
      </w:r>
      <w:r w:rsidR="000F49BF" w:rsidRPr="00831573">
        <w:rPr>
          <w:lang w:val="en-GB"/>
        </w:rPr>
        <w:t>46387/99, 48906/99, 57410/00 and 57419/00, §§ 57-60, 12</w:t>
      </w:r>
      <w:r w:rsidR="00190BF6" w:rsidRPr="00831573">
        <w:rPr>
          <w:lang w:val="en-GB"/>
        </w:rPr>
        <w:t xml:space="preserve"> </w:t>
      </w:r>
      <w:r w:rsidR="000F49BF" w:rsidRPr="00831573">
        <w:rPr>
          <w:lang w:val="en-GB"/>
        </w:rPr>
        <w:t>April 2005).</w:t>
      </w:r>
    </w:p>
    <w:p w:rsidR="00336750"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135</w:t>
      </w:r>
      <w:r w:rsidRPr="00831573">
        <w:rPr>
          <w:lang w:val="en-GB"/>
        </w:rPr>
        <w:fldChar w:fldCharType="end"/>
      </w:r>
      <w:r w:rsidR="00973074" w:rsidRPr="00831573">
        <w:rPr>
          <w:lang w:val="en-GB"/>
        </w:rPr>
        <w:t>.  </w:t>
      </w:r>
      <w:r w:rsidR="0023626B" w:rsidRPr="00831573">
        <w:rPr>
          <w:lang w:val="en-GB"/>
        </w:rPr>
        <w:t>T</w:t>
      </w:r>
      <w:r w:rsidR="00891BAB" w:rsidRPr="00831573">
        <w:rPr>
          <w:lang w:val="en-GB"/>
        </w:rPr>
        <w:t>he Court observes that</w:t>
      </w:r>
      <w:r w:rsidR="00912B90" w:rsidRPr="00831573">
        <w:rPr>
          <w:lang w:val="en-GB"/>
        </w:rPr>
        <w:t xml:space="preserve"> the</w:t>
      </w:r>
      <w:r w:rsidR="00891BAB" w:rsidRPr="00831573">
        <w:rPr>
          <w:lang w:val="en-GB"/>
        </w:rPr>
        <w:t xml:space="preserve"> </w:t>
      </w:r>
      <w:r w:rsidR="00912B90" w:rsidRPr="00831573">
        <w:rPr>
          <w:lang w:val="en-GB"/>
        </w:rPr>
        <w:t xml:space="preserve">Court of Appeal quashed </w:t>
      </w:r>
      <w:r w:rsidR="00891BAB" w:rsidRPr="00831573">
        <w:rPr>
          <w:lang w:val="en-GB"/>
        </w:rPr>
        <w:t>the County Court</w:t>
      </w:r>
      <w:r w:rsidR="00831573" w:rsidRPr="00831573">
        <w:rPr>
          <w:lang w:val="en-GB"/>
        </w:rPr>
        <w:t>’</w:t>
      </w:r>
      <w:r w:rsidR="00891BAB" w:rsidRPr="00831573">
        <w:rPr>
          <w:lang w:val="en-GB"/>
        </w:rPr>
        <w:t xml:space="preserve">s finding of contempt. In the course of </w:t>
      </w:r>
      <w:r w:rsidR="00912B90" w:rsidRPr="00831573">
        <w:rPr>
          <w:lang w:val="en-GB"/>
        </w:rPr>
        <w:t>doing so</w:t>
      </w:r>
      <w:r w:rsidR="00891BAB" w:rsidRPr="00831573">
        <w:rPr>
          <w:lang w:val="en-GB"/>
        </w:rPr>
        <w:t xml:space="preserve">, the Court of Appeal found </w:t>
      </w:r>
      <w:r w:rsidR="00B32840" w:rsidRPr="00831573">
        <w:rPr>
          <w:lang w:val="en-GB"/>
        </w:rPr>
        <w:t>that the case was not one where it could decline to take action despite a violation of Article 6 and there was ample material to suggest representation would have made a difference</w:t>
      </w:r>
      <w:r w:rsidR="00C700F4" w:rsidRPr="00831573">
        <w:rPr>
          <w:lang w:val="en-GB"/>
        </w:rPr>
        <w:t xml:space="preserve"> </w:t>
      </w:r>
      <w:r w:rsidR="00F91FD6" w:rsidRPr="00831573">
        <w:rPr>
          <w:lang w:val="en-GB"/>
        </w:rPr>
        <w:t>(see paragraph</w:t>
      </w:r>
      <w:r w:rsidR="002E09D4" w:rsidRPr="00831573">
        <w:rPr>
          <w:lang w:val="en-GB"/>
        </w:rPr>
        <w:t> </w:t>
      </w:r>
      <w:r w:rsidR="00B32840" w:rsidRPr="00831573">
        <w:rPr>
          <w:lang w:val="en-GB"/>
        </w:rPr>
        <w:fldChar w:fldCharType="begin"/>
      </w:r>
      <w:r w:rsidR="00B32840" w:rsidRPr="00831573">
        <w:rPr>
          <w:lang w:val="en-GB"/>
        </w:rPr>
        <w:instrText xml:space="preserve"> REF CASentencingError \h </w:instrText>
      </w:r>
      <w:r w:rsidR="00B32840" w:rsidRPr="00831573">
        <w:rPr>
          <w:lang w:val="en-GB"/>
        </w:rPr>
      </w:r>
      <w:r w:rsidR="00B32840" w:rsidRPr="00831573">
        <w:rPr>
          <w:lang w:val="en-GB"/>
        </w:rPr>
        <w:fldChar w:fldCharType="separate"/>
      </w:r>
      <w:r w:rsidR="00831573" w:rsidRPr="00831573">
        <w:rPr>
          <w:noProof/>
          <w:lang w:val="en-GB"/>
        </w:rPr>
        <w:t>23</w:t>
      </w:r>
      <w:r w:rsidR="00B32840" w:rsidRPr="00831573">
        <w:rPr>
          <w:lang w:val="en-GB"/>
        </w:rPr>
        <w:fldChar w:fldCharType="end"/>
      </w:r>
      <w:r w:rsidR="00F91FD6" w:rsidRPr="00831573">
        <w:rPr>
          <w:lang w:val="en-GB"/>
        </w:rPr>
        <w:t xml:space="preserve"> above)</w:t>
      </w:r>
      <w:r w:rsidR="00C30FC1" w:rsidRPr="00831573">
        <w:rPr>
          <w:lang w:val="en-GB"/>
        </w:rPr>
        <w:t xml:space="preserve">. </w:t>
      </w:r>
      <w:r w:rsidR="00A6214D" w:rsidRPr="00831573">
        <w:rPr>
          <w:lang w:val="en-GB"/>
        </w:rPr>
        <w:t>In the subsequent damages claim, t</w:t>
      </w:r>
      <w:r w:rsidR="00C30FC1" w:rsidRPr="00831573">
        <w:rPr>
          <w:lang w:val="en-GB"/>
        </w:rPr>
        <w:t xml:space="preserve">he High Court </w:t>
      </w:r>
      <w:r w:rsidR="00027DCB" w:rsidRPr="00831573">
        <w:rPr>
          <w:lang w:val="en-GB"/>
        </w:rPr>
        <w:t xml:space="preserve">accepted </w:t>
      </w:r>
      <w:r w:rsidR="00C30FC1" w:rsidRPr="00831573">
        <w:rPr>
          <w:lang w:val="en-GB"/>
        </w:rPr>
        <w:t xml:space="preserve">that </w:t>
      </w:r>
      <w:r w:rsidR="00912B90" w:rsidRPr="00831573">
        <w:rPr>
          <w:lang w:val="en-GB"/>
        </w:rPr>
        <w:t>the applicant</w:t>
      </w:r>
      <w:r w:rsidR="00B32840" w:rsidRPr="00831573">
        <w:rPr>
          <w:lang w:val="en-GB"/>
        </w:rPr>
        <w:t xml:space="preserve"> would have served a significantly shorter prison sentence had he been represented and </w:t>
      </w:r>
      <w:r w:rsidR="00027DCB" w:rsidRPr="00831573">
        <w:rPr>
          <w:lang w:val="en-GB"/>
        </w:rPr>
        <w:t>took the view</w:t>
      </w:r>
      <w:r w:rsidR="00B32840" w:rsidRPr="00831573">
        <w:rPr>
          <w:lang w:val="en-GB"/>
        </w:rPr>
        <w:t xml:space="preserve"> that </w:t>
      </w:r>
      <w:r w:rsidR="00C30FC1" w:rsidRPr="00831573">
        <w:rPr>
          <w:lang w:val="en-GB"/>
        </w:rPr>
        <w:t xml:space="preserve">he would have </w:t>
      </w:r>
      <w:r w:rsidR="00B32840" w:rsidRPr="00831573">
        <w:rPr>
          <w:lang w:val="en-GB"/>
        </w:rPr>
        <w:t>been given a two</w:t>
      </w:r>
      <w:r w:rsidR="00C700F4" w:rsidRPr="00831573">
        <w:rPr>
          <w:lang w:val="en-GB"/>
        </w:rPr>
        <w:t>-</w:t>
      </w:r>
      <w:r w:rsidR="00B32840" w:rsidRPr="00831573">
        <w:rPr>
          <w:lang w:val="en-GB"/>
        </w:rPr>
        <w:t xml:space="preserve">week prison sentence and not the </w:t>
      </w:r>
      <w:r w:rsidR="00C700F4" w:rsidRPr="00831573">
        <w:rPr>
          <w:lang w:val="en-GB"/>
        </w:rPr>
        <w:t>three-</w:t>
      </w:r>
      <w:r w:rsidR="00B32840" w:rsidRPr="00831573">
        <w:rPr>
          <w:lang w:val="en-GB"/>
        </w:rPr>
        <w:t xml:space="preserve">month sentence he actually received. He would therefore have </w:t>
      </w:r>
      <w:r w:rsidR="00C30FC1" w:rsidRPr="00831573">
        <w:rPr>
          <w:lang w:val="en-GB"/>
        </w:rPr>
        <w:t>served one week in prison instead of six</w:t>
      </w:r>
      <w:r w:rsidR="00B32840" w:rsidRPr="00831573">
        <w:rPr>
          <w:lang w:val="en-GB"/>
        </w:rPr>
        <w:t xml:space="preserve"> (see paragraph</w:t>
      </w:r>
      <w:r w:rsidR="00574CB5" w:rsidRPr="00831573">
        <w:rPr>
          <w:lang w:val="en-GB"/>
        </w:rPr>
        <w:t> </w:t>
      </w:r>
      <w:r w:rsidR="00B32840" w:rsidRPr="00831573">
        <w:rPr>
          <w:lang w:val="en-GB"/>
        </w:rPr>
        <w:fldChar w:fldCharType="begin"/>
      </w:r>
      <w:r w:rsidR="00B32840" w:rsidRPr="00831573">
        <w:rPr>
          <w:lang w:val="en-GB"/>
        </w:rPr>
        <w:instrText xml:space="preserve"> REF HCSentencingError \h </w:instrText>
      </w:r>
      <w:r w:rsidR="00B32840" w:rsidRPr="00831573">
        <w:rPr>
          <w:lang w:val="en-GB"/>
        </w:rPr>
      </w:r>
      <w:r w:rsidR="00B32840" w:rsidRPr="00831573">
        <w:rPr>
          <w:lang w:val="en-GB"/>
        </w:rPr>
        <w:fldChar w:fldCharType="separate"/>
      </w:r>
      <w:r w:rsidR="00831573" w:rsidRPr="00831573">
        <w:rPr>
          <w:noProof/>
          <w:lang w:val="en-GB"/>
        </w:rPr>
        <w:t>34</w:t>
      </w:r>
      <w:r w:rsidR="00B32840" w:rsidRPr="00831573">
        <w:rPr>
          <w:lang w:val="en-GB"/>
        </w:rPr>
        <w:fldChar w:fldCharType="end"/>
      </w:r>
      <w:r w:rsidR="00B32840" w:rsidRPr="00831573">
        <w:rPr>
          <w:lang w:val="en-GB"/>
        </w:rPr>
        <w:t xml:space="preserve"> above)</w:t>
      </w:r>
      <w:r w:rsidR="00C30FC1" w:rsidRPr="00831573">
        <w:rPr>
          <w:lang w:val="en-GB"/>
        </w:rPr>
        <w:t>.</w:t>
      </w:r>
    </w:p>
    <w:bookmarkStart w:id="50" w:name="ECrtHRA6VictimPenultimate"/>
    <w:p w:rsidR="000F49BF" w:rsidRPr="00831573" w:rsidRDefault="0033675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136</w:t>
      </w:r>
      <w:r w:rsidRPr="00831573">
        <w:rPr>
          <w:lang w:val="en-GB"/>
        </w:rPr>
        <w:fldChar w:fldCharType="end"/>
      </w:r>
      <w:bookmarkEnd w:id="50"/>
      <w:r w:rsidRPr="00831573">
        <w:rPr>
          <w:lang w:val="en-GB"/>
        </w:rPr>
        <w:t>.  </w:t>
      </w:r>
      <w:r w:rsidR="00993E9D" w:rsidRPr="00831573">
        <w:rPr>
          <w:lang w:val="en-GB"/>
        </w:rPr>
        <w:t>I</w:t>
      </w:r>
      <w:r w:rsidR="00C30FC1" w:rsidRPr="00831573">
        <w:rPr>
          <w:lang w:val="en-GB"/>
        </w:rPr>
        <w:t>n light of the High Court</w:t>
      </w:r>
      <w:r w:rsidR="00831573" w:rsidRPr="00831573">
        <w:rPr>
          <w:lang w:val="en-GB"/>
        </w:rPr>
        <w:t>’</w:t>
      </w:r>
      <w:r w:rsidR="00C30FC1" w:rsidRPr="00831573">
        <w:rPr>
          <w:lang w:val="en-GB"/>
        </w:rPr>
        <w:t>s additional finding</w:t>
      </w:r>
      <w:r w:rsidRPr="00831573">
        <w:rPr>
          <w:lang w:val="en-GB"/>
        </w:rPr>
        <w:t>s</w:t>
      </w:r>
      <w:r w:rsidR="00C30FC1" w:rsidRPr="00831573">
        <w:rPr>
          <w:lang w:val="en-GB"/>
        </w:rPr>
        <w:t xml:space="preserve"> that a committal for contempt </w:t>
      </w:r>
      <w:r w:rsidRPr="00831573">
        <w:rPr>
          <w:lang w:val="en-GB"/>
        </w:rPr>
        <w:t xml:space="preserve">was inevitable </w:t>
      </w:r>
      <w:r w:rsidR="00C30FC1" w:rsidRPr="00831573">
        <w:rPr>
          <w:lang w:val="en-GB"/>
        </w:rPr>
        <w:t xml:space="preserve">and a prison sentence </w:t>
      </w:r>
      <w:r w:rsidRPr="00831573">
        <w:rPr>
          <w:lang w:val="en-GB"/>
        </w:rPr>
        <w:t>more likely than not</w:t>
      </w:r>
      <w:r w:rsidR="00A6214D" w:rsidRPr="00831573">
        <w:rPr>
          <w:lang w:val="en-GB"/>
        </w:rPr>
        <w:t xml:space="preserve"> (see paragraph </w:t>
      </w:r>
      <w:r w:rsidR="00A6214D" w:rsidRPr="00831573">
        <w:rPr>
          <w:lang w:val="en-GB"/>
        </w:rPr>
        <w:fldChar w:fldCharType="begin"/>
      </w:r>
      <w:r w:rsidR="00A6214D" w:rsidRPr="00831573">
        <w:rPr>
          <w:lang w:val="en-GB"/>
        </w:rPr>
        <w:instrText xml:space="preserve"> REF HCSentencingError \h </w:instrText>
      </w:r>
      <w:r w:rsidR="00A6214D" w:rsidRPr="00831573">
        <w:rPr>
          <w:lang w:val="en-GB"/>
        </w:rPr>
      </w:r>
      <w:r w:rsidR="00A6214D" w:rsidRPr="00831573">
        <w:rPr>
          <w:lang w:val="en-GB"/>
        </w:rPr>
        <w:fldChar w:fldCharType="separate"/>
      </w:r>
      <w:r w:rsidR="00831573" w:rsidRPr="00831573">
        <w:rPr>
          <w:noProof/>
          <w:lang w:val="en-GB"/>
        </w:rPr>
        <w:t>34</w:t>
      </w:r>
      <w:r w:rsidR="00A6214D" w:rsidRPr="00831573">
        <w:rPr>
          <w:lang w:val="en-GB"/>
        </w:rPr>
        <w:fldChar w:fldCharType="end"/>
      </w:r>
      <w:r w:rsidR="00A6214D" w:rsidRPr="00831573">
        <w:rPr>
          <w:lang w:val="en-GB"/>
        </w:rPr>
        <w:t xml:space="preserve"> above)</w:t>
      </w:r>
      <w:r w:rsidR="00C30FC1" w:rsidRPr="00831573">
        <w:rPr>
          <w:lang w:val="en-GB"/>
        </w:rPr>
        <w:t xml:space="preserve">, it would be speculative to determine that </w:t>
      </w:r>
      <w:r w:rsidR="00575EBD" w:rsidRPr="00831573">
        <w:rPr>
          <w:lang w:val="en-GB"/>
        </w:rPr>
        <w:t>the applicant</w:t>
      </w:r>
      <w:r w:rsidR="00C30FC1" w:rsidRPr="00831573">
        <w:rPr>
          <w:lang w:val="en-GB"/>
        </w:rPr>
        <w:t xml:space="preserve"> would not have been imprisoned but for the lack of representation.</w:t>
      </w:r>
      <w:r w:rsidR="00255E8F" w:rsidRPr="00831573">
        <w:rPr>
          <w:lang w:val="en-GB"/>
        </w:rPr>
        <w:t xml:space="preserve"> </w:t>
      </w:r>
      <w:r w:rsidR="00BC3A14" w:rsidRPr="00831573">
        <w:rPr>
          <w:lang w:val="en-GB"/>
        </w:rPr>
        <w:t>However, the Court</w:t>
      </w:r>
      <w:r w:rsidR="000F49BF" w:rsidRPr="00831573">
        <w:rPr>
          <w:lang w:val="en-GB"/>
        </w:rPr>
        <w:t xml:space="preserve"> is satisfied that a significantly shorter sentence would have been imposed if </w:t>
      </w:r>
      <w:r w:rsidR="00BC3A14" w:rsidRPr="00831573">
        <w:rPr>
          <w:lang w:val="en-GB"/>
        </w:rPr>
        <w:t>the</w:t>
      </w:r>
      <w:r w:rsidR="00CC60BD" w:rsidRPr="00831573">
        <w:rPr>
          <w:lang w:val="en-GB"/>
        </w:rPr>
        <w:t xml:space="preserve"> applicant</w:t>
      </w:r>
      <w:r w:rsidR="00831573" w:rsidRPr="00831573">
        <w:rPr>
          <w:lang w:val="en-GB"/>
        </w:rPr>
        <w:t>’</w:t>
      </w:r>
      <w:r w:rsidR="00CC60BD" w:rsidRPr="00831573">
        <w:rPr>
          <w:lang w:val="en-GB"/>
        </w:rPr>
        <w:t>s</w:t>
      </w:r>
      <w:r w:rsidR="000F49BF" w:rsidRPr="00831573">
        <w:rPr>
          <w:lang w:val="en-GB"/>
        </w:rPr>
        <w:t xml:space="preserve"> Article 6 rights had been respected</w:t>
      </w:r>
      <w:r w:rsidR="00CC60BD" w:rsidRPr="00831573">
        <w:rPr>
          <w:lang w:val="en-GB"/>
        </w:rPr>
        <w:t>.</w:t>
      </w:r>
    </w:p>
    <w:bookmarkStart w:id="51" w:name="A6VicStatusCrtConc"/>
    <w:bookmarkStart w:id="52" w:name="ECrtHRA6VictimEnd"/>
    <w:p w:rsidR="003C29FD"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137</w:t>
      </w:r>
      <w:r w:rsidRPr="00831573">
        <w:rPr>
          <w:lang w:val="en-GB"/>
        </w:rPr>
        <w:fldChar w:fldCharType="end"/>
      </w:r>
      <w:bookmarkEnd w:id="51"/>
      <w:bookmarkEnd w:id="52"/>
      <w:r w:rsidR="00CC60BD" w:rsidRPr="00831573">
        <w:rPr>
          <w:lang w:val="en-GB"/>
        </w:rPr>
        <w:t>.  </w:t>
      </w:r>
      <w:r w:rsidR="00074CAB" w:rsidRPr="00831573">
        <w:rPr>
          <w:lang w:val="en-GB"/>
        </w:rPr>
        <w:t xml:space="preserve">The Court </w:t>
      </w:r>
      <w:r w:rsidR="005E268F" w:rsidRPr="00831573">
        <w:rPr>
          <w:lang w:val="en-GB"/>
        </w:rPr>
        <w:t xml:space="preserve">accordingly </w:t>
      </w:r>
      <w:r w:rsidR="00074CAB" w:rsidRPr="00831573">
        <w:rPr>
          <w:lang w:val="en-GB"/>
        </w:rPr>
        <w:t>does not accept that the acknowledgment by the domestic courts of the violation of the applicant</w:t>
      </w:r>
      <w:r w:rsidR="00831573" w:rsidRPr="00831573">
        <w:rPr>
          <w:lang w:val="en-GB"/>
        </w:rPr>
        <w:t>’</w:t>
      </w:r>
      <w:r w:rsidR="00074CAB" w:rsidRPr="00831573">
        <w:rPr>
          <w:lang w:val="en-GB"/>
        </w:rPr>
        <w:t xml:space="preserve">s rights under Article 6 by reason of his lack of representation at the contempt-of-court committal hearing is capable, on its own, of affording adequate </w:t>
      </w:r>
      <w:r w:rsidR="00B60059" w:rsidRPr="00831573">
        <w:rPr>
          <w:lang w:val="en-GB"/>
        </w:rPr>
        <w:t xml:space="preserve">reparation </w:t>
      </w:r>
      <w:r w:rsidR="00074CAB" w:rsidRPr="00831573">
        <w:rPr>
          <w:lang w:val="en-GB"/>
        </w:rPr>
        <w:t>for the actual and likewise acknowledged prejudice in terms of lengthened imprisonment which</w:t>
      </w:r>
      <w:r w:rsidR="00B60059" w:rsidRPr="00831573">
        <w:rPr>
          <w:lang w:val="en-GB"/>
        </w:rPr>
        <w:t>, in the circumstances,</w:t>
      </w:r>
      <w:r w:rsidR="00074CAB" w:rsidRPr="00831573">
        <w:rPr>
          <w:lang w:val="en-GB"/>
        </w:rPr>
        <w:t xml:space="preserve"> that violation </w:t>
      </w:r>
      <w:r w:rsidR="00B60059" w:rsidRPr="00831573">
        <w:rPr>
          <w:lang w:val="en-GB"/>
        </w:rPr>
        <w:t xml:space="preserve">must be taken to have </w:t>
      </w:r>
      <w:r w:rsidR="00074CAB" w:rsidRPr="00831573">
        <w:rPr>
          <w:lang w:val="en-GB"/>
        </w:rPr>
        <w:t xml:space="preserve">caused. </w:t>
      </w:r>
      <w:r w:rsidR="00256EE3" w:rsidRPr="00831573">
        <w:rPr>
          <w:lang w:val="en-GB"/>
        </w:rPr>
        <w:t>Accordingly,</w:t>
      </w:r>
      <w:r w:rsidR="000F49BF" w:rsidRPr="00831573">
        <w:rPr>
          <w:lang w:val="en-GB"/>
        </w:rPr>
        <w:t xml:space="preserve"> the Court finds that the applicant </w:t>
      </w:r>
      <w:r w:rsidR="00027DCB" w:rsidRPr="00831573">
        <w:rPr>
          <w:lang w:val="en-GB"/>
        </w:rPr>
        <w:t xml:space="preserve">can </w:t>
      </w:r>
      <w:r w:rsidR="000F49BF" w:rsidRPr="00831573">
        <w:rPr>
          <w:lang w:val="en-GB"/>
        </w:rPr>
        <w:t>still</w:t>
      </w:r>
      <w:r w:rsidR="00027DCB" w:rsidRPr="00831573">
        <w:rPr>
          <w:lang w:val="en-GB"/>
        </w:rPr>
        <w:t xml:space="preserve"> claim to</w:t>
      </w:r>
      <w:r w:rsidR="000F49BF" w:rsidRPr="00831573">
        <w:rPr>
          <w:lang w:val="en-GB"/>
        </w:rPr>
        <w:t xml:space="preserve"> be a </w:t>
      </w:r>
      <w:r w:rsidR="00AD2049" w:rsidRPr="00831573">
        <w:rPr>
          <w:lang w:val="en-GB"/>
        </w:rPr>
        <w:t>“</w:t>
      </w:r>
      <w:r w:rsidR="000F49BF" w:rsidRPr="00831573">
        <w:rPr>
          <w:lang w:val="en-GB"/>
        </w:rPr>
        <w:t>victim</w:t>
      </w:r>
      <w:r w:rsidR="00AD2049" w:rsidRPr="00831573">
        <w:rPr>
          <w:lang w:val="en-GB"/>
        </w:rPr>
        <w:t xml:space="preserve">” </w:t>
      </w:r>
      <w:r w:rsidR="00027DCB" w:rsidRPr="00831573">
        <w:rPr>
          <w:lang w:val="en-GB"/>
        </w:rPr>
        <w:t xml:space="preserve">insofar as </w:t>
      </w:r>
      <w:r w:rsidR="00CC60BD" w:rsidRPr="00831573">
        <w:rPr>
          <w:lang w:val="en-GB"/>
        </w:rPr>
        <w:t xml:space="preserve">he did not receive </w:t>
      </w:r>
      <w:r w:rsidR="00027DCB" w:rsidRPr="00831573">
        <w:rPr>
          <w:lang w:val="en-GB"/>
        </w:rPr>
        <w:t>any</w:t>
      </w:r>
      <w:r w:rsidR="00CC60BD" w:rsidRPr="00831573">
        <w:rPr>
          <w:lang w:val="en-GB"/>
        </w:rPr>
        <w:t xml:space="preserve"> redress</w:t>
      </w:r>
      <w:r w:rsidR="00027DCB" w:rsidRPr="00831573">
        <w:rPr>
          <w:lang w:val="en-GB"/>
        </w:rPr>
        <w:t xml:space="preserve"> in the form of financial compensation</w:t>
      </w:r>
      <w:r w:rsidR="000F49BF" w:rsidRPr="00831573">
        <w:rPr>
          <w:lang w:val="en-GB"/>
        </w:rPr>
        <w:t xml:space="preserve">. Therefore, </w:t>
      </w:r>
      <w:r w:rsidR="00CC60BD" w:rsidRPr="00831573">
        <w:rPr>
          <w:lang w:val="en-GB"/>
        </w:rPr>
        <w:t>the Government</w:t>
      </w:r>
      <w:r w:rsidR="00831573" w:rsidRPr="00831573">
        <w:rPr>
          <w:lang w:val="en-GB"/>
        </w:rPr>
        <w:t>’</w:t>
      </w:r>
      <w:r w:rsidR="00CC60BD" w:rsidRPr="00831573">
        <w:rPr>
          <w:lang w:val="en-GB"/>
        </w:rPr>
        <w:t>s objection</w:t>
      </w:r>
      <w:r w:rsidR="000F49BF" w:rsidRPr="00831573">
        <w:rPr>
          <w:lang w:val="en-GB"/>
        </w:rPr>
        <w:t xml:space="preserve"> must be dismissed.</w:t>
      </w:r>
    </w:p>
    <w:p w:rsidR="000F49BF" w:rsidRPr="00831573" w:rsidRDefault="0062590F" w:rsidP="00831573">
      <w:pPr>
        <w:pStyle w:val="ECHRHeading3"/>
        <w:rPr>
          <w:lang w:val="en-GB"/>
        </w:rPr>
      </w:pPr>
      <w:r w:rsidRPr="00831573">
        <w:rPr>
          <w:lang w:val="en-GB"/>
        </w:rPr>
        <w:t>3.</w:t>
      </w:r>
      <w:r w:rsidR="00377531" w:rsidRPr="00831573">
        <w:rPr>
          <w:lang w:val="en-GB"/>
        </w:rPr>
        <w:t>  </w:t>
      </w:r>
      <w:r w:rsidR="001E3509" w:rsidRPr="00831573">
        <w:rPr>
          <w:lang w:val="en-GB"/>
        </w:rPr>
        <w:t>Conclusion</w:t>
      </w:r>
      <w:r w:rsidR="000F49BF" w:rsidRPr="00831573">
        <w:rPr>
          <w:lang w:val="en-GB"/>
        </w:rPr>
        <w:t xml:space="preserve"> on admissibility</w:t>
      </w:r>
    </w:p>
    <w:p w:rsidR="00A6214D" w:rsidRPr="00831573" w:rsidRDefault="00A6214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138</w:t>
      </w:r>
      <w:r w:rsidRPr="00831573">
        <w:rPr>
          <w:lang w:val="en-GB"/>
        </w:rPr>
        <w:fldChar w:fldCharType="end"/>
      </w:r>
      <w:r w:rsidRPr="00831573">
        <w:rPr>
          <w:lang w:val="en-GB"/>
        </w:rPr>
        <w:t>.  The Court is satisfied that the application raises arguable issues under Article 6 § 1 and Article 6 § 3 (c) of the Convention, so that it cannot be rejected as manifestly ill-founded within the meaning of Article 35</w:t>
      </w:r>
      <w:r w:rsidR="00255E8F" w:rsidRPr="00831573">
        <w:rPr>
          <w:lang w:val="en-GB"/>
        </w:rPr>
        <w:t xml:space="preserve"> </w:t>
      </w:r>
      <w:r w:rsidRPr="00831573">
        <w:rPr>
          <w:lang w:val="en-GB"/>
        </w:rPr>
        <w:t>§ 3 (a) of the Convention. The Court further considers that the application is not inadmissible on any other grounds. It must therefore be declared admissible.</w:t>
      </w:r>
    </w:p>
    <w:p w:rsidR="000F49BF" w:rsidRPr="00831573" w:rsidRDefault="000F49BF" w:rsidP="00831573">
      <w:pPr>
        <w:pStyle w:val="ECHRHeading2"/>
        <w:rPr>
          <w:lang w:val="en-GB"/>
        </w:rPr>
      </w:pPr>
      <w:r w:rsidRPr="00831573">
        <w:rPr>
          <w:lang w:val="en-GB"/>
        </w:rPr>
        <w:t>B.  Merits</w:t>
      </w:r>
    </w:p>
    <w:p w:rsidR="00CD2E94" w:rsidRPr="00831573" w:rsidRDefault="00E224F4" w:rsidP="00831573">
      <w:pPr>
        <w:pStyle w:val="ECHRHeading3"/>
        <w:rPr>
          <w:lang w:val="en-GB"/>
        </w:rPr>
      </w:pPr>
      <w:r w:rsidRPr="00831573">
        <w:rPr>
          <w:lang w:val="en-GB"/>
        </w:rPr>
        <w:t>1.  </w:t>
      </w:r>
      <w:r w:rsidR="00CD2E94" w:rsidRPr="00831573">
        <w:rPr>
          <w:lang w:val="en-GB"/>
        </w:rPr>
        <w:t xml:space="preserve">The </w:t>
      </w:r>
      <w:r w:rsidR="00BB0A9B" w:rsidRPr="00831573">
        <w:rPr>
          <w:lang w:val="en-GB"/>
        </w:rPr>
        <w:t>parties</w:t>
      </w:r>
      <w:r w:rsidR="00831573" w:rsidRPr="00831573">
        <w:rPr>
          <w:lang w:val="en-GB"/>
        </w:rPr>
        <w:t>’</w:t>
      </w:r>
      <w:r w:rsidR="00BB0A9B" w:rsidRPr="00831573">
        <w:rPr>
          <w:lang w:val="en-GB"/>
        </w:rPr>
        <w:t xml:space="preserve"> submissions</w:t>
      </w:r>
    </w:p>
    <w:p w:rsidR="00BB0A9B" w:rsidRPr="00831573" w:rsidRDefault="009F7100" w:rsidP="00831573">
      <w:pPr>
        <w:pStyle w:val="ECHRHeading4"/>
        <w:rPr>
          <w:lang w:val="en-GB"/>
        </w:rPr>
      </w:pPr>
      <w:r w:rsidRPr="00831573">
        <w:rPr>
          <w:lang w:val="en-GB"/>
        </w:rPr>
        <w:t>(a)  </w:t>
      </w:r>
      <w:r w:rsidR="00BB0A9B" w:rsidRPr="00831573">
        <w:rPr>
          <w:lang w:val="en-GB"/>
        </w:rPr>
        <w:t>The applicant</w:t>
      </w:r>
    </w:p>
    <w:p w:rsidR="00BB0A9B" w:rsidRPr="00831573" w:rsidRDefault="008115D5"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139</w:t>
      </w:r>
      <w:r w:rsidRPr="00831573">
        <w:rPr>
          <w:lang w:val="en-GB"/>
        </w:rPr>
        <w:fldChar w:fldCharType="end"/>
      </w:r>
      <w:r w:rsidRPr="00831573">
        <w:rPr>
          <w:lang w:val="en-GB"/>
        </w:rPr>
        <w:t>.  </w:t>
      </w:r>
      <w:r w:rsidR="00994243" w:rsidRPr="00831573">
        <w:rPr>
          <w:lang w:val="en-GB"/>
        </w:rPr>
        <w:t xml:space="preserve">The applicant argued that </w:t>
      </w:r>
      <w:r w:rsidR="00EC7474" w:rsidRPr="00831573">
        <w:rPr>
          <w:lang w:val="en-GB"/>
        </w:rPr>
        <w:t xml:space="preserve">the Article 6 violation had not been resolved </w:t>
      </w:r>
      <w:r w:rsidR="00994243" w:rsidRPr="00831573">
        <w:rPr>
          <w:lang w:val="en-GB"/>
        </w:rPr>
        <w:t>because of the domestic courts</w:t>
      </w:r>
      <w:r w:rsidR="00831573" w:rsidRPr="00831573">
        <w:rPr>
          <w:lang w:val="en-GB"/>
        </w:rPr>
        <w:t>’</w:t>
      </w:r>
      <w:r w:rsidR="00994243" w:rsidRPr="00831573">
        <w:rPr>
          <w:lang w:val="en-GB"/>
        </w:rPr>
        <w:t xml:space="preserve"> failure to award him </w:t>
      </w:r>
      <w:r w:rsidR="0061781B" w:rsidRPr="00831573">
        <w:rPr>
          <w:lang w:val="en-GB"/>
        </w:rPr>
        <w:t>financial compensation</w:t>
      </w:r>
      <w:r w:rsidR="00EC7474" w:rsidRPr="00831573">
        <w:rPr>
          <w:lang w:val="en-GB"/>
        </w:rPr>
        <w:t>.</w:t>
      </w:r>
    </w:p>
    <w:p w:rsidR="00BB0A9B" w:rsidRPr="00831573" w:rsidRDefault="00BB0A9B" w:rsidP="00831573">
      <w:pPr>
        <w:pStyle w:val="ECHRHeading4"/>
        <w:rPr>
          <w:lang w:val="en-GB"/>
        </w:rPr>
      </w:pPr>
      <w:r w:rsidRPr="00831573">
        <w:rPr>
          <w:lang w:val="en-GB"/>
        </w:rPr>
        <w:t>(</w:t>
      </w:r>
      <w:r w:rsidR="004565B7" w:rsidRPr="00831573">
        <w:rPr>
          <w:lang w:val="en-GB"/>
        </w:rPr>
        <w:t>b</w:t>
      </w:r>
      <w:r w:rsidR="009F7100" w:rsidRPr="00831573">
        <w:rPr>
          <w:lang w:val="en-GB"/>
        </w:rPr>
        <w:t>)  </w:t>
      </w:r>
      <w:r w:rsidRPr="00831573">
        <w:rPr>
          <w:lang w:val="en-GB"/>
        </w:rPr>
        <w:t>The Government</w:t>
      </w:r>
    </w:p>
    <w:p w:rsidR="00BB0A9B" w:rsidRPr="00831573" w:rsidRDefault="00BB0A9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140</w:t>
      </w:r>
      <w:r w:rsidRPr="00831573">
        <w:rPr>
          <w:lang w:val="en-GB"/>
        </w:rPr>
        <w:fldChar w:fldCharType="end"/>
      </w:r>
      <w:r w:rsidR="00874BD6" w:rsidRPr="00831573">
        <w:rPr>
          <w:lang w:val="en-GB"/>
        </w:rPr>
        <w:t>.  </w:t>
      </w:r>
      <w:r w:rsidR="001D74D2" w:rsidRPr="00831573">
        <w:rPr>
          <w:lang w:val="en-GB"/>
        </w:rPr>
        <w:t>The Government</w:t>
      </w:r>
      <w:r w:rsidR="00DE26C3" w:rsidRPr="00831573">
        <w:rPr>
          <w:lang w:val="en-GB"/>
        </w:rPr>
        <w:t xml:space="preserve"> acknowledged that a violation of Article 6 had occurred. However, they</w:t>
      </w:r>
      <w:r w:rsidR="001D74D2" w:rsidRPr="00831573">
        <w:rPr>
          <w:lang w:val="en-GB"/>
        </w:rPr>
        <w:t xml:space="preserve"> argued that the applicant had received </w:t>
      </w:r>
      <w:r w:rsidR="0061781B" w:rsidRPr="00831573">
        <w:rPr>
          <w:lang w:val="en-GB"/>
        </w:rPr>
        <w:t>adequate redress</w:t>
      </w:r>
      <w:r w:rsidR="001D74D2" w:rsidRPr="00831573">
        <w:rPr>
          <w:lang w:val="en-GB"/>
        </w:rPr>
        <w:t xml:space="preserve"> </w:t>
      </w:r>
      <w:r w:rsidR="000034C0" w:rsidRPr="00831573">
        <w:rPr>
          <w:lang w:val="en-GB"/>
        </w:rPr>
        <w:t xml:space="preserve">for the reasons set out above </w:t>
      </w:r>
      <w:r w:rsidR="00DE26C3" w:rsidRPr="00831573">
        <w:rPr>
          <w:lang w:val="en-GB"/>
        </w:rPr>
        <w:t>(see</w:t>
      </w:r>
      <w:r w:rsidR="000034C0" w:rsidRPr="00831573">
        <w:rPr>
          <w:lang w:val="en-GB"/>
        </w:rPr>
        <w:t xml:space="preserve"> paragraphs </w:t>
      </w:r>
      <w:r w:rsidR="000034C0" w:rsidRPr="00831573">
        <w:rPr>
          <w:lang w:val="en-GB"/>
        </w:rPr>
        <w:fldChar w:fldCharType="begin"/>
      </w:r>
      <w:r w:rsidR="000034C0" w:rsidRPr="00831573">
        <w:rPr>
          <w:lang w:val="en-GB"/>
        </w:rPr>
        <w:instrText xml:space="preserve"> REF GovtAdmArgA6VicStart \h </w:instrText>
      </w:r>
      <w:r w:rsidR="00E36332" w:rsidRPr="00831573">
        <w:rPr>
          <w:lang w:val="en-GB"/>
        </w:rPr>
        <w:instrText xml:space="preserve"> \* MERGEFORMAT </w:instrText>
      </w:r>
      <w:r w:rsidR="000034C0" w:rsidRPr="00831573">
        <w:rPr>
          <w:lang w:val="en-GB"/>
        </w:rPr>
      </w:r>
      <w:r w:rsidR="000034C0" w:rsidRPr="00831573">
        <w:rPr>
          <w:lang w:val="en-GB"/>
        </w:rPr>
        <w:fldChar w:fldCharType="separate"/>
      </w:r>
      <w:r w:rsidR="00831573" w:rsidRPr="00831573">
        <w:rPr>
          <w:lang w:val="en-GB"/>
        </w:rPr>
        <w:t>128</w:t>
      </w:r>
      <w:r w:rsidR="000034C0" w:rsidRPr="00831573">
        <w:rPr>
          <w:lang w:val="en-GB"/>
        </w:rPr>
        <w:fldChar w:fldCharType="end"/>
      </w:r>
      <w:r w:rsidR="000034C0" w:rsidRPr="00831573">
        <w:rPr>
          <w:lang w:val="en-GB"/>
        </w:rPr>
        <w:t>-</w:t>
      </w:r>
      <w:r w:rsidR="000034C0" w:rsidRPr="00831573">
        <w:rPr>
          <w:lang w:val="en-GB"/>
        </w:rPr>
        <w:fldChar w:fldCharType="begin"/>
      </w:r>
      <w:r w:rsidR="000034C0" w:rsidRPr="00831573">
        <w:rPr>
          <w:lang w:val="en-GB"/>
        </w:rPr>
        <w:instrText xml:space="preserve"> REF GovtAdmArgA6VicEnd \h </w:instrText>
      </w:r>
      <w:r w:rsidR="00E36332" w:rsidRPr="00831573">
        <w:rPr>
          <w:lang w:val="en-GB"/>
        </w:rPr>
        <w:instrText xml:space="preserve"> \* MERGEFORMAT </w:instrText>
      </w:r>
      <w:r w:rsidR="000034C0" w:rsidRPr="00831573">
        <w:rPr>
          <w:lang w:val="en-GB"/>
        </w:rPr>
      </w:r>
      <w:r w:rsidR="000034C0" w:rsidRPr="00831573">
        <w:rPr>
          <w:lang w:val="en-GB"/>
        </w:rPr>
        <w:fldChar w:fldCharType="separate"/>
      </w:r>
      <w:r w:rsidR="00831573" w:rsidRPr="00831573">
        <w:rPr>
          <w:lang w:val="en-GB"/>
        </w:rPr>
        <w:t>129</w:t>
      </w:r>
      <w:r w:rsidR="000034C0" w:rsidRPr="00831573">
        <w:rPr>
          <w:lang w:val="en-GB"/>
        </w:rPr>
        <w:fldChar w:fldCharType="end"/>
      </w:r>
      <w:r w:rsidR="00DE26C3" w:rsidRPr="00831573">
        <w:rPr>
          <w:lang w:val="en-GB"/>
        </w:rPr>
        <w:t>)</w:t>
      </w:r>
      <w:r w:rsidR="007D5256" w:rsidRPr="00831573">
        <w:rPr>
          <w:lang w:val="en-GB"/>
        </w:rPr>
        <w:t>.</w:t>
      </w:r>
    </w:p>
    <w:p w:rsidR="00BB0A9B" w:rsidRPr="00831573" w:rsidRDefault="00BB0A9B" w:rsidP="00831573">
      <w:pPr>
        <w:pStyle w:val="ECHRHeading3"/>
        <w:rPr>
          <w:lang w:val="en-GB"/>
        </w:rPr>
      </w:pPr>
      <w:r w:rsidRPr="00831573">
        <w:rPr>
          <w:lang w:val="en-GB"/>
        </w:rPr>
        <w:t>2.</w:t>
      </w:r>
      <w:r w:rsidR="00E224F4" w:rsidRPr="00831573">
        <w:rPr>
          <w:lang w:val="en-GB"/>
        </w:rPr>
        <w:t>  </w:t>
      </w:r>
      <w:r w:rsidRPr="00831573">
        <w:rPr>
          <w:lang w:val="en-GB"/>
        </w:rPr>
        <w:t>The Court</w:t>
      </w:r>
      <w:r w:rsidR="00831573" w:rsidRPr="00831573">
        <w:rPr>
          <w:lang w:val="en-GB"/>
        </w:rPr>
        <w:t>’</w:t>
      </w:r>
      <w:r w:rsidRPr="00831573">
        <w:rPr>
          <w:lang w:val="en-GB"/>
        </w:rPr>
        <w:t>s assessment</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141</w:t>
      </w:r>
      <w:r w:rsidRPr="00831573">
        <w:rPr>
          <w:lang w:val="en-GB"/>
        </w:rPr>
        <w:fldChar w:fldCharType="end"/>
      </w:r>
      <w:r w:rsidR="00874BD6" w:rsidRPr="00831573">
        <w:rPr>
          <w:lang w:val="en-GB"/>
        </w:rPr>
        <w:t>.  </w:t>
      </w:r>
      <w:r w:rsidR="000F49BF" w:rsidRPr="00831573">
        <w:rPr>
          <w:lang w:val="en-GB"/>
        </w:rPr>
        <w:t>The Court has accepted that the findings of both the Court of Appeal and the High Court amounted to an acknowledgment that there had been a violation of Article 6</w:t>
      </w:r>
      <w:r w:rsidR="00C870B1" w:rsidRPr="00831573">
        <w:rPr>
          <w:lang w:val="en-GB"/>
        </w:rPr>
        <w:t xml:space="preserve"> </w:t>
      </w:r>
      <w:r w:rsidR="00C870B1" w:rsidRPr="00831573">
        <w:rPr>
          <w:rFonts w:cstheme="minorHAnsi"/>
          <w:lang w:val="en-GB"/>
        </w:rPr>
        <w:t>§</w:t>
      </w:r>
      <w:r w:rsidR="00C25173" w:rsidRPr="00831573">
        <w:rPr>
          <w:lang w:val="en-GB"/>
        </w:rPr>
        <w:t xml:space="preserve"> 1 and Article 6 </w:t>
      </w:r>
      <w:r w:rsidR="00C870B1" w:rsidRPr="00831573">
        <w:rPr>
          <w:rFonts w:cstheme="minorHAnsi"/>
          <w:lang w:val="en-GB"/>
        </w:rPr>
        <w:t>§ 3 (c)</w:t>
      </w:r>
      <w:r w:rsidR="00DE26C3" w:rsidRPr="00831573">
        <w:rPr>
          <w:lang w:val="en-GB"/>
        </w:rPr>
        <w:t xml:space="preserve"> (see paragraph </w:t>
      </w:r>
      <w:r w:rsidR="00DE26C3" w:rsidRPr="00831573">
        <w:rPr>
          <w:lang w:val="en-GB"/>
        </w:rPr>
        <w:fldChar w:fldCharType="begin"/>
      </w:r>
      <w:r w:rsidR="00DE26C3" w:rsidRPr="00831573">
        <w:rPr>
          <w:lang w:val="en-GB"/>
        </w:rPr>
        <w:instrText xml:space="preserve"> REF CAHCAcceptViolation \h </w:instrText>
      </w:r>
      <w:r w:rsidR="00DE26C3" w:rsidRPr="00831573">
        <w:rPr>
          <w:lang w:val="en-GB"/>
        </w:rPr>
      </w:r>
      <w:r w:rsidR="00DE26C3" w:rsidRPr="00831573">
        <w:rPr>
          <w:lang w:val="en-GB"/>
        </w:rPr>
        <w:fldChar w:fldCharType="separate"/>
      </w:r>
      <w:r w:rsidR="00831573" w:rsidRPr="00831573">
        <w:rPr>
          <w:noProof/>
          <w:lang w:val="en-GB"/>
        </w:rPr>
        <w:t>132</w:t>
      </w:r>
      <w:r w:rsidR="00DE26C3" w:rsidRPr="00831573">
        <w:rPr>
          <w:lang w:val="en-GB"/>
        </w:rPr>
        <w:fldChar w:fldCharType="end"/>
      </w:r>
      <w:r w:rsidR="00DE26C3" w:rsidRPr="00831573">
        <w:rPr>
          <w:lang w:val="en-GB"/>
        </w:rPr>
        <w:t xml:space="preserve"> above)</w:t>
      </w:r>
      <w:r w:rsidR="00C25173" w:rsidRPr="00831573">
        <w:rPr>
          <w:lang w:val="en-GB"/>
        </w:rPr>
        <w:t>.</w:t>
      </w:r>
    </w:p>
    <w:p w:rsidR="000F49BF" w:rsidRPr="00831573" w:rsidRDefault="00AE1F98" w:rsidP="00831573">
      <w:pPr>
        <w:pStyle w:val="ECHRPara"/>
        <w:rPr>
          <w:rFonts w:cstheme="minorHAnsi"/>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142</w:t>
      </w:r>
      <w:r w:rsidRPr="00831573">
        <w:rPr>
          <w:lang w:val="en-GB"/>
        </w:rPr>
        <w:fldChar w:fldCharType="end"/>
      </w:r>
      <w:r w:rsidR="00874BD6" w:rsidRPr="00831573">
        <w:rPr>
          <w:lang w:val="en-GB"/>
        </w:rPr>
        <w:t>.  </w:t>
      </w:r>
      <w:r w:rsidR="000F49BF" w:rsidRPr="00831573">
        <w:rPr>
          <w:lang w:val="en-GB"/>
        </w:rPr>
        <w:t xml:space="preserve">The Court notes its consistent case-law that where proceedings before a court fall within the criminal limb of Article 6 </w:t>
      </w:r>
      <w:r w:rsidR="000F49BF" w:rsidRPr="00831573">
        <w:rPr>
          <w:rFonts w:cstheme="minorHAnsi"/>
          <w:lang w:val="en-GB"/>
        </w:rPr>
        <w:t>§</w:t>
      </w:r>
      <w:r w:rsidR="000F49BF" w:rsidRPr="00831573">
        <w:rPr>
          <w:lang w:val="en-GB"/>
        </w:rPr>
        <w:t xml:space="preserve"> 1 and </w:t>
      </w:r>
      <w:r w:rsidR="00B60059" w:rsidRPr="00831573">
        <w:rPr>
          <w:lang w:val="en-GB"/>
        </w:rPr>
        <w:t xml:space="preserve">within </w:t>
      </w:r>
      <w:r w:rsidR="000F49BF" w:rsidRPr="00831573">
        <w:rPr>
          <w:lang w:val="en-GB"/>
        </w:rPr>
        <w:t>Article 6</w:t>
      </w:r>
      <w:r w:rsidR="00C25173" w:rsidRPr="00831573">
        <w:rPr>
          <w:lang w:val="en-GB"/>
        </w:rPr>
        <w:t xml:space="preserve"> </w:t>
      </w:r>
      <w:r w:rsidR="000F49BF" w:rsidRPr="00831573">
        <w:rPr>
          <w:rFonts w:cstheme="minorHAnsi"/>
          <w:lang w:val="en-GB"/>
        </w:rPr>
        <w:t>§ 3 (c) of the Convention</w:t>
      </w:r>
      <w:r w:rsidR="00CC60BD" w:rsidRPr="00831573">
        <w:rPr>
          <w:rFonts w:cstheme="minorHAnsi"/>
          <w:lang w:val="en-GB"/>
        </w:rPr>
        <w:t xml:space="preserve">, </w:t>
      </w:r>
      <w:r w:rsidR="000F49BF" w:rsidRPr="00831573">
        <w:rPr>
          <w:rFonts w:cstheme="minorHAnsi"/>
          <w:lang w:val="en-GB"/>
        </w:rPr>
        <w:t>and a deprivation of liberty is at stake, the interests of justice in principle call for legal representation (</w:t>
      </w:r>
      <w:r w:rsidR="00DE26C3" w:rsidRPr="00831573">
        <w:rPr>
          <w:rFonts w:cstheme="minorHAnsi"/>
          <w:lang w:val="en-GB"/>
        </w:rPr>
        <w:t xml:space="preserve">see </w:t>
      </w:r>
      <w:r w:rsidR="000F49BF" w:rsidRPr="00831573">
        <w:rPr>
          <w:rFonts w:cstheme="minorHAnsi"/>
          <w:i/>
          <w:lang w:val="en-GB"/>
        </w:rPr>
        <w:t>Benham</w:t>
      </w:r>
      <w:r w:rsidR="000F49BF" w:rsidRPr="00831573">
        <w:rPr>
          <w:rFonts w:cstheme="minorHAnsi"/>
          <w:lang w:val="en-GB"/>
        </w:rPr>
        <w:t>, ci</w:t>
      </w:r>
      <w:r w:rsidR="00CC60BD" w:rsidRPr="00831573">
        <w:rPr>
          <w:rFonts w:cstheme="minorHAnsi"/>
          <w:lang w:val="en-GB"/>
        </w:rPr>
        <w:t>ted above, § 61</w:t>
      </w:r>
      <w:r w:rsidR="00DE26C3" w:rsidRPr="00831573">
        <w:rPr>
          <w:rFonts w:cstheme="minorHAnsi"/>
          <w:lang w:val="en-GB"/>
        </w:rPr>
        <w:t>;</w:t>
      </w:r>
      <w:r w:rsidR="000F49BF" w:rsidRPr="00831573">
        <w:rPr>
          <w:rFonts w:cstheme="minorHAnsi"/>
          <w:lang w:val="en-GB"/>
        </w:rPr>
        <w:t xml:space="preserve"> and </w:t>
      </w:r>
      <w:r w:rsidR="000F49BF" w:rsidRPr="00831573">
        <w:rPr>
          <w:rFonts w:cstheme="minorHAnsi"/>
          <w:i/>
          <w:lang w:val="en-GB"/>
        </w:rPr>
        <w:t>Lloyd</w:t>
      </w:r>
      <w:r w:rsidR="000F49BF" w:rsidRPr="00831573">
        <w:rPr>
          <w:rFonts w:cstheme="minorHAnsi"/>
          <w:lang w:val="en-GB"/>
        </w:rPr>
        <w:t xml:space="preserve"> </w:t>
      </w:r>
      <w:r w:rsidR="000F49BF" w:rsidRPr="00831573">
        <w:rPr>
          <w:rFonts w:cstheme="minorHAnsi"/>
          <w:i/>
          <w:lang w:val="en-GB"/>
        </w:rPr>
        <w:t xml:space="preserve">and </w:t>
      </w:r>
      <w:r w:rsidR="0061781B" w:rsidRPr="00831573">
        <w:rPr>
          <w:rFonts w:cstheme="minorHAnsi"/>
          <w:i/>
          <w:lang w:val="en-GB"/>
        </w:rPr>
        <w:t>O</w:t>
      </w:r>
      <w:r w:rsidR="000F49BF" w:rsidRPr="00831573">
        <w:rPr>
          <w:rFonts w:cstheme="minorHAnsi"/>
          <w:i/>
          <w:lang w:val="en-GB"/>
        </w:rPr>
        <w:t>thers</w:t>
      </w:r>
      <w:r w:rsidR="000F49BF" w:rsidRPr="00831573">
        <w:rPr>
          <w:rFonts w:cstheme="minorHAnsi"/>
          <w:lang w:val="en-GB"/>
        </w:rPr>
        <w:t>, cited above, § 134).</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143</w:t>
      </w:r>
      <w:r w:rsidRPr="00831573">
        <w:rPr>
          <w:lang w:val="en-GB"/>
        </w:rPr>
        <w:fldChar w:fldCharType="end"/>
      </w:r>
      <w:r w:rsidR="00874BD6" w:rsidRPr="00831573">
        <w:rPr>
          <w:lang w:val="en-GB"/>
        </w:rPr>
        <w:t>.  </w:t>
      </w:r>
      <w:r w:rsidR="000F49BF" w:rsidRPr="00831573">
        <w:rPr>
          <w:lang w:val="en-GB"/>
        </w:rPr>
        <w:t xml:space="preserve">The Court </w:t>
      </w:r>
      <w:r w:rsidR="003A312C" w:rsidRPr="00831573">
        <w:rPr>
          <w:lang w:val="en-GB"/>
        </w:rPr>
        <w:t xml:space="preserve">therefore </w:t>
      </w:r>
      <w:r w:rsidR="000F49BF" w:rsidRPr="00831573">
        <w:rPr>
          <w:lang w:val="en-GB"/>
        </w:rPr>
        <w:t>sees no reason to dispute the finding of the domestic courts, and the Government</w:t>
      </w:r>
      <w:r w:rsidR="00831573" w:rsidRPr="00831573">
        <w:rPr>
          <w:lang w:val="en-GB"/>
        </w:rPr>
        <w:t>’</w:t>
      </w:r>
      <w:r w:rsidR="000F49BF" w:rsidRPr="00831573">
        <w:rPr>
          <w:lang w:val="en-GB"/>
        </w:rPr>
        <w:t xml:space="preserve">s acceptance, that a violation of Article 6 occurred at the committal hearing. As </w:t>
      </w:r>
      <w:r w:rsidR="003A312C" w:rsidRPr="00831573">
        <w:rPr>
          <w:lang w:val="en-GB"/>
        </w:rPr>
        <w:t>the applicant</w:t>
      </w:r>
      <w:r w:rsidR="000F49BF" w:rsidRPr="00831573">
        <w:rPr>
          <w:lang w:val="en-GB"/>
        </w:rPr>
        <w:t xml:space="preserve"> continues to be a </w:t>
      </w:r>
      <w:bookmarkStart w:id="53" w:name="_1000013"/>
      <w:bookmarkEnd w:id="53"/>
      <w:r w:rsidR="00C75651" w:rsidRPr="00831573">
        <w:rPr>
          <w:lang w:val="en-GB"/>
        </w:rPr>
        <w:t>“</w:t>
      </w:r>
      <w:r w:rsidR="000F49BF" w:rsidRPr="00831573">
        <w:rPr>
          <w:lang w:val="en-GB"/>
        </w:rPr>
        <w:t>victim</w:t>
      </w:r>
      <w:r w:rsidR="00C75651" w:rsidRPr="00831573">
        <w:rPr>
          <w:lang w:val="en-GB"/>
        </w:rPr>
        <w:t>”</w:t>
      </w:r>
      <w:r w:rsidR="000F49BF" w:rsidRPr="00831573">
        <w:rPr>
          <w:lang w:val="en-GB"/>
        </w:rPr>
        <w:t xml:space="preserve"> within the meaning of Article 34 of the Convention</w:t>
      </w:r>
      <w:r w:rsidR="00DE26C3" w:rsidRPr="00831573">
        <w:rPr>
          <w:lang w:val="en-GB"/>
        </w:rPr>
        <w:t xml:space="preserve"> (see paragraphs </w:t>
      </w:r>
      <w:r w:rsidR="00DE26C3" w:rsidRPr="00831573">
        <w:rPr>
          <w:lang w:val="en-GB"/>
        </w:rPr>
        <w:fldChar w:fldCharType="begin"/>
      </w:r>
      <w:r w:rsidR="00DE26C3" w:rsidRPr="00831573">
        <w:rPr>
          <w:lang w:val="en-GB"/>
        </w:rPr>
        <w:instrText xml:space="preserve"> REF ECrtHRA6VictimStart \h </w:instrText>
      </w:r>
      <w:r w:rsidR="00DE26C3" w:rsidRPr="00831573">
        <w:rPr>
          <w:lang w:val="en-GB"/>
        </w:rPr>
      </w:r>
      <w:r w:rsidR="00DE26C3" w:rsidRPr="00831573">
        <w:rPr>
          <w:lang w:val="en-GB"/>
        </w:rPr>
        <w:fldChar w:fldCharType="separate"/>
      </w:r>
      <w:r w:rsidR="00831573" w:rsidRPr="00831573">
        <w:rPr>
          <w:noProof/>
          <w:lang w:val="en-GB"/>
        </w:rPr>
        <w:t>131</w:t>
      </w:r>
      <w:r w:rsidR="00DE26C3" w:rsidRPr="00831573">
        <w:rPr>
          <w:lang w:val="en-GB"/>
        </w:rPr>
        <w:fldChar w:fldCharType="end"/>
      </w:r>
      <w:r w:rsidR="00DE26C3" w:rsidRPr="00831573">
        <w:rPr>
          <w:lang w:val="en-GB"/>
        </w:rPr>
        <w:t>-</w:t>
      </w:r>
      <w:r w:rsidR="000512AD" w:rsidRPr="00831573">
        <w:rPr>
          <w:lang w:val="en-GB"/>
        </w:rPr>
        <w:fldChar w:fldCharType="begin"/>
      </w:r>
      <w:r w:rsidR="000512AD" w:rsidRPr="00831573">
        <w:rPr>
          <w:lang w:val="en-GB"/>
        </w:rPr>
        <w:instrText xml:space="preserve"> REF ECrtHRA6VictimEnd \h </w:instrText>
      </w:r>
      <w:r w:rsidR="000512AD" w:rsidRPr="00831573">
        <w:rPr>
          <w:lang w:val="en-GB"/>
        </w:rPr>
      </w:r>
      <w:r w:rsidR="000512AD" w:rsidRPr="00831573">
        <w:rPr>
          <w:lang w:val="en-GB"/>
        </w:rPr>
        <w:fldChar w:fldCharType="separate"/>
      </w:r>
      <w:r w:rsidR="00831573" w:rsidRPr="00831573">
        <w:rPr>
          <w:noProof/>
          <w:lang w:val="en-GB"/>
        </w:rPr>
        <w:t>137</w:t>
      </w:r>
      <w:r w:rsidR="000512AD" w:rsidRPr="00831573">
        <w:rPr>
          <w:lang w:val="en-GB"/>
        </w:rPr>
        <w:fldChar w:fldCharType="end"/>
      </w:r>
      <w:r w:rsidR="00DE26C3" w:rsidRPr="00831573">
        <w:rPr>
          <w:lang w:val="en-GB"/>
        </w:rPr>
        <w:t xml:space="preserve"> above)</w:t>
      </w:r>
      <w:r w:rsidR="000F49BF" w:rsidRPr="00831573">
        <w:rPr>
          <w:lang w:val="en-GB"/>
        </w:rPr>
        <w:t xml:space="preserve">, </w:t>
      </w:r>
      <w:r w:rsidR="005A712A" w:rsidRPr="00831573">
        <w:rPr>
          <w:lang w:val="en-GB"/>
        </w:rPr>
        <w:t xml:space="preserve">the Court </w:t>
      </w:r>
      <w:r w:rsidR="0061781B" w:rsidRPr="00831573">
        <w:rPr>
          <w:lang w:val="en-GB"/>
        </w:rPr>
        <w:t xml:space="preserve">confirms </w:t>
      </w:r>
      <w:r w:rsidR="005A712A" w:rsidRPr="00831573">
        <w:rPr>
          <w:lang w:val="en-GB"/>
        </w:rPr>
        <w:t xml:space="preserve">that there has been a </w:t>
      </w:r>
      <w:r w:rsidR="000F49BF" w:rsidRPr="00831573">
        <w:rPr>
          <w:lang w:val="en-GB"/>
        </w:rPr>
        <w:t>violation of Article 6 of the Convention</w:t>
      </w:r>
      <w:r w:rsidR="005A712A" w:rsidRPr="00831573">
        <w:rPr>
          <w:lang w:val="en-GB"/>
        </w:rPr>
        <w:t xml:space="preserve"> in respect of</w:t>
      </w:r>
      <w:r w:rsidR="000F49BF" w:rsidRPr="00831573">
        <w:rPr>
          <w:lang w:val="en-GB"/>
        </w:rPr>
        <w:t xml:space="preserve"> the applicant</w:t>
      </w:r>
      <w:r w:rsidR="00831573" w:rsidRPr="00831573">
        <w:rPr>
          <w:lang w:val="en-GB"/>
        </w:rPr>
        <w:t>’</w:t>
      </w:r>
      <w:r w:rsidR="000F49BF" w:rsidRPr="00831573">
        <w:rPr>
          <w:lang w:val="en-GB"/>
        </w:rPr>
        <w:t xml:space="preserve">s lack of representation </w:t>
      </w:r>
      <w:r w:rsidR="005A712A" w:rsidRPr="00831573">
        <w:rPr>
          <w:lang w:val="en-GB"/>
        </w:rPr>
        <w:t xml:space="preserve">during </w:t>
      </w:r>
      <w:r w:rsidR="000F49BF" w:rsidRPr="00831573">
        <w:rPr>
          <w:lang w:val="en-GB"/>
        </w:rPr>
        <w:t>his committal hearing.</w:t>
      </w:r>
    </w:p>
    <w:p w:rsidR="000F49BF" w:rsidRPr="00831573" w:rsidRDefault="000F49BF" w:rsidP="00831573">
      <w:pPr>
        <w:pStyle w:val="ECHRHeading1"/>
        <w:rPr>
          <w:lang w:val="en-GB"/>
        </w:rPr>
      </w:pPr>
      <w:r w:rsidRPr="00831573">
        <w:rPr>
          <w:lang w:val="en-GB"/>
        </w:rPr>
        <w:t>III.  ALLEGED VIOLATION OF ARTICLE 13 OF THE CONVENTION</w:t>
      </w:r>
    </w:p>
    <w:bookmarkStart w:id="54" w:name="A13Start"/>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144</w:t>
      </w:r>
      <w:r w:rsidRPr="00831573">
        <w:rPr>
          <w:lang w:val="en-GB"/>
        </w:rPr>
        <w:fldChar w:fldCharType="end"/>
      </w:r>
      <w:bookmarkEnd w:id="54"/>
      <w:r w:rsidR="000F49BF" w:rsidRPr="00831573">
        <w:rPr>
          <w:lang w:val="en-GB"/>
        </w:rPr>
        <w:t>.  The applicant argued that the failure to provide him with a remedy</w:t>
      </w:r>
      <w:r w:rsidR="00074CAB" w:rsidRPr="00831573">
        <w:rPr>
          <w:lang w:val="en-GB"/>
        </w:rPr>
        <w:t xml:space="preserve"> affording </w:t>
      </w:r>
      <w:r w:rsidR="00894DCA" w:rsidRPr="00831573">
        <w:rPr>
          <w:lang w:val="en-GB"/>
        </w:rPr>
        <w:t>finan</w:t>
      </w:r>
      <w:r w:rsidR="00074CAB" w:rsidRPr="00831573">
        <w:rPr>
          <w:lang w:val="en-GB"/>
        </w:rPr>
        <w:t xml:space="preserve">cial compensation for </w:t>
      </w:r>
      <w:r w:rsidR="00CE4D76" w:rsidRPr="00831573">
        <w:rPr>
          <w:lang w:val="en-GB"/>
        </w:rPr>
        <w:t xml:space="preserve">the </w:t>
      </w:r>
      <w:r w:rsidR="0061781B" w:rsidRPr="00831573">
        <w:rPr>
          <w:lang w:val="en-GB"/>
        </w:rPr>
        <w:t xml:space="preserve">violation of </w:t>
      </w:r>
      <w:r w:rsidR="000F49BF" w:rsidRPr="00831573">
        <w:rPr>
          <w:lang w:val="en-GB"/>
        </w:rPr>
        <w:t xml:space="preserve">Article 6 </w:t>
      </w:r>
      <w:r w:rsidR="0061781B" w:rsidRPr="00831573">
        <w:rPr>
          <w:lang w:val="en-GB"/>
        </w:rPr>
        <w:t>in relation to</w:t>
      </w:r>
      <w:r w:rsidR="000F49BF" w:rsidRPr="00831573">
        <w:rPr>
          <w:lang w:val="en-GB"/>
        </w:rPr>
        <w:t xml:space="preserve"> his committal hearing amounted to a violation of the right to an effective remedy, as required by Article 13 of the Convention, which reads as follows:</w:t>
      </w:r>
    </w:p>
    <w:p w:rsidR="000F49BF" w:rsidRPr="00831573" w:rsidRDefault="000F49BF" w:rsidP="00831573">
      <w:pPr>
        <w:pStyle w:val="ECHRParaQuote"/>
        <w:rPr>
          <w:lang w:val="en-GB"/>
        </w:rPr>
      </w:pPr>
      <w:r w:rsidRPr="00831573">
        <w:rPr>
          <w:lang w:val="en-GB"/>
        </w:rPr>
        <w:t>“Everyone whose rights and freedoms as set forth in [the] Convention are violated shall have an effective remedy before a national authority notwithstanding that the violation has been committed by persons acting in an official capacity.”</w:t>
      </w:r>
    </w:p>
    <w:p w:rsidR="000F49BF"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145</w:t>
      </w:r>
      <w:r w:rsidRPr="00831573">
        <w:rPr>
          <w:lang w:val="en-GB"/>
        </w:rPr>
        <w:fldChar w:fldCharType="end"/>
      </w:r>
      <w:r w:rsidR="000F49BF" w:rsidRPr="00831573">
        <w:rPr>
          <w:lang w:val="en-GB"/>
        </w:rPr>
        <w:t>.  The Government contested that argument.</w:t>
      </w:r>
    </w:p>
    <w:p w:rsidR="000F49BF" w:rsidRPr="00831573" w:rsidRDefault="00A72858" w:rsidP="00831573">
      <w:pPr>
        <w:pStyle w:val="ECHRHeading2"/>
        <w:rPr>
          <w:lang w:val="en-GB"/>
        </w:rPr>
      </w:pPr>
      <w:r w:rsidRPr="00831573">
        <w:rPr>
          <w:lang w:val="en-GB"/>
        </w:rPr>
        <w:t>A.  </w:t>
      </w:r>
      <w:r w:rsidR="000F49BF" w:rsidRPr="00831573">
        <w:rPr>
          <w:lang w:val="en-GB"/>
        </w:rPr>
        <w:t>Admissibility</w:t>
      </w:r>
    </w:p>
    <w:p w:rsidR="00CE4D76" w:rsidRPr="00831573" w:rsidRDefault="00CE4D76"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146</w:t>
      </w:r>
      <w:r w:rsidRPr="00831573">
        <w:rPr>
          <w:lang w:val="en-GB"/>
        </w:rPr>
        <w:fldChar w:fldCharType="end"/>
      </w:r>
      <w:r w:rsidRPr="00831573">
        <w:rPr>
          <w:lang w:val="en-GB"/>
        </w:rPr>
        <w:t xml:space="preserve">.  As noted above, the Government argued that the applicant should have requested the domestic courts to read section 9(3) of the Human Rights Act in a manner compatible with the Convention or should have sought a declaration of incompatibility (see paragraph </w:t>
      </w:r>
      <w:r w:rsidRPr="00831573">
        <w:rPr>
          <w:lang w:val="en-GB"/>
        </w:rPr>
        <w:fldChar w:fldCharType="begin"/>
      </w:r>
      <w:r w:rsidRPr="00831573">
        <w:rPr>
          <w:lang w:val="en-GB"/>
        </w:rPr>
        <w:instrText xml:space="preserve"> REF GovtA6ExhaustionArgStart \h </w:instrText>
      </w:r>
      <w:r w:rsidRPr="00831573">
        <w:rPr>
          <w:lang w:val="en-GB"/>
        </w:rPr>
      </w:r>
      <w:r w:rsidRPr="00831573">
        <w:rPr>
          <w:lang w:val="en-GB"/>
        </w:rPr>
        <w:fldChar w:fldCharType="separate"/>
      </w:r>
      <w:r w:rsidR="00831573" w:rsidRPr="00831573">
        <w:rPr>
          <w:noProof/>
          <w:lang w:val="en-GB"/>
        </w:rPr>
        <w:t>124</w:t>
      </w:r>
      <w:r w:rsidRPr="00831573">
        <w:rPr>
          <w:lang w:val="en-GB"/>
        </w:rPr>
        <w:fldChar w:fldCharType="end"/>
      </w:r>
      <w:r w:rsidRPr="00831573">
        <w:rPr>
          <w:lang w:val="en-GB"/>
        </w:rPr>
        <w:t xml:space="preserve"> above). The Court </w:t>
      </w:r>
      <w:r w:rsidR="00575EBD" w:rsidRPr="00831573">
        <w:rPr>
          <w:lang w:val="en-GB"/>
        </w:rPr>
        <w:t>is not convinced by</w:t>
      </w:r>
      <w:r w:rsidRPr="00831573">
        <w:rPr>
          <w:lang w:val="en-GB"/>
        </w:rPr>
        <w:t xml:space="preserve"> this argument. First, the applicant pursued court proceedings in order to establish that there had been a violation of his Article 6 rights and to seek damages. The onus was on the domestic courts, having accepted that a violation of Article 6 had occurred, to </w:t>
      </w:r>
      <w:r w:rsidR="00575EBD" w:rsidRPr="00831573">
        <w:rPr>
          <w:lang w:val="en-GB"/>
        </w:rPr>
        <w:t>afford</w:t>
      </w:r>
      <w:r w:rsidRPr="00831573">
        <w:rPr>
          <w:lang w:val="en-GB"/>
        </w:rPr>
        <w:t xml:space="preserve"> appropriate redress including, if necessary, compensation as requested by the applicant. It was not for the applicant to present to the domestic court arguments as to how the respondent State might comply with its obligation, which followed from the finding of a breach of Article 6, to provide appropriate redress. Secondly, the Human Rights Act excludes from the scope of “Convention rights” the right to an effective remed</w:t>
      </w:r>
      <w:r w:rsidR="00831573" w:rsidRPr="00831573">
        <w:rPr>
          <w:lang w:val="en-GB"/>
        </w:rPr>
        <w:t xml:space="preserve">y guaranteed by Article 13 (see </w:t>
      </w:r>
      <w:r w:rsidRPr="00831573">
        <w:rPr>
          <w:lang w:val="en-GB"/>
        </w:rPr>
        <w:t>paragraph</w:t>
      </w:r>
      <w:r w:rsidR="00C25173" w:rsidRPr="00831573">
        <w:rPr>
          <w:lang w:val="en-GB"/>
        </w:rPr>
        <w:t xml:space="preserve"> </w:t>
      </w:r>
      <w:r w:rsidRPr="00831573">
        <w:rPr>
          <w:lang w:val="en-GB"/>
        </w:rPr>
        <w:fldChar w:fldCharType="begin"/>
      </w:r>
      <w:r w:rsidRPr="00831573">
        <w:rPr>
          <w:lang w:val="en-GB"/>
        </w:rPr>
        <w:instrText xml:space="preserve"> REF HRA3sub1 \h </w:instrText>
      </w:r>
      <w:r w:rsidRPr="00831573">
        <w:rPr>
          <w:lang w:val="en-GB"/>
        </w:rPr>
      </w:r>
      <w:r w:rsidRPr="00831573">
        <w:rPr>
          <w:lang w:val="en-GB"/>
        </w:rPr>
        <w:fldChar w:fldCharType="separate"/>
      </w:r>
      <w:r w:rsidR="00831573" w:rsidRPr="00831573">
        <w:rPr>
          <w:noProof/>
          <w:lang w:val="en-GB"/>
        </w:rPr>
        <w:t>50</w:t>
      </w:r>
      <w:r w:rsidRPr="00831573">
        <w:rPr>
          <w:lang w:val="en-GB"/>
        </w:rPr>
        <w:fldChar w:fldCharType="end"/>
      </w:r>
      <w:r w:rsidR="00C25173" w:rsidRPr="00831573">
        <w:rPr>
          <w:lang w:val="en-GB"/>
        </w:rPr>
        <w:t xml:space="preserve"> </w:t>
      </w:r>
      <w:r w:rsidRPr="00831573">
        <w:rPr>
          <w:lang w:val="en-GB"/>
        </w:rPr>
        <w:t>above). It was therefore not open to the applicant to argue that section 9(3) ought to be read in a manner compatible with that Article or to seek a declaration of incompatibility. The Government</w:t>
      </w:r>
      <w:r w:rsidR="00831573" w:rsidRPr="00831573">
        <w:rPr>
          <w:lang w:val="en-GB"/>
        </w:rPr>
        <w:t>’</w:t>
      </w:r>
      <w:r w:rsidRPr="00831573">
        <w:rPr>
          <w:lang w:val="en-GB"/>
        </w:rPr>
        <w:t>s objection as to non-exhaustion of remedies is accordingly dismissed.</w:t>
      </w:r>
    </w:p>
    <w:p w:rsidR="00835B20" w:rsidRPr="00831573" w:rsidRDefault="00835B20"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147</w:t>
      </w:r>
      <w:r w:rsidRPr="00831573">
        <w:rPr>
          <w:lang w:val="en-GB"/>
        </w:rPr>
        <w:fldChar w:fldCharType="end"/>
      </w:r>
      <w:r w:rsidRPr="00831573">
        <w:rPr>
          <w:lang w:val="en-GB"/>
        </w:rPr>
        <w:t>.  The Court considers that</w:t>
      </w:r>
      <w:r w:rsidR="00D3225F" w:rsidRPr="00831573">
        <w:rPr>
          <w:lang w:val="en-GB"/>
        </w:rPr>
        <w:t xml:space="preserve">, </w:t>
      </w:r>
      <w:r w:rsidR="00894DCA" w:rsidRPr="00831573">
        <w:rPr>
          <w:lang w:val="en-GB"/>
        </w:rPr>
        <w:t xml:space="preserve">since </w:t>
      </w:r>
      <w:r w:rsidRPr="00831573">
        <w:rPr>
          <w:lang w:val="en-GB"/>
        </w:rPr>
        <w:t>the applicant</w:t>
      </w:r>
      <w:r w:rsidR="00831573" w:rsidRPr="00831573">
        <w:rPr>
          <w:lang w:val="en-GB"/>
        </w:rPr>
        <w:t>’</w:t>
      </w:r>
      <w:r w:rsidRPr="00831573">
        <w:rPr>
          <w:lang w:val="en-GB"/>
        </w:rPr>
        <w:t xml:space="preserve">s </w:t>
      </w:r>
      <w:r w:rsidR="00D3225F" w:rsidRPr="00831573">
        <w:rPr>
          <w:lang w:val="en-GB"/>
        </w:rPr>
        <w:t xml:space="preserve">claim of violation of </w:t>
      </w:r>
      <w:r w:rsidRPr="00831573">
        <w:rPr>
          <w:lang w:val="en-GB"/>
        </w:rPr>
        <w:t xml:space="preserve">Article 6 of the Convention </w:t>
      </w:r>
      <w:r w:rsidR="00894DCA" w:rsidRPr="00831573">
        <w:rPr>
          <w:lang w:val="en-GB"/>
        </w:rPr>
        <w:t xml:space="preserve">is </w:t>
      </w:r>
      <w:r w:rsidR="00D3225F" w:rsidRPr="00831573">
        <w:rPr>
          <w:lang w:val="en-GB"/>
        </w:rPr>
        <w:t xml:space="preserve">evidently an arguable one, the complaint under Article 13 as to the lack of an effective domestic remedy </w:t>
      </w:r>
      <w:r w:rsidR="00894DCA" w:rsidRPr="00831573">
        <w:rPr>
          <w:lang w:val="en-GB"/>
        </w:rPr>
        <w:t xml:space="preserve">must </w:t>
      </w:r>
      <w:r w:rsidRPr="00831573">
        <w:rPr>
          <w:lang w:val="en-GB"/>
        </w:rPr>
        <w:t>be declared admissible.</w:t>
      </w:r>
    </w:p>
    <w:p w:rsidR="00835B20" w:rsidRPr="00831573" w:rsidRDefault="00B22BFF" w:rsidP="00831573">
      <w:pPr>
        <w:pStyle w:val="ECHRHeading2"/>
        <w:rPr>
          <w:lang w:val="en-GB"/>
        </w:rPr>
      </w:pPr>
      <w:r w:rsidRPr="00831573">
        <w:rPr>
          <w:lang w:val="en-GB"/>
        </w:rPr>
        <w:t>B.  </w:t>
      </w:r>
      <w:r w:rsidR="00835B20" w:rsidRPr="00831573">
        <w:rPr>
          <w:lang w:val="en-GB"/>
        </w:rPr>
        <w:t>Merits</w:t>
      </w:r>
    </w:p>
    <w:p w:rsidR="00BB0A9B" w:rsidRPr="00831573" w:rsidRDefault="00B22BFF" w:rsidP="00831573">
      <w:pPr>
        <w:pStyle w:val="ECHRHeading3"/>
        <w:rPr>
          <w:lang w:val="en-GB"/>
        </w:rPr>
      </w:pPr>
      <w:r w:rsidRPr="00831573">
        <w:rPr>
          <w:lang w:val="en-GB"/>
        </w:rPr>
        <w:t>1.  </w:t>
      </w:r>
      <w:r w:rsidR="00BB0A9B" w:rsidRPr="00831573">
        <w:rPr>
          <w:lang w:val="en-GB"/>
        </w:rPr>
        <w:t>The parties</w:t>
      </w:r>
      <w:r w:rsidR="00831573" w:rsidRPr="00831573">
        <w:rPr>
          <w:lang w:val="en-GB"/>
        </w:rPr>
        <w:t>’</w:t>
      </w:r>
      <w:r w:rsidR="00BB0A9B" w:rsidRPr="00831573">
        <w:rPr>
          <w:lang w:val="en-GB"/>
        </w:rPr>
        <w:t xml:space="preserve"> submissions</w:t>
      </w:r>
    </w:p>
    <w:p w:rsidR="005A712A" w:rsidRPr="00831573" w:rsidRDefault="00874BD6" w:rsidP="00831573">
      <w:pPr>
        <w:pStyle w:val="ECHRHeading4"/>
        <w:rPr>
          <w:lang w:val="en-GB"/>
        </w:rPr>
      </w:pPr>
      <w:r w:rsidRPr="00831573">
        <w:rPr>
          <w:lang w:val="en-GB"/>
        </w:rPr>
        <w:t>(a)  </w:t>
      </w:r>
      <w:r w:rsidR="005A712A" w:rsidRPr="00831573">
        <w:rPr>
          <w:lang w:val="en-GB"/>
        </w:rPr>
        <w:t>The applicant</w:t>
      </w:r>
    </w:p>
    <w:p w:rsidR="005A712A" w:rsidRPr="00831573" w:rsidRDefault="005A712A"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148</w:t>
      </w:r>
      <w:r w:rsidRPr="00831573">
        <w:rPr>
          <w:lang w:val="en-GB"/>
        </w:rPr>
        <w:fldChar w:fldCharType="end"/>
      </w:r>
      <w:r w:rsidR="00FA3BF5" w:rsidRPr="00831573">
        <w:rPr>
          <w:lang w:val="en-GB"/>
        </w:rPr>
        <w:t>.  </w:t>
      </w:r>
      <w:r w:rsidR="00C01B1C" w:rsidRPr="00831573">
        <w:rPr>
          <w:lang w:val="en-GB"/>
        </w:rPr>
        <w:t>In the applicant</w:t>
      </w:r>
      <w:r w:rsidR="00831573" w:rsidRPr="00831573">
        <w:rPr>
          <w:lang w:val="en-GB"/>
        </w:rPr>
        <w:t>’</w:t>
      </w:r>
      <w:r w:rsidR="00C01B1C" w:rsidRPr="00831573">
        <w:rPr>
          <w:lang w:val="en-GB"/>
        </w:rPr>
        <w:t xml:space="preserve">s submission, there </w:t>
      </w:r>
      <w:r w:rsidRPr="00831573">
        <w:rPr>
          <w:lang w:val="en-GB"/>
        </w:rPr>
        <w:t xml:space="preserve">was a violation of Article 13 for the same reasons </w:t>
      </w:r>
      <w:r w:rsidR="00EC7474" w:rsidRPr="00831573">
        <w:rPr>
          <w:lang w:val="en-GB"/>
        </w:rPr>
        <w:t xml:space="preserve">that </w:t>
      </w:r>
      <w:r w:rsidRPr="00831573">
        <w:rPr>
          <w:lang w:val="en-GB"/>
        </w:rPr>
        <w:t xml:space="preserve">he retained </w:t>
      </w:r>
      <w:r w:rsidR="00C01B1C" w:rsidRPr="00831573">
        <w:rPr>
          <w:lang w:val="en-GB"/>
        </w:rPr>
        <w:t>“</w:t>
      </w:r>
      <w:r w:rsidRPr="00831573">
        <w:rPr>
          <w:lang w:val="en-GB"/>
        </w:rPr>
        <w:t>victim</w:t>
      </w:r>
      <w:r w:rsidR="00C01B1C" w:rsidRPr="00831573">
        <w:rPr>
          <w:lang w:val="en-GB"/>
        </w:rPr>
        <w:t>”</w:t>
      </w:r>
      <w:r w:rsidRPr="00831573">
        <w:rPr>
          <w:lang w:val="en-GB"/>
        </w:rPr>
        <w:t xml:space="preserve"> status </w:t>
      </w:r>
      <w:r w:rsidR="00C01B1C" w:rsidRPr="00831573">
        <w:rPr>
          <w:lang w:val="en-GB"/>
        </w:rPr>
        <w:t xml:space="preserve">within the meaning of Article 34 of the Convention </w:t>
      </w:r>
      <w:r w:rsidRPr="00831573">
        <w:rPr>
          <w:lang w:val="en-GB"/>
        </w:rPr>
        <w:t>for the purpose</w:t>
      </w:r>
      <w:r w:rsidR="007D5256" w:rsidRPr="00831573">
        <w:rPr>
          <w:lang w:val="en-GB"/>
        </w:rPr>
        <w:t xml:space="preserve"> of his complaint under Article </w:t>
      </w:r>
      <w:r w:rsidRPr="00831573">
        <w:rPr>
          <w:lang w:val="en-GB"/>
        </w:rPr>
        <w:t>6.</w:t>
      </w:r>
    </w:p>
    <w:p w:rsidR="00BB0A9B" w:rsidRPr="00831573" w:rsidRDefault="00BB0A9B" w:rsidP="00831573">
      <w:pPr>
        <w:pStyle w:val="ECHRHeading4"/>
        <w:rPr>
          <w:lang w:val="en-GB"/>
        </w:rPr>
      </w:pPr>
      <w:r w:rsidRPr="00831573">
        <w:rPr>
          <w:lang w:val="en-GB"/>
        </w:rPr>
        <w:t>(</w:t>
      </w:r>
      <w:r w:rsidR="005A712A" w:rsidRPr="00831573">
        <w:rPr>
          <w:lang w:val="en-GB"/>
        </w:rPr>
        <w:t>b</w:t>
      </w:r>
      <w:r w:rsidR="00874BD6" w:rsidRPr="00831573">
        <w:rPr>
          <w:lang w:val="en-GB"/>
        </w:rPr>
        <w:t>)  </w:t>
      </w:r>
      <w:r w:rsidR="001D74D2" w:rsidRPr="00831573">
        <w:rPr>
          <w:lang w:val="en-GB"/>
        </w:rPr>
        <w:t>The Government</w:t>
      </w:r>
    </w:p>
    <w:p w:rsidR="00BB0A9B" w:rsidRPr="00831573" w:rsidRDefault="00BB0A9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149</w:t>
      </w:r>
      <w:r w:rsidRPr="00831573">
        <w:rPr>
          <w:lang w:val="en-GB"/>
        </w:rPr>
        <w:fldChar w:fldCharType="end"/>
      </w:r>
      <w:r w:rsidRPr="00831573">
        <w:rPr>
          <w:lang w:val="en-GB"/>
        </w:rPr>
        <w:t>.</w:t>
      </w:r>
      <w:r w:rsidR="00FA3BF5" w:rsidRPr="00831573">
        <w:rPr>
          <w:lang w:val="en-GB"/>
        </w:rPr>
        <w:t>  </w:t>
      </w:r>
      <w:r w:rsidR="00535D16" w:rsidRPr="00831573">
        <w:rPr>
          <w:lang w:val="en-GB"/>
        </w:rPr>
        <w:t xml:space="preserve">The Government </w:t>
      </w:r>
      <w:r w:rsidR="00C01B1C" w:rsidRPr="00831573">
        <w:rPr>
          <w:lang w:val="en-GB"/>
        </w:rPr>
        <w:t>maintained</w:t>
      </w:r>
      <w:r w:rsidR="00535D16" w:rsidRPr="00831573">
        <w:rPr>
          <w:lang w:val="en-GB"/>
        </w:rPr>
        <w:t xml:space="preserve"> that </w:t>
      </w:r>
      <w:r w:rsidR="00835B20" w:rsidRPr="00831573">
        <w:rPr>
          <w:lang w:val="en-GB"/>
        </w:rPr>
        <w:t>t</w:t>
      </w:r>
      <w:r w:rsidR="00535D16" w:rsidRPr="00831573">
        <w:rPr>
          <w:lang w:val="en-GB"/>
        </w:rPr>
        <w:t>he applicant</w:t>
      </w:r>
      <w:r w:rsidR="00831573" w:rsidRPr="00831573">
        <w:rPr>
          <w:lang w:val="en-GB"/>
        </w:rPr>
        <w:t>’</w:t>
      </w:r>
      <w:r w:rsidR="00535D16" w:rsidRPr="00831573">
        <w:rPr>
          <w:lang w:val="en-GB"/>
        </w:rPr>
        <w:t>s right to appeal to the Court of Appeal and that court</w:t>
      </w:r>
      <w:r w:rsidR="00831573" w:rsidRPr="00831573">
        <w:rPr>
          <w:lang w:val="en-GB"/>
        </w:rPr>
        <w:t>’</w:t>
      </w:r>
      <w:r w:rsidR="00535D16" w:rsidRPr="00831573">
        <w:rPr>
          <w:lang w:val="en-GB"/>
        </w:rPr>
        <w:t xml:space="preserve">s finding of a violation of Article 6 </w:t>
      </w:r>
      <w:r w:rsidR="00C01B1C" w:rsidRPr="00831573">
        <w:rPr>
          <w:lang w:val="en-GB"/>
        </w:rPr>
        <w:t xml:space="preserve">furnished </w:t>
      </w:r>
      <w:r w:rsidR="00535D16" w:rsidRPr="00831573">
        <w:rPr>
          <w:lang w:val="en-GB"/>
        </w:rPr>
        <w:t xml:space="preserve">an effective remedy. The Government relied in particular on </w:t>
      </w:r>
      <w:r w:rsidR="00535D16" w:rsidRPr="00831573">
        <w:rPr>
          <w:i/>
          <w:lang w:val="en-GB"/>
        </w:rPr>
        <w:t>Benham</w:t>
      </w:r>
      <w:r w:rsidR="00535D16" w:rsidRPr="00831573">
        <w:rPr>
          <w:lang w:val="en-GB"/>
        </w:rPr>
        <w:t xml:space="preserve">, </w:t>
      </w:r>
      <w:r w:rsidR="00535D16" w:rsidRPr="00831573">
        <w:rPr>
          <w:rFonts w:cstheme="minorHAnsi"/>
          <w:lang w:val="en-GB"/>
        </w:rPr>
        <w:t>§</w:t>
      </w:r>
      <w:r w:rsidR="00535D16" w:rsidRPr="00831573">
        <w:rPr>
          <w:lang w:val="en-GB"/>
        </w:rPr>
        <w:t xml:space="preserve"> 68; </w:t>
      </w:r>
      <w:r w:rsidR="00535D16" w:rsidRPr="00831573">
        <w:rPr>
          <w:i/>
          <w:lang w:val="en-GB"/>
        </w:rPr>
        <w:t>Perks</w:t>
      </w:r>
      <w:r w:rsidR="00535D16" w:rsidRPr="00831573">
        <w:rPr>
          <w:lang w:val="en-GB"/>
        </w:rPr>
        <w:t xml:space="preserve">, </w:t>
      </w:r>
      <w:r w:rsidR="00535D16" w:rsidRPr="00831573">
        <w:rPr>
          <w:rFonts w:cstheme="minorHAnsi"/>
          <w:lang w:val="en-GB"/>
        </w:rPr>
        <w:t xml:space="preserve">§ 82; and </w:t>
      </w:r>
      <w:r w:rsidR="00535D16" w:rsidRPr="00831573">
        <w:rPr>
          <w:rFonts w:cstheme="minorHAnsi"/>
          <w:i/>
          <w:lang w:val="en-GB"/>
        </w:rPr>
        <w:t>Beet</w:t>
      </w:r>
      <w:r w:rsidR="00535D16" w:rsidRPr="00831573">
        <w:rPr>
          <w:rFonts w:cstheme="minorHAnsi"/>
          <w:lang w:val="en-GB"/>
        </w:rPr>
        <w:t>, § 48-50, all cited above.</w:t>
      </w:r>
      <w:r w:rsidR="00535D16" w:rsidRPr="00831573">
        <w:rPr>
          <w:lang w:val="en-GB"/>
        </w:rPr>
        <w:t xml:space="preserve"> </w:t>
      </w:r>
      <w:r w:rsidR="00535D16" w:rsidRPr="00831573">
        <w:rPr>
          <w:rFonts w:cstheme="minorHAnsi"/>
          <w:lang w:val="en-GB"/>
        </w:rPr>
        <w:t xml:space="preserve">The Government also </w:t>
      </w:r>
      <w:r w:rsidR="00C01B1C" w:rsidRPr="00831573">
        <w:rPr>
          <w:rFonts w:cstheme="minorHAnsi"/>
          <w:lang w:val="en-GB"/>
        </w:rPr>
        <w:t>pointed to</w:t>
      </w:r>
      <w:r w:rsidR="00535D16" w:rsidRPr="00831573">
        <w:rPr>
          <w:rFonts w:cstheme="minorHAnsi"/>
          <w:lang w:val="en-GB"/>
        </w:rPr>
        <w:t xml:space="preserve"> the applicant</w:t>
      </w:r>
      <w:r w:rsidR="00831573" w:rsidRPr="00831573">
        <w:rPr>
          <w:rFonts w:cstheme="minorHAnsi"/>
          <w:lang w:val="en-GB"/>
        </w:rPr>
        <w:t>’</w:t>
      </w:r>
      <w:r w:rsidR="00535D16" w:rsidRPr="00831573">
        <w:rPr>
          <w:rFonts w:cstheme="minorHAnsi"/>
          <w:lang w:val="en-GB"/>
        </w:rPr>
        <w:t>s failure to exercise his right of appeal in a timely fashion (</w:t>
      </w:r>
      <w:r w:rsidR="005A712A" w:rsidRPr="00831573">
        <w:rPr>
          <w:rFonts w:cstheme="minorHAnsi"/>
          <w:lang w:val="en-GB"/>
        </w:rPr>
        <w:t xml:space="preserve">see </w:t>
      </w:r>
      <w:r w:rsidR="00535D16" w:rsidRPr="00831573">
        <w:rPr>
          <w:rFonts w:cstheme="minorHAnsi"/>
          <w:lang w:val="en-GB"/>
        </w:rPr>
        <w:t xml:space="preserve">paragraph </w:t>
      </w:r>
      <w:r w:rsidR="00BB1FE5" w:rsidRPr="00831573">
        <w:rPr>
          <w:rFonts w:cstheme="minorHAnsi"/>
          <w:lang w:val="en-GB"/>
        </w:rPr>
        <w:fldChar w:fldCharType="begin"/>
      </w:r>
      <w:r w:rsidR="00BB1FE5" w:rsidRPr="00831573">
        <w:rPr>
          <w:rFonts w:cstheme="minorHAnsi"/>
          <w:lang w:val="en-GB"/>
        </w:rPr>
        <w:instrText xml:space="preserve"> REF GovtAdmArgA6VicEnd \h </w:instrText>
      </w:r>
      <w:r w:rsidR="00E36332" w:rsidRPr="00831573">
        <w:rPr>
          <w:rFonts w:cstheme="minorHAnsi"/>
          <w:lang w:val="en-GB"/>
        </w:rPr>
        <w:instrText xml:space="preserve"> \* MERGEFORMAT </w:instrText>
      </w:r>
      <w:r w:rsidR="00BB1FE5" w:rsidRPr="00831573">
        <w:rPr>
          <w:rFonts w:cstheme="minorHAnsi"/>
          <w:lang w:val="en-GB"/>
        </w:rPr>
      </w:r>
      <w:r w:rsidR="00BB1FE5" w:rsidRPr="00831573">
        <w:rPr>
          <w:rFonts w:cstheme="minorHAnsi"/>
          <w:lang w:val="en-GB"/>
        </w:rPr>
        <w:fldChar w:fldCharType="separate"/>
      </w:r>
      <w:r w:rsidR="00831573" w:rsidRPr="00831573">
        <w:rPr>
          <w:lang w:val="en-GB"/>
        </w:rPr>
        <w:t>129</w:t>
      </w:r>
      <w:r w:rsidR="00BB1FE5" w:rsidRPr="00831573">
        <w:rPr>
          <w:rFonts w:cstheme="minorHAnsi"/>
          <w:lang w:val="en-GB"/>
        </w:rPr>
        <w:fldChar w:fldCharType="end"/>
      </w:r>
      <w:r w:rsidR="00535D16" w:rsidRPr="00831573">
        <w:rPr>
          <w:rFonts w:cstheme="minorHAnsi"/>
          <w:lang w:val="en-GB"/>
        </w:rPr>
        <w:t xml:space="preserve"> above).</w:t>
      </w:r>
    </w:p>
    <w:p w:rsidR="00BB0A9B" w:rsidRPr="00831573" w:rsidRDefault="00BB0A9B" w:rsidP="00831573">
      <w:pPr>
        <w:pStyle w:val="ECHRHeading3"/>
        <w:rPr>
          <w:lang w:val="en-GB"/>
        </w:rPr>
      </w:pPr>
      <w:r w:rsidRPr="00831573">
        <w:rPr>
          <w:lang w:val="en-GB"/>
        </w:rPr>
        <w:t>2.</w:t>
      </w:r>
      <w:r w:rsidR="00B22BFF" w:rsidRPr="00831573">
        <w:rPr>
          <w:lang w:val="en-GB"/>
        </w:rPr>
        <w:t>  </w:t>
      </w:r>
      <w:r w:rsidRPr="00831573">
        <w:rPr>
          <w:lang w:val="en-GB"/>
        </w:rPr>
        <w:t>The Court</w:t>
      </w:r>
      <w:r w:rsidR="00831573" w:rsidRPr="00831573">
        <w:rPr>
          <w:lang w:val="en-GB"/>
        </w:rPr>
        <w:t>’</w:t>
      </w:r>
      <w:r w:rsidRPr="00831573">
        <w:rPr>
          <w:lang w:val="en-GB"/>
        </w:rPr>
        <w:t>s assessment</w:t>
      </w:r>
    </w:p>
    <w:p w:rsidR="00F15946"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150</w:t>
      </w:r>
      <w:r w:rsidRPr="00831573">
        <w:rPr>
          <w:lang w:val="en-GB"/>
        </w:rPr>
        <w:fldChar w:fldCharType="end"/>
      </w:r>
      <w:r w:rsidR="0079597B" w:rsidRPr="00831573">
        <w:rPr>
          <w:lang w:val="en-GB"/>
        </w:rPr>
        <w:t>.  </w:t>
      </w:r>
      <w:r w:rsidR="000F49BF" w:rsidRPr="00831573">
        <w:rPr>
          <w:lang w:val="en-GB"/>
        </w:rPr>
        <w:t>Article 13 does not guarantee a remedy allowing a Contracting State</w:t>
      </w:r>
      <w:r w:rsidR="00831573" w:rsidRPr="00831573">
        <w:rPr>
          <w:lang w:val="en-GB"/>
        </w:rPr>
        <w:t>’</w:t>
      </w:r>
      <w:r w:rsidR="000F49BF" w:rsidRPr="00831573">
        <w:rPr>
          <w:lang w:val="en-GB"/>
        </w:rPr>
        <w:t>s laws, as such, to be challenged before a national authority on the ground of being contrary to the Convention or to equivalent domestic legal norms</w:t>
      </w:r>
      <w:r w:rsidR="00D3225F" w:rsidRPr="00831573">
        <w:rPr>
          <w:lang w:val="en-GB"/>
        </w:rPr>
        <w:t xml:space="preserve"> (</w:t>
      </w:r>
      <w:r w:rsidR="000F49BF" w:rsidRPr="00831573">
        <w:rPr>
          <w:lang w:val="en-GB"/>
        </w:rPr>
        <w:t>see, among other authorities,</w:t>
      </w:r>
      <w:r w:rsidR="00EC7474" w:rsidRPr="00831573">
        <w:rPr>
          <w:lang w:val="en-GB"/>
        </w:rPr>
        <w:t xml:space="preserve"> </w:t>
      </w:r>
      <w:r w:rsidR="00EC7474" w:rsidRPr="00831573">
        <w:rPr>
          <w:i/>
          <w:lang w:val="en-GB"/>
        </w:rPr>
        <w:t>James and Others v. the United Kingdom</w:t>
      </w:r>
      <w:r w:rsidR="00EC7474" w:rsidRPr="00831573">
        <w:rPr>
          <w:lang w:val="en-GB"/>
        </w:rPr>
        <w:t>, 21 February 1986, § 85, Series A no. 98</w:t>
      </w:r>
      <w:r w:rsidR="00D3225F" w:rsidRPr="00831573">
        <w:rPr>
          <w:lang w:val="en-GB"/>
        </w:rPr>
        <w:t>)</w:t>
      </w:r>
      <w:r w:rsidR="000F49BF" w:rsidRPr="00831573">
        <w:rPr>
          <w:lang w:val="en-GB"/>
        </w:rPr>
        <w:t>.</w:t>
      </w:r>
      <w:r w:rsidR="005A712A" w:rsidRPr="00831573">
        <w:rPr>
          <w:lang w:val="en-GB"/>
        </w:rPr>
        <w:t xml:space="preserve"> Accordingly there is no issue under Article 13 insofar as </w:t>
      </w:r>
      <w:r w:rsidR="00C75651" w:rsidRPr="00831573">
        <w:rPr>
          <w:lang w:val="en-GB"/>
        </w:rPr>
        <w:t>the applicant</w:t>
      </w:r>
      <w:r w:rsidR="00831573" w:rsidRPr="00831573">
        <w:rPr>
          <w:lang w:val="en-GB"/>
        </w:rPr>
        <w:t>’</w:t>
      </w:r>
      <w:r w:rsidR="00C75651" w:rsidRPr="00831573">
        <w:rPr>
          <w:lang w:val="en-GB"/>
        </w:rPr>
        <w:t>s argument is that he ought to have had some</w:t>
      </w:r>
      <w:r w:rsidR="00575EBD" w:rsidRPr="00831573">
        <w:rPr>
          <w:lang w:val="en-GB"/>
        </w:rPr>
        <w:t xml:space="preserve"> effective</w:t>
      </w:r>
      <w:r w:rsidR="00C75651" w:rsidRPr="00831573">
        <w:rPr>
          <w:lang w:val="en-GB"/>
        </w:rPr>
        <w:t xml:space="preserve"> remedy available to him for challenging </w:t>
      </w:r>
      <w:r w:rsidR="005A712A" w:rsidRPr="00831573">
        <w:rPr>
          <w:lang w:val="en-GB"/>
        </w:rPr>
        <w:t xml:space="preserve">section 9(3) of the </w:t>
      </w:r>
      <w:r w:rsidR="00C75651" w:rsidRPr="00831573">
        <w:rPr>
          <w:lang w:val="en-GB"/>
        </w:rPr>
        <w:t xml:space="preserve">Human Rights </w:t>
      </w:r>
      <w:r w:rsidR="005A712A" w:rsidRPr="00831573">
        <w:rPr>
          <w:lang w:val="en-GB"/>
        </w:rPr>
        <w:t>Act</w:t>
      </w:r>
      <w:r w:rsidR="00C75651" w:rsidRPr="00831573">
        <w:rPr>
          <w:lang w:val="en-GB"/>
        </w:rPr>
        <w:t xml:space="preserve">, which limits the </w:t>
      </w:r>
      <w:r w:rsidR="008B7CE0" w:rsidRPr="00831573">
        <w:rPr>
          <w:lang w:val="en-GB"/>
        </w:rPr>
        <w:t>possibility</w:t>
      </w:r>
      <w:r w:rsidR="00C75651" w:rsidRPr="00831573">
        <w:rPr>
          <w:lang w:val="en-GB"/>
        </w:rPr>
        <w:t xml:space="preserve"> of claiming damages where the act or failure of which an individual complains is a judicial </w:t>
      </w:r>
      <w:r w:rsidR="00D3225F" w:rsidRPr="00831573">
        <w:rPr>
          <w:lang w:val="en-GB"/>
        </w:rPr>
        <w:t xml:space="preserve">one </w:t>
      </w:r>
      <w:r w:rsidR="00C75651" w:rsidRPr="00831573">
        <w:rPr>
          <w:lang w:val="en-GB"/>
        </w:rPr>
        <w:t>(see paragraph </w:t>
      </w:r>
      <w:r w:rsidR="00C75651" w:rsidRPr="00831573">
        <w:rPr>
          <w:lang w:val="en-GB"/>
        </w:rPr>
        <w:fldChar w:fldCharType="begin"/>
      </w:r>
      <w:r w:rsidR="00C75651" w:rsidRPr="00831573">
        <w:rPr>
          <w:lang w:val="en-GB"/>
        </w:rPr>
        <w:instrText xml:space="preserve"> REF HRA9sub3 \h </w:instrText>
      </w:r>
      <w:r w:rsidR="00C75651" w:rsidRPr="00831573">
        <w:rPr>
          <w:lang w:val="en-GB"/>
        </w:rPr>
      </w:r>
      <w:r w:rsidR="00C75651" w:rsidRPr="00831573">
        <w:rPr>
          <w:lang w:val="en-GB"/>
        </w:rPr>
        <w:fldChar w:fldCharType="separate"/>
      </w:r>
      <w:r w:rsidR="00831573" w:rsidRPr="00831573">
        <w:rPr>
          <w:noProof/>
          <w:lang w:val="en-GB"/>
        </w:rPr>
        <w:t>55</w:t>
      </w:r>
      <w:r w:rsidR="00C75651" w:rsidRPr="00831573">
        <w:rPr>
          <w:lang w:val="en-GB"/>
        </w:rPr>
        <w:fldChar w:fldCharType="end"/>
      </w:r>
      <w:r w:rsidR="00C75651" w:rsidRPr="00831573">
        <w:rPr>
          <w:lang w:val="en-GB"/>
        </w:rPr>
        <w:t xml:space="preserve"> above)</w:t>
      </w:r>
      <w:r w:rsidR="005A712A" w:rsidRPr="00831573">
        <w:rPr>
          <w:lang w:val="en-GB"/>
        </w:rPr>
        <w:t>.</w:t>
      </w:r>
    </w:p>
    <w:p w:rsidR="00B1070F" w:rsidRPr="00831573" w:rsidRDefault="00835B20" w:rsidP="00831573">
      <w:pPr>
        <w:pStyle w:val="ECHRPara"/>
        <w:rPr>
          <w:rFonts w:cstheme="minorHAnsi"/>
          <w:lang w:val="en-GB"/>
        </w:rPr>
      </w:pPr>
      <w:r w:rsidRPr="00831573">
        <w:rPr>
          <w:szCs w:val="24"/>
          <w:lang w:val="en-GB"/>
        </w:rPr>
        <w:fldChar w:fldCharType="begin"/>
      </w:r>
      <w:r w:rsidRPr="00831573">
        <w:rPr>
          <w:szCs w:val="24"/>
          <w:lang w:val="en-GB"/>
        </w:rPr>
        <w:instrText xml:space="preserve"> SEQ level0 \*arabic </w:instrText>
      </w:r>
      <w:r w:rsidRPr="00831573">
        <w:rPr>
          <w:szCs w:val="24"/>
          <w:lang w:val="en-GB"/>
        </w:rPr>
        <w:fldChar w:fldCharType="separate"/>
      </w:r>
      <w:r w:rsidR="00831573" w:rsidRPr="00831573">
        <w:rPr>
          <w:noProof/>
          <w:szCs w:val="24"/>
          <w:lang w:val="en-GB"/>
        </w:rPr>
        <w:t>151</w:t>
      </w:r>
      <w:r w:rsidRPr="00831573">
        <w:rPr>
          <w:szCs w:val="24"/>
          <w:lang w:val="en-GB"/>
        </w:rPr>
        <w:fldChar w:fldCharType="end"/>
      </w:r>
      <w:r w:rsidR="0030063D" w:rsidRPr="00831573">
        <w:rPr>
          <w:szCs w:val="24"/>
          <w:lang w:val="en-GB"/>
        </w:rPr>
        <w:t>.</w:t>
      </w:r>
      <w:r w:rsidR="0079597B" w:rsidRPr="00831573">
        <w:rPr>
          <w:szCs w:val="24"/>
          <w:lang w:val="en-GB"/>
        </w:rPr>
        <w:t>  </w:t>
      </w:r>
      <w:r w:rsidR="005A712A" w:rsidRPr="00831573">
        <w:rPr>
          <w:szCs w:val="24"/>
          <w:lang w:val="en-GB"/>
        </w:rPr>
        <w:t>As regards the applicant</w:t>
      </w:r>
      <w:r w:rsidR="00831573" w:rsidRPr="00831573">
        <w:rPr>
          <w:szCs w:val="24"/>
          <w:lang w:val="en-GB"/>
        </w:rPr>
        <w:t>’</w:t>
      </w:r>
      <w:r w:rsidR="005A712A" w:rsidRPr="00831573">
        <w:rPr>
          <w:szCs w:val="24"/>
          <w:lang w:val="en-GB"/>
        </w:rPr>
        <w:t>s argument that</w:t>
      </w:r>
      <w:r w:rsidR="00353556" w:rsidRPr="00831573">
        <w:rPr>
          <w:szCs w:val="24"/>
          <w:lang w:val="en-GB"/>
        </w:rPr>
        <w:t>,</w:t>
      </w:r>
      <w:r w:rsidR="005A712A" w:rsidRPr="00831573">
        <w:rPr>
          <w:szCs w:val="24"/>
          <w:lang w:val="en-GB"/>
        </w:rPr>
        <w:t xml:space="preserve"> </w:t>
      </w:r>
      <w:r w:rsidR="00353556" w:rsidRPr="00831573">
        <w:rPr>
          <w:szCs w:val="24"/>
          <w:lang w:val="en-GB"/>
        </w:rPr>
        <w:t>in order to receive sufficient and appropriate redress</w:t>
      </w:r>
      <w:r w:rsidR="00D3225F" w:rsidRPr="00831573">
        <w:rPr>
          <w:szCs w:val="24"/>
          <w:lang w:val="en-GB"/>
        </w:rPr>
        <w:t xml:space="preserve"> for the violation of Article 6 in his case</w:t>
      </w:r>
      <w:r w:rsidR="00353556" w:rsidRPr="00831573">
        <w:rPr>
          <w:szCs w:val="24"/>
          <w:lang w:val="en-GB"/>
        </w:rPr>
        <w:t>, the domestic courts</w:t>
      </w:r>
      <w:r w:rsidR="005A712A" w:rsidRPr="00831573">
        <w:rPr>
          <w:szCs w:val="24"/>
          <w:lang w:val="en-GB"/>
        </w:rPr>
        <w:t xml:space="preserve"> should </w:t>
      </w:r>
      <w:r w:rsidR="00353556" w:rsidRPr="00831573">
        <w:rPr>
          <w:szCs w:val="24"/>
          <w:lang w:val="en-GB"/>
        </w:rPr>
        <w:t>have awarded</w:t>
      </w:r>
      <w:r w:rsidR="005A712A" w:rsidRPr="00831573">
        <w:rPr>
          <w:szCs w:val="24"/>
          <w:lang w:val="en-GB"/>
        </w:rPr>
        <w:t xml:space="preserve"> </w:t>
      </w:r>
      <w:r w:rsidR="00353556" w:rsidRPr="00831573">
        <w:rPr>
          <w:szCs w:val="24"/>
          <w:lang w:val="en-GB"/>
        </w:rPr>
        <w:t xml:space="preserve">him </w:t>
      </w:r>
      <w:r w:rsidR="00C75651" w:rsidRPr="00831573">
        <w:rPr>
          <w:szCs w:val="24"/>
          <w:lang w:val="en-GB"/>
        </w:rPr>
        <w:t>financial compensation</w:t>
      </w:r>
      <w:r w:rsidR="005A712A" w:rsidRPr="00831573">
        <w:rPr>
          <w:szCs w:val="24"/>
          <w:lang w:val="en-GB"/>
        </w:rPr>
        <w:t>,</w:t>
      </w:r>
      <w:r w:rsidRPr="00831573">
        <w:rPr>
          <w:szCs w:val="24"/>
          <w:lang w:val="en-GB"/>
        </w:rPr>
        <w:t xml:space="preserve"> the Court considers that </w:t>
      </w:r>
      <w:r w:rsidR="00C75651" w:rsidRPr="00831573">
        <w:rPr>
          <w:szCs w:val="24"/>
          <w:lang w:val="en-GB"/>
        </w:rPr>
        <w:t xml:space="preserve">it </w:t>
      </w:r>
      <w:r w:rsidR="00D3225F" w:rsidRPr="00831573">
        <w:rPr>
          <w:szCs w:val="24"/>
          <w:lang w:val="en-GB"/>
        </w:rPr>
        <w:t xml:space="preserve">has </w:t>
      </w:r>
      <w:r w:rsidR="00C75651" w:rsidRPr="00831573">
        <w:rPr>
          <w:szCs w:val="24"/>
          <w:lang w:val="en-GB"/>
        </w:rPr>
        <w:t>examined th</w:t>
      </w:r>
      <w:r w:rsidR="00D3225F" w:rsidRPr="00831573">
        <w:rPr>
          <w:szCs w:val="24"/>
          <w:lang w:val="en-GB"/>
        </w:rPr>
        <w:t>at</w:t>
      </w:r>
      <w:r w:rsidRPr="00831573">
        <w:rPr>
          <w:szCs w:val="24"/>
          <w:lang w:val="en-GB"/>
        </w:rPr>
        <w:t xml:space="preserve"> issue </w:t>
      </w:r>
      <w:r w:rsidR="00D3225F" w:rsidRPr="00831573">
        <w:rPr>
          <w:szCs w:val="24"/>
          <w:lang w:val="en-GB"/>
        </w:rPr>
        <w:t xml:space="preserve">under the head of “victim” status in relation to the complaint under Article 6 </w:t>
      </w:r>
      <w:r w:rsidR="00C75651" w:rsidRPr="00831573">
        <w:rPr>
          <w:rFonts w:cstheme="minorHAnsi"/>
          <w:lang w:val="en-GB"/>
        </w:rPr>
        <w:t xml:space="preserve">(see paragraphs </w:t>
      </w:r>
      <w:r w:rsidR="00AD2049" w:rsidRPr="00831573">
        <w:rPr>
          <w:rFonts w:cstheme="minorHAnsi"/>
          <w:lang w:val="en-GB"/>
        </w:rPr>
        <w:fldChar w:fldCharType="begin"/>
      </w:r>
      <w:r w:rsidR="00AD2049" w:rsidRPr="00831573">
        <w:rPr>
          <w:rFonts w:cstheme="minorHAnsi"/>
          <w:lang w:val="en-GB"/>
        </w:rPr>
        <w:instrText xml:space="preserve"> REF ECrtHRA6VictimStart \h </w:instrText>
      </w:r>
      <w:r w:rsidR="00AD2049" w:rsidRPr="00831573">
        <w:rPr>
          <w:rFonts w:cstheme="minorHAnsi"/>
          <w:lang w:val="en-GB"/>
        </w:rPr>
      </w:r>
      <w:r w:rsidR="00AD2049" w:rsidRPr="00831573">
        <w:rPr>
          <w:rFonts w:cstheme="minorHAnsi"/>
          <w:lang w:val="en-GB"/>
        </w:rPr>
        <w:fldChar w:fldCharType="separate"/>
      </w:r>
      <w:r w:rsidR="00831573" w:rsidRPr="00831573">
        <w:rPr>
          <w:noProof/>
          <w:lang w:val="en-GB"/>
        </w:rPr>
        <w:t>131</w:t>
      </w:r>
      <w:r w:rsidR="00AD2049" w:rsidRPr="00831573">
        <w:rPr>
          <w:rFonts w:cstheme="minorHAnsi"/>
          <w:lang w:val="en-GB"/>
        </w:rPr>
        <w:fldChar w:fldCharType="end"/>
      </w:r>
      <w:r w:rsidR="00C75651" w:rsidRPr="00831573">
        <w:rPr>
          <w:rFonts w:cstheme="minorHAnsi"/>
          <w:lang w:val="en-GB"/>
        </w:rPr>
        <w:t xml:space="preserve"> </w:t>
      </w:r>
      <w:r w:rsidR="00AD2049" w:rsidRPr="00831573">
        <w:rPr>
          <w:rFonts w:cstheme="minorHAnsi"/>
          <w:lang w:val="en-GB"/>
        </w:rPr>
        <w:t xml:space="preserve">to </w:t>
      </w:r>
      <w:r w:rsidR="00713E21" w:rsidRPr="00831573">
        <w:rPr>
          <w:rFonts w:cstheme="minorHAnsi"/>
          <w:lang w:val="en-GB"/>
        </w:rPr>
        <w:fldChar w:fldCharType="begin"/>
      </w:r>
      <w:r w:rsidR="00713E21" w:rsidRPr="00831573">
        <w:rPr>
          <w:rFonts w:cstheme="minorHAnsi"/>
          <w:lang w:val="en-GB"/>
        </w:rPr>
        <w:instrText xml:space="preserve"> REF ECrtHRA6VictimEnd \h </w:instrText>
      </w:r>
      <w:r w:rsidR="00713E21" w:rsidRPr="00831573">
        <w:rPr>
          <w:rFonts w:cstheme="minorHAnsi"/>
          <w:lang w:val="en-GB"/>
        </w:rPr>
      </w:r>
      <w:r w:rsidR="00713E21" w:rsidRPr="00831573">
        <w:rPr>
          <w:rFonts w:cstheme="minorHAnsi"/>
          <w:lang w:val="en-GB"/>
        </w:rPr>
        <w:fldChar w:fldCharType="separate"/>
      </w:r>
      <w:r w:rsidR="00831573" w:rsidRPr="00831573">
        <w:rPr>
          <w:noProof/>
          <w:lang w:val="en-GB"/>
        </w:rPr>
        <w:t>137</w:t>
      </w:r>
      <w:r w:rsidR="00713E21" w:rsidRPr="00831573">
        <w:rPr>
          <w:rFonts w:cstheme="minorHAnsi"/>
          <w:lang w:val="en-GB"/>
        </w:rPr>
        <w:fldChar w:fldCharType="end"/>
      </w:r>
      <w:r w:rsidR="00AD2049" w:rsidRPr="00831573">
        <w:rPr>
          <w:rFonts w:cstheme="minorHAnsi"/>
          <w:lang w:val="en-GB"/>
        </w:rPr>
        <w:t xml:space="preserve"> </w:t>
      </w:r>
      <w:r w:rsidR="00C75651" w:rsidRPr="00831573">
        <w:rPr>
          <w:rFonts w:cstheme="minorHAnsi"/>
          <w:lang w:val="en-GB"/>
        </w:rPr>
        <w:t>above)</w:t>
      </w:r>
      <w:r w:rsidR="00F15946" w:rsidRPr="00831573">
        <w:rPr>
          <w:rFonts w:cstheme="minorHAnsi"/>
          <w:lang w:val="en-GB"/>
        </w:rPr>
        <w:t>.</w:t>
      </w:r>
    </w:p>
    <w:bookmarkStart w:id="55" w:name="A13End"/>
    <w:p w:rsidR="00835B20" w:rsidRPr="00831573" w:rsidRDefault="00B1070F" w:rsidP="00831573">
      <w:pPr>
        <w:pStyle w:val="ECHRPara"/>
        <w:rPr>
          <w:szCs w:val="24"/>
          <w:lang w:val="en-GB"/>
        </w:rPr>
      </w:pPr>
      <w:r w:rsidRPr="00831573">
        <w:rPr>
          <w:rFonts w:cstheme="minorHAnsi"/>
          <w:lang w:val="en-GB"/>
        </w:rPr>
        <w:fldChar w:fldCharType="begin"/>
      </w:r>
      <w:r w:rsidRPr="00831573">
        <w:rPr>
          <w:rFonts w:cstheme="minorHAnsi"/>
          <w:lang w:val="en-GB"/>
        </w:rPr>
        <w:instrText xml:space="preserve"> SEQ level0 \*arabic </w:instrText>
      </w:r>
      <w:r w:rsidRPr="00831573">
        <w:rPr>
          <w:rFonts w:cstheme="minorHAnsi"/>
          <w:lang w:val="en-GB"/>
        </w:rPr>
        <w:fldChar w:fldCharType="separate"/>
      </w:r>
      <w:r w:rsidR="00831573" w:rsidRPr="00831573">
        <w:rPr>
          <w:rFonts w:cstheme="minorHAnsi"/>
          <w:noProof/>
          <w:lang w:val="en-GB"/>
        </w:rPr>
        <w:t>152</w:t>
      </w:r>
      <w:r w:rsidRPr="00831573">
        <w:rPr>
          <w:rFonts w:cstheme="minorHAnsi"/>
          <w:lang w:val="en-GB"/>
        </w:rPr>
        <w:fldChar w:fldCharType="end"/>
      </w:r>
      <w:bookmarkEnd w:id="55"/>
      <w:r w:rsidRPr="00831573">
        <w:rPr>
          <w:rFonts w:cstheme="minorHAnsi"/>
          <w:lang w:val="en-GB"/>
        </w:rPr>
        <w:t>.  </w:t>
      </w:r>
      <w:r w:rsidR="00D3225F" w:rsidRPr="00831573">
        <w:rPr>
          <w:rFonts w:cstheme="minorHAnsi"/>
          <w:lang w:val="en-GB"/>
        </w:rPr>
        <w:t>The Court has held that the applicant can still cla</w:t>
      </w:r>
      <w:r w:rsidR="00575EBD" w:rsidRPr="00831573">
        <w:rPr>
          <w:rFonts w:cstheme="minorHAnsi"/>
          <w:lang w:val="en-GB"/>
        </w:rPr>
        <w:t>i</w:t>
      </w:r>
      <w:r w:rsidR="00D3225F" w:rsidRPr="00831573">
        <w:rPr>
          <w:rFonts w:cstheme="minorHAnsi"/>
          <w:lang w:val="en-GB"/>
        </w:rPr>
        <w:t xml:space="preserve">m to be a “victim” of a violation of Article 6 insofar as he did not receive any redress </w:t>
      </w:r>
      <w:r w:rsidR="00894DCA" w:rsidRPr="00831573">
        <w:rPr>
          <w:rFonts w:cstheme="minorHAnsi"/>
          <w:lang w:val="en-GB"/>
        </w:rPr>
        <w:t>in</w:t>
      </w:r>
      <w:r w:rsidR="00D3225F" w:rsidRPr="00831573">
        <w:rPr>
          <w:rFonts w:cstheme="minorHAnsi"/>
          <w:lang w:val="en-GB"/>
        </w:rPr>
        <w:t xml:space="preserve"> the form of financial compensation for the prejudice caused to him by that violation, namely a lengthened deprivation of liberty</w:t>
      </w:r>
      <w:r w:rsidR="00146F13" w:rsidRPr="00831573">
        <w:rPr>
          <w:rFonts w:cstheme="minorHAnsi"/>
          <w:lang w:val="en-GB"/>
        </w:rPr>
        <w:t xml:space="preserve"> (see paragraphs </w:t>
      </w:r>
      <w:r w:rsidR="00575EBD" w:rsidRPr="00831573">
        <w:rPr>
          <w:rFonts w:cstheme="minorHAnsi"/>
          <w:lang w:val="en-GB"/>
        </w:rPr>
        <w:fldChar w:fldCharType="begin"/>
      </w:r>
      <w:r w:rsidR="00575EBD" w:rsidRPr="00831573">
        <w:rPr>
          <w:rFonts w:cstheme="minorHAnsi"/>
          <w:lang w:val="en-GB"/>
        </w:rPr>
        <w:instrText xml:space="preserve"> REF ECrtHRA6VictimPenultimate \h </w:instrText>
      </w:r>
      <w:r w:rsidR="00575EBD" w:rsidRPr="00831573">
        <w:rPr>
          <w:rFonts w:cstheme="minorHAnsi"/>
          <w:lang w:val="en-GB"/>
        </w:rPr>
      </w:r>
      <w:r w:rsidR="00575EBD" w:rsidRPr="00831573">
        <w:rPr>
          <w:rFonts w:cstheme="minorHAnsi"/>
          <w:lang w:val="en-GB"/>
        </w:rPr>
        <w:fldChar w:fldCharType="separate"/>
      </w:r>
      <w:r w:rsidR="00831573" w:rsidRPr="00831573">
        <w:rPr>
          <w:noProof/>
          <w:lang w:val="en-GB"/>
        </w:rPr>
        <w:t>136</w:t>
      </w:r>
      <w:r w:rsidR="00575EBD" w:rsidRPr="00831573">
        <w:rPr>
          <w:rFonts w:cstheme="minorHAnsi"/>
          <w:lang w:val="en-GB"/>
        </w:rPr>
        <w:fldChar w:fldCharType="end"/>
      </w:r>
      <w:r w:rsidR="00575EBD" w:rsidRPr="00831573">
        <w:rPr>
          <w:rFonts w:cstheme="minorHAnsi"/>
          <w:lang w:val="en-GB"/>
        </w:rPr>
        <w:t xml:space="preserve"> to </w:t>
      </w:r>
      <w:r w:rsidR="00575EBD" w:rsidRPr="00831573">
        <w:rPr>
          <w:rFonts w:cstheme="minorHAnsi"/>
          <w:lang w:val="en-GB"/>
        </w:rPr>
        <w:fldChar w:fldCharType="begin"/>
      </w:r>
      <w:r w:rsidR="00575EBD" w:rsidRPr="00831573">
        <w:rPr>
          <w:rFonts w:cstheme="minorHAnsi"/>
          <w:lang w:val="en-GB"/>
        </w:rPr>
        <w:instrText xml:space="preserve"> REF ECrtHRA6VictimEnd \h </w:instrText>
      </w:r>
      <w:r w:rsidR="00575EBD" w:rsidRPr="00831573">
        <w:rPr>
          <w:rFonts w:cstheme="minorHAnsi"/>
          <w:lang w:val="en-GB"/>
        </w:rPr>
      </w:r>
      <w:r w:rsidR="00575EBD" w:rsidRPr="00831573">
        <w:rPr>
          <w:rFonts w:cstheme="minorHAnsi"/>
          <w:lang w:val="en-GB"/>
        </w:rPr>
        <w:fldChar w:fldCharType="separate"/>
      </w:r>
      <w:r w:rsidR="00831573" w:rsidRPr="00831573">
        <w:rPr>
          <w:noProof/>
          <w:lang w:val="en-GB"/>
        </w:rPr>
        <w:t>137</w:t>
      </w:r>
      <w:r w:rsidR="00575EBD" w:rsidRPr="00831573">
        <w:rPr>
          <w:rFonts w:cstheme="minorHAnsi"/>
          <w:lang w:val="en-GB"/>
        </w:rPr>
        <w:fldChar w:fldCharType="end"/>
      </w:r>
      <w:r w:rsidR="00575EBD" w:rsidRPr="00831573">
        <w:rPr>
          <w:rFonts w:cstheme="minorHAnsi"/>
          <w:lang w:val="en-GB"/>
        </w:rPr>
        <w:t xml:space="preserve"> above)</w:t>
      </w:r>
      <w:r w:rsidR="00D3225F" w:rsidRPr="00831573">
        <w:rPr>
          <w:rFonts w:cstheme="minorHAnsi"/>
          <w:lang w:val="en-GB"/>
        </w:rPr>
        <w:t xml:space="preserve">. Translating that finding into </w:t>
      </w:r>
      <w:r w:rsidR="00F06AA1" w:rsidRPr="00831573">
        <w:rPr>
          <w:rFonts w:cstheme="minorHAnsi"/>
          <w:lang w:val="en-GB"/>
        </w:rPr>
        <w:t xml:space="preserve">the </w:t>
      </w:r>
      <w:r w:rsidR="00D3225F" w:rsidRPr="00831573">
        <w:rPr>
          <w:rFonts w:cstheme="minorHAnsi"/>
          <w:lang w:val="en-GB"/>
        </w:rPr>
        <w:t xml:space="preserve">terms of Article 13, </w:t>
      </w:r>
      <w:r w:rsidR="00C75651" w:rsidRPr="00831573">
        <w:rPr>
          <w:rFonts w:cstheme="minorHAnsi"/>
          <w:lang w:val="en-GB"/>
        </w:rPr>
        <w:t>t</w:t>
      </w:r>
      <w:r w:rsidR="00F15946" w:rsidRPr="00831573">
        <w:rPr>
          <w:rFonts w:cstheme="minorHAnsi"/>
          <w:lang w:val="en-GB"/>
        </w:rPr>
        <w:t xml:space="preserve">he Court </w:t>
      </w:r>
      <w:r w:rsidR="00D3225F" w:rsidRPr="00831573">
        <w:rPr>
          <w:rFonts w:cstheme="minorHAnsi"/>
          <w:lang w:val="en-GB"/>
        </w:rPr>
        <w:t xml:space="preserve">cannot but </w:t>
      </w:r>
      <w:r w:rsidR="00F15946" w:rsidRPr="00831573">
        <w:rPr>
          <w:rFonts w:cstheme="minorHAnsi"/>
          <w:lang w:val="en-GB"/>
        </w:rPr>
        <w:t>conclude that the</w:t>
      </w:r>
      <w:r w:rsidR="00D3225F" w:rsidRPr="00831573">
        <w:rPr>
          <w:rFonts w:cstheme="minorHAnsi"/>
          <w:lang w:val="en-GB"/>
        </w:rPr>
        <w:t xml:space="preserve"> domestic remedies available</w:t>
      </w:r>
      <w:r w:rsidR="00575EBD" w:rsidRPr="00831573">
        <w:rPr>
          <w:rFonts w:cstheme="minorHAnsi"/>
          <w:lang w:val="en-GB"/>
        </w:rPr>
        <w:t xml:space="preserve"> to the applicant in relation to his complaint under Article 6</w:t>
      </w:r>
      <w:r w:rsidR="00D3225F" w:rsidRPr="00831573">
        <w:rPr>
          <w:rFonts w:cstheme="minorHAnsi"/>
          <w:lang w:val="en-GB"/>
        </w:rPr>
        <w:t xml:space="preserve"> were not fully “effective” for the purposes of Article 13, since they were not capable of affording adequate redress for the prejudice </w:t>
      </w:r>
      <w:r w:rsidR="006B25A2" w:rsidRPr="00831573">
        <w:rPr>
          <w:rFonts w:cstheme="minorHAnsi"/>
          <w:lang w:val="en-GB"/>
        </w:rPr>
        <w:t xml:space="preserve">suffered by </w:t>
      </w:r>
      <w:r w:rsidR="00575EBD" w:rsidRPr="00831573">
        <w:rPr>
          <w:rFonts w:cstheme="minorHAnsi"/>
          <w:lang w:val="en-GB"/>
        </w:rPr>
        <w:t>him</w:t>
      </w:r>
      <w:r w:rsidR="006B25A2" w:rsidRPr="00831573">
        <w:rPr>
          <w:rFonts w:cstheme="minorHAnsi"/>
          <w:lang w:val="en-GB"/>
        </w:rPr>
        <w:t xml:space="preserve"> in the form of the lengthened deprivation of liberty caused by the absence of legal representation in </w:t>
      </w:r>
      <w:r w:rsidR="0023626B" w:rsidRPr="00831573">
        <w:rPr>
          <w:rFonts w:cstheme="minorHAnsi"/>
          <w:lang w:val="en-GB"/>
        </w:rPr>
        <w:t xml:space="preserve">his </w:t>
      </w:r>
      <w:r w:rsidR="006B25A2" w:rsidRPr="00831573">
        <w:rPr>
          <w:rFonts w:cstheme="minorHAnsi"/>
          <w:lang w:val="en-GB"/>
        </w:rPr>
        <w:t>case</w:t>
      </w:r>
      <w:r w:rsidR="00202FC0" w:rsidRPr="00831573">
        <w:rPr>
          <w:rFonts w:cstheme="minorHAnsi"/>
          <w:lang w:val="en-GB"/>
        </w:rPr>
        <w:t>.</w:t>
      </w:r>
      <w:r w:rsidR="00476FCA" w:rsidRPr="00831573">
        <w:rPr>
          <w:rFonts w:cstheme="minorHAnsi"/>
          <w:lang w:val="en-GB"/>
        </w:rPr>
        <w:t xml:space="preserve"> There has accordingly been a violation of Article 13 in the present case.</w:t>
      </w:r>
    </w:p>
    <w:p w:rsidR="000F49BF" w:rsidRPr="00831573" w:rsidRDefault="000F49BF" w:rsidP="00831573">
      <w:pPr>
        <w:pStyle w:val="ECHRHeading1"/>
        <w:rPr>
          <w:lang w:val="en-GB"/>
        </w:rPr>
      </w:pPr>
      <w:r w:rsidRPr="00831573">
        <w:rPr>
          <w:lang w:val="en-GB"/>
        </w:rPr>
        <w:t>IV. </w:t>
      </w:r>
      <w:r w:rsidR="0030063D" w:rsidRPr="00831573">
        <w:rPr>
          <w:lang w:val="en-GB"/>
        </w:rPr>
        <w:t> </w:t>
      </w:r>
      <w:r w:rsidRPr="00831573">
        <w:rPr>
          <w:lang w:val="en-GB"/>
        </w:rPr>
        <w:t>OTHER ALLEGED VIOLATIONS OF THE CONVENTION</w:t>
      </w:r>
    </w:p>
    <w:p w:rsidR="00014566" w:rsidRPr="00831573" w:rsidRDefault="00AE1F98"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153</w:t>
      </w:r>
      <w:r w:rsidRPr="00831573">
        <w:rPr>
          <w:lang w:val="en-GB"/>
        </w:rPr>
        <w:fldChar w:fldCharType="end"/>
      </w:r>
      <w:r w:rsidR="000F49BF" w:rsidRPr="00831573">
        <w:rPr>
          <w:lang w:val="en-GB"/>
        </w:rPr>
        <w:t>. </w:t>
      </w:r>
      <w:r w:rsidR="0079597B" w:rsidRPr="00831573">
        <w:rPr>
          <w:lang w:val="en-GB"/>
        </w:rPr>
        <w:t> </w:t>
      </w:r>
      <w:r w:rsidR="000F49BF" w:rsidRPr="00831573">
        <w:rPr>
          <w:lang w:val="en-GB"/>
        </w:rPr>
        <w:t xml:space="preserve">The </w:t>
      </w:r>
      <w:r w:rsidR="005C5113" w:rsidRPr="00831573">
        <w:rPr>
          <w:lang w:val="en-GB"/>
        </w:rPr>
        <w:t>applicant also complained of a violation of Article 14 taken with Articles 5 and 6. H</w:t>
      </w:r>
      <w:r w:rsidR="000F49BF" w:rsidRPr="00831573">
        <w:rPr>
          <w:lang w:val="en-GB"/>
        </w:rPr>
        <w:t>aving regard to all the material in its possession, and in so far as these complaints fall within the Court</w:t>
      </w:r>
      <w:r w:rsidR="00831573" w:rsidRPr="00831573">
        <w:rPr>
          <w:lang w:val="en-GB"/>
        </w:rPr>
        <w:t>’</w:t>
      </w:r>
      <w:r w:rsidR="000F49BF" w:rsidRPr="00831573">
        <w:rPr>
          <w:lang w:val="en-GB"/>
        </w:rPr>
        <w:t>s jurisdiction, it finds that the</w:t>
      </w:r>
      <w:r w:rsidR="005C5113" w:rsidRPr="00831573">
        <w:rPr>
          <w:lang w:val="en-GB"/>
        </w:rPr>
        <w:t>se complaints</w:t>
      </w:r>
      <w:r w:rsidR="000F49BF" w:rsidRPr="00831573">
        <w:rPr>
          <w:lang w:val="en-GB"/>
        </w:rPr>
        <w:t xml:space="preserve"> do not disclose any appearance of a violation of the rights and freedoms set forth in the Convention or its Protocols. It follows that these complaints must be rejected as being manifestly ill-founded, pursuant to Article 35 §§ 3 (a) and 4 of the Convention.</w:t>
      </w:r>
    </w:p>
    <w:p w:rsidR="004A046C" w:rsidRPr="00831573" w:rsidRDefault="004A046C" w:rsidP="00831573">
      <w:pPr>
        <w:pStyle w:val="ECHRHeading1"/>
        <w:rPr>
          <w:lang w:val="en-GB"/>
        </w:rPr>
      </w:pPr>
      <w:r w:rsidRPr="00831573">
        <w:rPr>
          <w:lang w:val="en-GB"/>
        </w:rPr>
        <w:t>V.  APPLICATION OF ARTICLE 41 OF THE CONVENTION</w:t>
      </w:r>
    </w:p>
    <w:p w:rsidR="00AD2049" w:rsidRPr="00831573" w:rsidRDefault="00AD2049"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154</w:t>
      </w:r>
      <w:r w:rsidRPr="00831573">
        <w:rPr>
          <w:lang w:val="en-GB"/>
        </w:rPr>
        <w:fldChar w:fldCharType="end"/>
      </w:r>
      <w:r w:rsidRPr="00831573">
        <w:rPr>
          <w:lang w:val="en-GB"/>
        </w:rPr>
        <w:t>.  The Court, while rejecting the applicant</w:t>
      </w:r>
      <w:r w:rsidR="00831573" w:rsidRPr="00831573">
        <w:rPr>
          <w:lang w:val="en-GB"/>
        </w:rPr>
        <w:t>’</w:t>
      </w:r>
      <w:r w:rsidRPr="00831573">
        <w:rPr>
          <w:lang w:val="en-GB"/>
        </w:rPr>
        <w:t xml:space="preserve">s claims under Article 5, has found a violation of </w:t>
      </w:r>
      <w:r w:rsidR="006E4EA9" w:rsidRPr="00831573">
        <w:rPr>
          <w:lang w:val="en-GB"/>
        </w:rPr>
        <w:t>Article 6 § 1, taken in conjunction with Article 6</w:t>
      </w:r>
      <w:r w:rsidR="007E20E7" w:rsidRPr="00831573">
        <w:rPr>
          <w:lang w:val="en-GB"/>
        </w:rPr>
        <w:t xml:space="preserve"> </w:t>
      </w:r>
      <w:r w:rsidR="006E4EA9" w:rsidRPr="00831573">
        <w:rPr>
          <w:lang w:val="en-GB"/>
        </w:rPr>
        <w:t>§ 3 (c), by reason of the applicant</w:t>
      </w:r>
      <w:r w:rsidR="00831573" w:rsidRPr="00831573">
        <w:rPr>
          <w:lang w:val="en-GB"/>
        </w:rPr>
        <w:t>’</w:t>
      </w:r>
      <w:r w:rsidR="006E4EA9" w:rsidRPr="00831573">
        <w:rPr>
          <w:lang w:val="en-GB"/>
        </w:rPr>
        <w:t>s lack of representation during his civil-contempt-of-court hearing and a violation of Article 13</w:t>
      </w:r>
      <w:r w:rsidR="00370E00" w:rsidRPr="00831573">
        <w:rPr>
          <w:lang w:val="en-GB"/>
        </w:rPr>
        <w:t>,</w:t>
      </w:r>
      <w:r w:rsidR="006E4EA9" w:rsidRPr="00831573">
        <w:rPr>
          <w:lang w:val="en-GB"/>
        </w:rPr>
        <w:t xml:space="preserve"> by reason of the inability of the domestic courts to award financial compensation </w:t>
      </w:r>
      <w:r w:rsidR="00370E00" w:rsidRPr="00831573">
        <w:rPr>
          <w:lang w:val="en-GB"/>
        </w:rPr>
        <w:t xml:space="preserve">to the applicant for </w:t>
      </w:r>
      <w:r w:rsidR="00476FCA" w:rsidRPr="00831573">
        <w:rPr>
          <w:lang w:val="en-GB"/>
        </w:rPr>
        <w:t xml:space="preserve">the prejudice caused by </w:t>
      </w:r>
      <w:r w:rsidR="00370E00" w:rsidRPr="00831573">
        <w:rPr>
          <w:lang w:val="en-GB"/>
        </w:rPr>
        <w:t>th</w:t>
      </w:r>
      <w:r w:rsidR="006E4EA9" w:rsidRPr="00831573">
        <w:rPr>
          <w:lang w:val="en-GB"/>
        </w:rPr>
        <w:t>a</w:t>
      </w:r>
      <w:r w:rsidR="00370E00" w:rsidRPr="00831573">
        <w:rPr>
          <w:lang w:val="en-GB"/>
        </w:rPr>
        <w:t>t violation of Article 6</w:t>
      </w:r>
      <w:r w:rsidR="007D5256" w:rsidRPr="00831573">
        <w:rPr>
          <w:lang w:val="en-GB"/>
        </w:rPr>
        <w:t>.</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155</w:t>
      </w:r>
      <w:r w:rsidRPr="00831573">
        <w:rPr>
          <w:lang w:val="en-GB"/>
        </w:rPr>
        <w:fldChar w:fldCharType="end"/>
      </w:r>
      <w:r w:rsidRPr="00831573">
        <w:rPr>
          <w:lang w:val="en-GB"/>
        </w:rPr>
        <w:t>. </w:t>
      </w:r>
      <w:r w:rsidR="00074C50" w:rsidRPr="00831573">
        <w:rPr>
          <w:lang w:val="en-GB"/>
        </w:rPr>
        <w:t> </w:t>
      </w:r>
      <w:r w:rsidRPr="00831573">
        <w:rPr>
          <w:lang w:val="en-GB"/>
        </w:rPr>
        <w:t>The applicant sought just satisfaction for non-pecuniary damage and costs and expenses under Article 41 of the Convention, which provides:</w:t>
      </w:r>
    </w:p>
    <w:p w:rsidR="004A046C" w:rsidRPr="00831573" w:rsidRDefault="004A046C" w:rsidP="00831573">
      <w:pPr>
        <w:pStyle w:val="ECHRParaQuote"/>
        <w:keepNext/>
        <w:keepLines/>
        <w:rPr>
          <w:lang w:val="en-GB"/>
        </w:rPr>
      </w:pPr>
      <w:r w:rsidRPr="0083157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4A046C" w:rsidRPr="00831573" w:rsidRDefault="004A046C" w:rsidP="00831573">
      <w:pPr>
        <w:pStyle w:val="ECHRHeading2"/>
        <w:rPr>
          <w:lang w:val="en-GB"/>
        </w:rPr>
      </w:pPr>
      <w:r w:rsidRPr="00831573">
        <w:rPr>
          <w:lang w:val="en-GB"/>
        </w:rPr>
        <w:t>A. </w:t>
      </w:r>
      <w:r w:rsidR="0030063D" w:rsidRPr="00831573">
        <w:rPr>
          <w:lang w:val="en-GB"/>
        </w:rPr>
        <w:t> </w:t>
      </w:r>
      <w:r w:rsidRPr="00831573">
        <w:rPr>
          <w:lang w:val="en-GB"/>
        </w:rPr>
        <w:t>Non-pecuniary damage</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156</w:t>
      </w:r>
      <w:r w:rsidRPr="00831573">
        <w:rPr>
          <w:lang w:val="en-GB"/>
        </w:rPr>
        <w:fldChar w:fldCharType="end"/>
      </w:r>
      <w:r w:rsidRPr="00831573">
        <w:rPr>
          <w:lang w:val="en-GB"/>
        </w:rPr>
        <w:t xml:space="preserve">.  The applicant claimed </w:t>
      </w:r>
      <w:r w:rsidR="006307CE" w:rsidRPr="00831573">
        <w:rPr>
          <w:lang w:val="en-GB"/>
        </w:rPr>
        <w:t xml:space="preserve">GBP </w:t>
      </w:r>
      <w:r w:rsidRPr="00831573">
        <w:rPr>
          <w:lang w:val="en-GB"/>
        </w:rPr>
        <w:t>7</w:t>
      </w:r>
      <w:r w:rsidR="00353556" w:rsidRPr="00831573">
        <w:rPr>
          <w:lang w:val="en-GB"/>
        </w:rPr>
        <w:t>,</w:t>
      </w:r>
      <w:r w:rsidRPr="00831573">
        <w:rPr>
          <w:lang w:val="en-GB"/>
        </w:rPr>
        <w:t>500 in respect of non-pecuniary damage. He argued that the domestic courts had found a “clear causal link” between the County Court</w:t>
      </w:r>
      <w:r w:rsidR="00831573" w:rsidRPr="00831573">
        <w:rPr>
          <w:lang w:val="en-GB"/>
        </w:rPr>
        <w:t>’</w:t>
      </w:r>
      <w:r w:rsidRPr="00831573">
        <w:rPr>
          <w:lang w:val="en-GB"/>
        </w:rPr>
        <w:t>s failure to act compatibly with Article 6 and his detention for six weeks instead of one week. The High Court had decided that, if it had found that his Article 5 rights had been violated, it would have awarded him the sum of GBP 6</w:t>
      </w:r>
      <w:r w:rsidR="00353556" w:rsidRPr="00831573">
        <w:rPr>
          <w:lang w:val="en-GB"/>
        </w:rPr>
        <w:t>,</w:t>
      </w:r>
      <w:r w:rsidRPr="00831573">
        <w:rPr>
          <w:lang w:val="en-GB"/>
        </w:rPr>
        <w:t xml:space="preserve">000. </w:t>
      </w:r>
      <w:r w:rsidR="001F73BF" w:rsidRPr="00831573">
        <w:rPr>
          <w:lang w:val="en-GB"/>
        </w:rPr>
        <w:t>He argued that any award should be uprated to account for inflation and because he had been forced to make an application to the Court in order to secure a remedy.</w:t>
      </w:r>
    </w:p>
    <w:p w:rsidR="00831573"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157</w:t>
      </w:r>
      <w:r w:rsidRPr="00831573">
        <w:rPr>
          <w:lang w:val="en-GB"/>
        </w:rPr>
        <w:fldChar w:fldCharType="end"/>
      </w:r>
      <w:r w:rsidRPr="00831573">
        <w:rPr>
          <w:lang w:val="en-GB"/>
        </w:rPr>
        <w:t xml:space="preserve">.  The Government argued that a finding of a violation </w:t>
      </w:r>
      <w:r w:rsidR="00370E00" w:rsidRPr="00831573">
        <w:rPr>
          <w:lang w:val="en-GB"/>
        </w:rPr>
        <w:t xml:space="preserve">would be </w:t>
      </w:r>
      <w:r w:rsidRPr="00831573">
        <w:rPr>
          <w:lang w:val="en-GB"/>
        </w:rPr>
        <w:t>sufficient to afford the applicant just satisfaction.</w:t>
      </w:r>
    </w:p>
    <w:p w:rsidR="007D09D4"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158</w:t>
      </w:r>
      <w:r w:rsidRPr="00831573">
        <w:rPr>
          <w:lang w:val="en-GB"/>
        </w:rPr>
        <w:fldChar w:fldCharType="end"/>
      </w:r>
      <w:r w:rsidR="004D448E" w:rsidRPr="00831573">
        <w:rPr>
          <w:lang w:val="en-GB"/>
        </w:rPr>
        <w:t>.  </w:t>
      </w:r>
      <w:r w:rsidRPr="00831573">
        <w:rPr>
          <w:lang w:val="en-GB"/>
        </w:rPr>
        <w:t>The Court has already decided (</w:t>
      </w:r>
      <w:r w:rsidR="00803526" w:rsidRPr="00831573">
        <w:rPr>
          <w:lang w:val="en-GB"/>
        </w:rPr>
        <w:t xml:space="preserve">see paragraph </w:t>
      </w:r>
      <w:r w:rsidR="00713E21" w:rsidRPr="00831573">
        <w:rPr>
          <w:lang w:val="en-GB"/>
        </w:rPr>
        <w:fldChar w:fldCharType="begin"/>
      </w:r>
      <w:r w:rsidR="00713E21" w:rsidRPr="00831573">
        <w:rPr>
          <w:lang w:val="en-GB"/>
        </w:rPr>
        <w:instrText xml:space="preserve"> REF ECrtHRA6VictimEnd \h </w:instrText>
      </w:r>
      <w:r w:rsidR="00713E21" w:rsidRPr="00831573">
        <w:rPr>
          <w:lang w:val="en-GB"/>
        </w:rPr>
      </w:r>
      <w:r w:rsidR="00713E21" w:rsidRPr="00831573">
        <w:rPr>
          <w:lang w:val="en-GB"/>
        </w:rPr>
        <w:fldChar w:fldCharType="separate"/>
      </w:r>
      <w:r w:rsidR="00831573" w:rsidRPr="00831573">
        <w:rPr>
          <w:noProof/>
          <w:lang w:val="en-GB"/>
        </w:rPr>
        <w:t>137</w:t>
      </w:r>
      <w:r w:rsidR="00713E21" w:rsidRPr="00831573">
        <w:rPr>
          <w:lang w:val="en-GB"/>
        </w:rPr>
        <w:fldChar w:fldCharType="end"/>
      </w:r>
      <w:r w:rsidR="00803526" w:rsidRPr="00831573">
        <w:rPr>
          <w:lang w:val="en-GB"/>
        </w:rPr>
        <w:t xml:space="preserve"> </w:t>
      </w:r>
      <w:r w:rsidRPr="00831573">
        <w:rPr>
          <w:lang w:val="en-GB"/>
        </w:rPr>
        <w:t>above) that</w:t>
      </w:r>
      <w:r w:rsidR="00C13D41" w:rsidRPr="00831573">
        <w:rPr>
          <w:lang w:val="en-GB"/>
        </w:rPr>
        <w:t xml:space="preserve"> </w:t>
      </w:r>
      <w:r w:rsidR="00370E00" w:rsidRPr="00831573">
        <w:rPr>
          <w:lang w:val="en-GB"/>
        </w:rPr>
        <w:t>financial compensation was in principle</w:t>
      </w:r>
      <w:r w:rsidR="00C13D41" w:rsidRPr="00831573">
        <w:rPr>
          <w:lang w:val="en-GB"/>
        </w:rPr>
        <w:t xml:space="preserve"> necessary </w:t>
      </w:r>
      <w:r w:rsidR="00370E00" w:rsidRPr="00831573">
        <w:rPr>
          <w:lang w:val="en-GB"/>
        </w:rPr>
        <w:t xml:space="preserve">at the national level </w:t>
      </w:r>
      <w:r w:rsidR="00C13D41" w:rsidRPr="00831573">
        <w:rPr>
          <w:lang w:val="en-GB"/>
        </w:rPr>
        <w:t xml:space="preserve">to afford </w:t>
      </w:r>
      <w:r w:rsidR="000B5130" w:rsidRPr="00831573">
        <w:rPr>
          <w:lang w:val="en-GB"/>
        </w:rPr>
        <w:t>the applicant</w:t>
      </w:r>
      <w:r w:rsidR="00C13D41" w:rsidRPr="00831573">
        <w:rPr>
          <w:lang w:val="en-GB"/>
        </w:rPr>
        <w:t xml:space="preserve"> </w:t>
      </w:r>
      <w:r w:rsidR="00370E00" w:rsidRPr="00831573">
        <w:rPr>
          <w:lang w:val="en-GB"/>
        </w:rPr>
        <w:t>adequate redress for the acknowledged violation of Article 6</w:t>
      </w:r>
      <w:r w:rsidRPr="00831573">
        <w:rPr>
          <w:lang w:val="en-GB"/>
        </w:rPr>
        <w:t xml:space="preserve">. It therefore remains only to decide the correct level of the </w:t>
      </w:r>
      <w:r w:rsidR="00370E00" w:rsidRPr="00831573">
        <w:rPr>
          <w:lang w:val="en-GB"/>
        </w:rPr>
        <w:t xml:space="preserve">financial compensation to be awarded under </w:t>
      </w:r>
      <w:r w:rsidR="008B7CE0" w:rsidRPr="00831573">
        <w:rPr>
          <w:lang w:val="en-GB"/>
        </w:rPr>
        <w:t>Article</w:t>
      </w:r>
      <w:r w:rsidR="00370E00" w:rsidRPr="00831573">
        <w:rPr>
          <w:lang w:val="en-GB"/>
        </w:rPr>
        <w:t xml:space="preserve"> 41 of the Convention</w:t>
      </w:r>
      <w:r w:rsidRPr="00831573">
        <w:rPr>
          <w:lang w:val="en-GB"/>
        </w:rPr>
        <w:t>.</w:t>
      </w:r>
    </w:p>
    <w:p w:rsidR="007D09D4" w:rsidRPr="00831573" w:rsidRDefault="007D09D4"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159</w:t>
      </w:r>
      <w:r w:rsidRPr="00831573">
        <w:rPr>
          <w:lang w:val="en-GB"/>
        </w:rPr>
        <w:fldChar w:fldCharType="end"/>
      </w:r>
      <w:r w:rsidRPr="00831573">
        <w:rPr>
          <w:lang w:val="en-GB"/>
        </w:rPr>
        <w:t>.</w:t>
      </w:r>
      <w:r w:rsidR="004D448E" w:rsidRPr="00831573">
        <w:rPr>
          <w:lang w:val="en-GB"/>
        </w:rPr>
        <w:t>  </w:t>
      </w:r>
      <w:r w:rsidRPr="00831573">
        <w:rPr>
          <w:lang w:val="en-GB"/>
        </w:rPr>
        <w:t xml:space="preserve">The Court notes that when Blake J examined what he would have awarded the applicant had he decided that there had been a violation of Article 5 </w:t>
      </w:r>
      <w:r w:rsidRPr="00831573">
        <w:rPr>
          <w:rFonts w:cstheme="minorHAnsi"/>
          <w:lang w:val="en-GB"/>
        </w:rPr>
        <w:t>§</w:t>
      </w:r>
      <w:r w:rsidRPr="00831573">
        <w:rPr>
          <w:lang w:val="en-GB"/>
        </w:rPr>
        <w:t xml:space="preserve"> 1, he found that GBP 6,000 would have been appropriate redress (see paragraph </w:t>
      </w:r>
      <w:r w:rsidRPr="00831573">
        <w:rPr>
          <w:lang w:val="en-GB"/>
        </w:rPr>
        <w:fldChar w:fldCharType="begin"/>
      </w:r>
      <w:r w:rsidRPr="00831573">
        <w:rPr>
          <w:lang w:val="en-GB"/>
        </w:rPr>
        <w:instrText xml:space="preserve"> REF HCSentencingError \h </w:instrText>
      </w:r>
      <w:r w:rsidRPr="00831573">
        <w:rPr>
          <w:lang w:val="en-GB"/>
        </w:rPr>
      </w:r>
      <w:r w:rsidRPr="00831573">
        <w:rPr>
          <w:lang w:val="en-GB"/>
        </w:rPr>
        <w:fldChar w:fldCharType="separate"/>
      </w:r>
      <w:r w:rsidR="00831573" w:rsidRPr="00831573">
        <w:rPr>
          <w:noProof/>
          <w:lang w:val="en-GB"/>
        </w:rPr>
        <w:t>34</w:t>
      </w:r>
      <w:r w:rsidRPr="00831573">
        <w:rPr>
          <w:lang w:val="en-GB"/>
        </w:rPr>
        <w:fldChar w:fldCharType="end"/>
      </w:r>
      <w:r w:rsidRPr="00831573">
        <w:rPr>
          <w:lang w:val="en-GB"/>
        </w:rPr>
        <w:t xml:space="preserve"> above).</w:t>
      </w:r>
    </w:p>
    <w:p w:rsidR="00353556" w:rsidRPr="00831573" w:rsidRDefault="00C172DB"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160</w:t>
      </w:r>
      <w:r w:rsidRPr="00831573">
        <w:rPr>
          <w:lang w:val="en-GB"/>
        </w:rPr>
        <w:fldChar w:fldCharType="end"/>
      </w:r>
      <w:r w:rsidRPr="00831573">
        <w:rPr>
          <w:lang w:val="en-GB"/>
        </w:rPr>
        <w:t>.  The Court does not attach any decisive weight to the fact that</w:t>
      </w:r>
      <w:r w:rsidR="00092521" w:rsidRPr="00831573">
        <w:rPr>
          <w:lang w:val="en-GB"/>
        </w:rPr>
        <w:t xml:space="preserve">, instead of lodging an appeal immediately following the making of the committal order by the County Court judge, as he could have done, </w:t>
      </w:r>
      <w:r w:rsidRPr="00831573">
        <w:rPr>
          <w:lang w:val="en-GB"/>
        </w:rPr>
        <w:t xml:space="preserve">the applicant </w:t>
      </w:r>
      <w:r w:rsidR="00092521" w:rsidRPr="00831573">
        <w:rPr>
          <w:lang w:val="en-GB"/>
        </w:rPr>
        <w:t xml:space="preserve">waited </w:t>
      </w:r>
      <w:r w:rsidRPr="00831573">
        <w:rPr>
          <w:lang w:val="en-GB"/>
        </w:rPr>
        <w:t>until he was released from prison</w:t>
      </w:r>
      <w:r w:rsidR="00831573" w:rsidRPr="00831573">
        <w:rPr>
          <w:lang w:val="en-GB"/>
        </w:rPr>
        <w:t xml:space="preserve"> to do so (see </w:t>
      </w:r>
      <w:r w:rsidR="0092223D" w:rsidRPr="00831573">
        <w:rPr>
          <w:lang w:val="en-GB"/>
        </w:rPr>
        <w:t>paragraphs </w:t>
      </w:r>
      <w:r w:rsidR="00092521" w:rsidRPr="00831573">
        <w:rPr>
          <w:lang w:val="en-GB"/>
        </w:rPr>
        <w:fldChar w:fldCharType="begin"/>
      </w:r>
      <w:r w:rsidR="00092521" w:rsidRPr="00831573">
        <w:rPr>
          <w:lang w:val="en-GB"/>
        </w:rPr>
        <w:instrText xml:space="preserve"> REF CompensationLawyer \h </w:instrText>
      </w:r>
      <w:r w:rsidR="00092521" w:rsidRPr="00831573">
        <w:rPr>
          <w:lang w:val="en-GB"/>
        </w:rPr>
      </w:r>
      <w:r w:rsidR="00092521" w:rsidRPr="00831573">
        <w:rPr>
          <w:lang w:val="en-GB"/>
        </w:rPr>
        <w:fldChar w:fldCharType="separate"/>
      </w:r>
      <w:r w:rsidR="00831573" w:rsidRPr="00831573">
        <w:rPr>
          <w:noProof/>
          <w:lang w:val="en-GB"/>
        </w:rPr>
        <w:t>14</w:t>
      </w:r>
      <w:r w:rsidR="00092521" w:rsidRPr="00831573">
        <w:rPr>
          <w:lang w:val="en-GB"/>
        </w:rPr>
        <w:fldChar w:fldCharType="end"/>
      </w:r>
      <w:r w:rsidR="00092521" w:rsidRPr="00831573">
        <w:rPr>
          <w:lang w:val="en-GB"/>
        </w:rPr>
        <w:t xml:space="preserve"> to </w:t>
      </w:r>
      <w:r w:rsidR="00092521" w:rsidRPr="00831573">
        <w:rPr>
          <w:lang w:val="en-GB"/>
        </w:rPr>
        <w:fldChar w:fldCharType="begin"/>
      </w:r>
      <w:r w:rsidR="00092521" w:rsidRPr="00831573">
        <w:rPr>
          <w:lang w:val="en-GB"/>
        </w:rPr>
        <w:instrText xml:space="preserve"> REF CALodgingOfAppeal \h </w:instrText>
      </w:r>
      <w:r w:rsidR="00092521" w:rsidRPr="00831573">
        <w:rPr>
          <w:lang w:val="en-GB"/>
        </w:rPr>
      </w:r>
      <w:r w:rsidR="00092521" w:rsidRPr="00831573">
        <w:rPr>
          <w:lang w:val="en-GB"/>
        </w:rPr>
        <w:fldChar w:fldCharType="separate"/>
      </w:r>
      <w:r w:rsidR="00831573" w:rsidRPr="00831573">
        <w:rPr>
          <w:noProof/>
          <w:lang w:val="en-GB"/>
        </w:rPr>
        <w:t>16</w:t>
      </w:r>
      <w:r w:rsidR="00092521" w:rsidRPr="00831573">
        <w:rPr>
          <w:lang w:val="en-GB"/>
        </w:rPr>
        <w:fldChar w:fldCharType="end"/>
      </w:r>
      <w:r w:rsidR="00092521" w:rsidRPr="00831573">
        <w:rPr>
          <w:lang w:val="en-GB"/>
        </w:rPr>
        <w:t xml:space="preserve"> above)</w:t>
      </w:r>
      <w:r w:rsidRPr="00831573">
        <w:rPr>
          <w:lang w:val="en-GB"/>
        </w:rPr>
        <w:t xml:space="preserve">. </w:t>
      </w:r>
      <w:r w:rsidR="00092521" w:rsidRPr="00831573">
        <w:rPr>
          <w:lang w:val="en-GB"/>
        </w:rPr>
        <w:t xml:space="preserve">This is because in the context of Article 41 of the Convention it is also relevant that he was unrepresented and not legally advised at the committal hearing. The lawyers whom he contacted from prison failed to assist him properly. While he received GBP 500 from those lawyers in compensation for their failure to assist (see paragraph </w:t>
      </w:r>
      <w:r w:rsidR="00092521" w:rsidRPr="00831573">
        <w:rPr>
          <w:lang w:val="en-GB"/>
        </w:rPr>
        <w:fldChar w:fldCharType="begin"/>
      </w:r>
      <w:r w:rsidR="00092521" w:rsidRPr="00831573">
        <w:rPr>
          <w:lang w:val="en-GB"/>
        </w:rPr>
        <w:instrText xml:space="preserve"> REF CompensationLawyer \h </w:instrText>
      </w:r>
      <w:r w:rsidR="00092521" w:rsidRPr="00831573">
        <w:rPr>
          <w:lang w:val="en-GB"/>
        </w:rPr>
      </w:r>
      <w:r w:rsidR="00092521" w:rsidRPr="00831573">
        <w:rPr>
          <w:lang w:val="en-GB"/>
        </w:rPr>
        <w:fldChar w:fldCharType="separate"/>
      </w:r>
      <w:r w:rsidR="00831573" w:rsidRPr="00831573">
        <w:rPr>
          <w:noProof/>
          <w:lang w:val="en-GB"/>
        </w:rPr>
        <w:t>14</w:t>
      </w:r>
      <w:r w:rsidR="00092521" w:rsidRPr="00831573">
        <w:rPr>
          <w:lang w:val="en-GB"/>
        </w:rPr>
        <w:fldChar w:fldCharType="end"/>
      </w:r>
      <w:r w:rsidR="00092521" w:rsidRPr="00831573">
        <w:rPr>
          <w:lang w:val="en-GB"/>
        </w:rPr>
        <w:t xml:space="preserve"> above), that compensation does not, in the Court</w:t>
      </w:r>
      <w:r w:rsidR="00831573" w:rsidRPr="00831573">
        <w:rPr>
          <w:lang w:val="en-GB"/>
        </w:rPr>
        <w:t>’</w:t>
      </w:r>
      <w:r w:rsidR="00092521" w:rsidRPr="00831573">
        <w:rPr>
          <w:lang w:val="en-GB"/>
        </w:rPr>
        <w:t>s opinion, remove the “necessity” under Article 41 of the Convention to a</w:t>
      </w:r>
      <w:r w:rsidR="00B60059" w:rsidRPr="00831573">
        <w:rPr>
          <w:lang w:val="en-GB"/>
        </w:rPr>
        <w:t>fford h</w:t>
      </w:r>
      <w:r w:rsidR="00092521" w:rsidRPr="00831573">
        <w:rPr>
          <w:lang w:val="en-GB"/>
        </w:rPr>
        <w:t xml:space="preserve">im </w:t>
      </w:r>
      <w:r w:rsidR="00B60059" w:rsidRPr="00831573">
        <w:rPr>
          <w:lang w:val="en-GB"/>
        </w:rPr>
        <w:t xml:space="preserve">“just satisfaction” as reparation for </w:t>
      </w:r>
      <w:r w:rsidR="00092521" w:rsidRPr="00831573">
        <w:rPr>
          <w:lang w:val="en-GB"/>
        </w:rPr>
        <w:t xml:space="preserve">the prejudice caused to him by the violation of Article 6 </w:t>
      </w:r>
      <w:r w:rsidR="00092521" w:rsidRPr="00831573">
        <w:rPr>
          <w:rFonts w:cstheme="minorHAnsi"/>
          <w:lang w:val="en-GB"/>
        </w:rPr>
        <w:t xml:space="preserve">§ 1, taken in conjunction with Article 6 § 3(c). </w:t>
      </w:r>
      <w:r w:rsidR="006B6FAD" w:rsidRPr="00831573">
        <w:rPr>
          <w:rFonts w:cstheme="minorHAnsi"/>
          <w:lang w:val="en-GB"/>
        </w:rPr>
        <w:t>It follows from the Court</w:t>
      </w:r>
      <w:r w:rsidR="00831573" w:rsidRPr="00831573">
        <w:rPr>
          <w:rFonts w:cstheme="minorHAnsi"/>
          <w:lang w:val="en-GB"/>
        </w:rPr>
        <w:t>’</w:t>
      </w:r>
      <w:r w:rsidR="006B6FAD" w:rsidRPr="00831573">
        <w:rPr>
          <w:rFonts w:cstheme="minorHAnsi"/>
          <w:lang w:val="en-GB"/>
        </w:rPr>
        <w:t xml:space="preserve">s </w:t>
      </w:r>
      <w:r w:rsidR="0038049E" w:rsidRPr="00831573">
        <w:rPr>
          <w:lang w:val="en-GB"/>
        </w:rPr>
        <w:t xml:space="preserve">conclusion </w:t>
      </w:r>
      <w:r w:rsidR="00370E00" w:rsidRPr="00831573">
        <w:rPr>
          <w:lang w:val="en-GB"/>
        </w:rPr>
        <w:t xml:space="preserve">on “victim” status (see paragraph </w:t>
      </w:r>
      <w:r w:rsidR="00713E21" w:rsidRPr="00831573">
        <w:rPr>
          <w:lang w:val="en-GB"/>
        </w:rPr>
        <w:fldChar w:fldCharType="begin"/>
      </w:r>
      <w:r w:rsidR="00713E21" w:rsidRPr="00831573">
        <w:rPr>
          <w:lang w:val="en-GB"/>
        </w:rPr>
        <w:instrText xml:space="preserve"> REF ECrtHRA6VictimEnd \h </w:instrText>
      </w:r>
      <w:r w:rsidR="00713E21" w:rsidRPr="00831573">
        <w:rPr>
          <w:lang w:val="en-GB"/>
        </w:rPr>
      </w:r>
      <w:r w:rsidR="00713E21" w:rsidRPr="00831573">
        <w:rPr>
          <w:lang w:val="en-GB"/>
        </w:rPr>
        <w:fldChar w:fldCharType="separate"/>
      </w:r>
      <w:r w:rsidR="00831573" w:rsidRPr="00831573">
        <w:rPr>
          <w:noProof/>
          <w:lang w:val="en-GB"/>
        </w:rPr>
        <w:t>137</w:t>
      </w:r>
      <w:r w:rsidR="00713E21" w:rsidRPr="00831573">
        <w:rPr>
          <w:lang w:val="en-GB"/>
        </w:rPr>
        <w:fldChar w:fldCharType="end"/>
      </w:r>
      <w:r w:rsidR="00370E00" w:rsidRPr="00831573">
        <w:rPr>
          <w:lang w:val="en-GB"/>
        </w:rPr>
        <w:t xml:space="preserve"> above) </w:t>
      </w:r>
      <w:r w:rsidR="00BC7467" w:rsidRPr="00831573">
        <w:rPr>
          <w:lang w:val="en-GB"/>
        </w:rPr>
        <w:t>that the additional</w:t>
      </w:r>
      <w:r w:rsidR="00370E00" w:rsidRPr="00831573">
        <w:rPr>
          <w:lang w:val="en-GB"/>
        </w:rPr>
        <w:t>, unjustified</w:t>
      </w:r>
      <w:r w:rsidR="00BC7467" w:rsidRPr="00831573">
        <w:rPr>
          <w:lang w:val="en-GB"/>
        </w:rPr>
        <w:t xml:space="preserve"> five weeks</w:t>
      </w:r>
      <w:r w:rsidR="00831573" w:rsidRPr="00831573">
        <w:rPr>
          <w:lang w:val="en-GB"/>
        </w:rPr>
        <w:t>’</w:t>
      </w:r>
      <w:r w:rsidR="00BC7467" w:rsidRPr="00831573">
        <w:rPr>
          <w:lang w:val="en-GB"/>
        </w:rPr>
        <w:t xml:space="preserve"> deprivation of liberty</w:t>
      </w:r>
      <w:r w:rsidR="00C870B1" w:rsidRPr="00831573">
        <w:rPr>
          <w:lang w:val="en-GB"/>
        </w:rPr>
        <w:t>,</w:t>
      </w:r>
      <w:r w:rsidR="00BC7467" w:rsidRPr="00831573">
        <w:rPr>
          <w:lang w:val="en-GB"/>
        </w:rPr>
        <w:t xml:space="preserve"> </w:t>
      </w:r>
      <w:r w:rsidR="00353556" w:rsidRPr="00831573">
        <w:rPr>
          <w:lang w:val="en-GB"/>
        </w:rPr>
        <w:t>which the High Court was satisfied had occurred in the applicant</w:t>
      </w:r>
      <w:r w:rsidR="00831573" w:rsidRPr="00831573">
        <w:rPr>
          <w:lang w:val="en-GB"/>
        </w:rPr>
        <w:t>’</w:t>
      </w:r>
      <w:r w:rsidR="00353556" w:rsidRPr="00831573">
        <w:rPr>
          <w:lang w:val="en-GB"/>
        </w:rPr>
        <w:t>s case on account of the procedural shortcomings</w:t>
      </w:r>
      <w:r w:rsidR="006B6FAD" w:rsidRPr="00831573">
        <w:rPr>
          <w:lang w:val="en-GB"/>
        </w:rPr>
        <w:t xml:space="preserve"> before the County Court (see paragraph 34 above),</w:t>
      </w:r>
      <w:r w:rsidR="00BC7467" w:rsidRPr="00831573">
        <w:rPr>
          <w:lang w:val="en-GB"/>
        </w:rPr>
        <w:t xml:space="preserve"> </w:t>
      </w:r>
      <w:r w:rsidR="00F9189D" w:rsidRPr="00831573">
        <w:rPr>
          <w:lang w:val="en-GB"/>
        </w:rPr>
        <w:t>gave rise to prejudice</w:t>
      </w:r>
      <w:r w:rsidR="00476FCA" w:rsidRPr="00831573">
        <w:rPr>
          <w:lang w:val="en-GB"/>
        </w:rPr>
        <w:t xml:space="preserve"> which was</w:t>
      </w:r>
      <w:r w:rsidR="00BC7467" w:rsidRPr="00831573">
        <w:rPr>
          <w:lang w:val="en-GB"/>
        </w:rPr>
        <w:t xml:space="preserve"> not sufficiently compensated by the domestic courts</w:t>
      </w:r>
      <w:r w:rsidR="00831573" w:rsidRPr="00831573">
        <w:rPr>
          <w:lang w:val="en-GB"/>
        </w:rPr>
        <w:t>’</w:t>
      </w:r>
      <w:r w:rsidR="00BC7467" w:rsidRPr="00831573">
        <w:rPr>
          <w:lang w:val="en-GB"/>
        </w:rPr>
        <w:t xml:space="preserve"> </w:t>
      </w:r>
      <w:r w:rsidR="006B6FAD" w:rsidRPr="00831573">
        <w:rPr>
          <w:lang w:val="en-GB"/>
        </w:rPr>
        <w:t xml:space="preserve">acknowledgement </w:t>
      </w:r>
      <w:r w:rsidR="00BC7467" w:rsidRPr="00831573">
        <w:rPr>
          <w:lang w:val="en-GB"/>
        </w:rPr>
        <w:t>of a violation of Article 6 of the Convention.</w:t>
      </w:r>
      <w:r w:rsidR="006A7C9F" w:rsidRPr="00831573">
        <w:rPr>
          <w:lang w:val="en-GB"/>
        </w:rPr>
        <w:t xml:space="preserve"> </w:t>
      </w:r>
      <w:r w:rsidR="006A7C9F" w:rsidRPr="00831573">
        <w:rPr>
          <w:rFonts w:cstheme="minorHAnsi"/>
          <w:lang w:val="en-GB"/>
        </w:rPr>
        <w:t xml:space="preserve">There are no exceptional reasons (see </w:t>
      </w:r>
      <w:r w:rsidR="006A7C9F" w:rsidRPr="00831573">
        <w:rPr>
          <w:i/>
          <w:lang w:val="en-GB"/>
        </w:rPr>
        <w:t>Piper v. the United Kingdom</w:t>
      </w:r>
      <w:r w:rsidR="006A7C9F" w:rsidRPr="00831573">
        <w:rPr>
          <w:lang w:val="en-GB"/>
        </w:rPr>
        <w:t>, no. 44547/10</w:t>
      </w:r>
      <w:r w:rsidR="00073972" w:rsidRPr="00831573">
        <w:rPr>
          <w:snapToGrid w:val="0"/>
          <w:lang w:val="en-GB"/>
        </w:rPr>
        <w:t>, § </w:t>
      </w:r>
      <w:r w:rsidR="006A7C9F" w:rsidRPr="00831573">
        <w:rPr>
          <w:snapToGrid w:val="0"/>
          <w:lang w:val="en-GB"/>
        </w:rPr>
        <w:t>73, 21 April 2015</w:t>
      </w:r>
      <w:r w:rsidR="006A7C9F" w:rsidRPr="00831573">
        <w:rPr>
          <w:rFonts w:cstheme="minorHAnsi"/>
          <w:lang w:val="en-GB"/>
        </w:rPr>
        <w:t xml:space="preserve">) to hold that the finding </w:t>
      </w:r>
      <w:r w:rsidR="006B6FAD" w:rsidRPr="00831573">
        <w:rPr>
          <w:rFonts w:cstheme="minorHAnsi"/>
          <w:lang w:val="en-GB"/>
        </w:rPr>
        <w:t xml:space="preserve">by this Court </w:t>
      </w:r>
      <w:r w:rsidR="006A7C9F" w:rsidRPr="00831573">
        <w:rPr>
          <w:rFonts w:cstheme="minorHAnsi"/>
          <w:lang w:val="en-GB"/>
        </w:rPr>
        <w:t xml:space="preserve">of a violation </w:t>
      </w:r>
      <w:r w:rsidR="006B6FAD" w:rsidRPr="00831573">
        <w:rPr>
          <w:rFonts w:cstheme="minorHAnsi"/>
          <w:lang w:val="en-GB"/>
        </w:rPr>
        <w:t xml:space="preserve">of Article 6 </w:t>
      </w:r>
      <w:r w:rsidR="006A7C9F" w:rsidRPr="00831573">
        <w:rPr>
          <w:rFonts w:cstheme="minorHAnsi"/>
          <w:lang w:val="en-GB"/>
        </w:rPr>
        <w:t>would</w:t>
      </w:r>
      <w:r w:rsidR="00F9189D" w:rsidRPr="00831573">
        <w:rPr>
          <w:rFonts w:cstheme="minorHAnsi"/>
          <w:lang w:val="en-GB"/>
        </w:rPr>
        <w:t xml:space="preserve"> in its turn</w:t>
      </w:r>
      <w:r w:rsidR="006A7C9F" w:rsidRPr="00831573">
        <w:rPr>
          <w:rFonts w:cstheme="minorHAnsi"/>
          <w:lang w:val="en-GB"/>
        </w:rPr>
        <w:t xml:space="preserve"> in itself constitute adequate “just satisfaction”</w:t>
      </w:r>
      <w:r w:rsidR="00831573" w:rsidRPr="00831573">
        <w:rPr>
          <w:rFonts w:cstheme="minorHAnsi"/>
          <w:lang w:val="en-GB"/>
        </w:rPr>
        <w:t xml:space="preserve"> </w:t>
      </w:r>
      <w:r w:rsidR="006A7C9F" w:rsidRPr="00831573">
        <w:rPr>
          <w:rFonts w:cstheme="minorHAnsi"/>
          <w:lang w:val="en-GB"/>
        </w:rPr>
        <w:t>for the purposes of Article 41 in relation to th</w:t>
      </w:r>
      <w:r w:rsidR="00F9189D" w:rsidRPr="00831573">
        <w:rPr>
          <w:rFonts w:cstheme="minorHAnsi"/>
          <w:lang w:val="en-GB"/>
        </w:rPr>
        <w:t>o</w:t>
      </w:r>
      <w:r w:rsidR="006B6FAD" w:rsidRPr="00831573">
        <w:rPr>
          <w:rFonts w:cstheme="minorHAnsi"/>
          <w:lang w:val="en-GB"/>
        </w:rPr>
        <w:t>s</w:t>
      </w:r>
      <w:r w:rsidR="006A7C9F" w:rsidRPr="00831573">
        <w:rPr>
          <w:rFonts w:cstheme="minorHAnsi"/>
          <w:lang w:val="en-GB"/>
        </w:rPr>
        <w:t>e five additional weeks of imprisonment</w:t>
      </w:r>
      <w:r w:rsidR="006B6FAD" w:rsidRPr="00831573">
        <w:rPr>
          <w:rFonts w:cstheme="minorHAnsi"/>
          <w:lang w:val="en-GB"/>
        </w:rPr>
        <w:t>.</w:t>
      </w:r>
    </w:p>
    <w:p w:rsidR="00C172DB" w:rsidRPr="00831573" w:rsidRDefault="006B6FAD"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161</w:t>
      </w:r>
      <w:r w:rsidRPr="00831573">
        <w:rPr>
          <w:lang w:val="en-GB"/>
        </w:rPr>
        <w:fldChar w:fldCharType="end"/>
      </w:r>
      <w:r w:rsidRPr="00831573">
        <w:rPr>
          <w:lang w:val="en-GB"/>
        </w:rPr>
        <w:t>.  </w:t>
      </w:r>
      <w:r w:rsidR="00C172DB" w:rsidRPr="00831573">
        <w:rPr>
          <w:lang w:val="en-GB"/>
        </w:rPr>
        <w:t>As regards its finding of a violation of Article 13, the Court</w:t>
      </w:r>
      <w:r w:rsidR="00476FCA" w:rsidRPr="00831573">
        <w:rPr>
          <w:lang w:val="en-GB"/>
        </w:rPr>
        <w:t xml:space="preserve"> accepts that the lack of a fully “effective” domestic </w:t>
      </w:r>
      <w:r w:rsidR="00C172DB" w:rsidRPr="00831573">
        <w:rPr>
          <w:lang w:val="en-GB"/>
        </w:rPr>
        <w:t xml:space="preserve">remedy, which </w:t>
      </w:r>
      <w:r w:rsidR="00476FCA" w:rsidRPr="00831573">
        <w:rPr>
          <w:lang w:val="en-GB"/>
        </w:rPr>
        <w:t xml:space="preserve">prompted </w:t>
      </w:r>
      <w:r w:rsidR="00C172DB" w:rsidRPr="00831573">
        <w:rPr>
          <w:lang w:val="en-GB"/>
        </w:rPr>
        <w:t xml:space="preserve">the applicant to lodge an application </w:t>
      </w:r>
      <w:r w:rsidR="0038049E" w:rsidRPr="00831573">
        <w:rPr>
          <w:lang w:val="en-GB"/>
        </w:rPr>
        <w:t xml:space="preserve">under </w:t>
      </w:r>
      <w:r w:rsidR="00C172DB" w:rsidRPr="00831573">
        <w:rPr>
          <w:lang w:val="en-GB"/>
        </w:rPr>
        <w:t>the Co</w:t>
      </w:r>
      <w:r w:rsidR="0038049E" w:rsidRPr="00831573">
        <w:rPr>
          <w:lang w:val="en-GB"/>
        </w:rPr>
        <w:t xml:space="preserve">nvention </w:t>
      </w:r>
      <w:r w:rsidR="00C172DB" w:rsidRPr="00831573">
        <w:rPr>
          <w:lang w:val="en-GB"/>
        </w:rPr>
        <w:t>in orde</w:t>
      </w:r>
      <w:r w:rsidR="00476FCA" w:rsidRPr="00831573">
        <w:rPr>
          <w:lang w:val="en-GB"/>
        </w:rPr>
        <w:t>r to obtain adequate redress, was liable to have c</w:t>
      </w:r>
      <w:r w:rsidR="00340CA7" w:rsidRPr="00831573">
        <w:rPr>
          <w:lang w:val="en-GB"/>
        </w:rPr>
        <w:t>aused him some frustration.</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162</w:t>
      </w:r>
      <w:r w:rsidRPr="00831573">
        <w:rPr>
          <w:lang w:val="en-GB"/>
        </w:rPr>
        <w:fldChar w:fldCharType="end"/>
      </w:r>
      <w:r w:rsidRPr="00831573">
        <w:rPr>
          <w:lang w:val="en-GB"/>
        </w:rPr>
        <w:t>. </w:t>
      </w:r>
      <w:r w:rsidR="004D448E" w:rsidRPr="00831573">
        <w:rPr>
          <w:lang w:val="en-GB"/>
        </w:rPr>
        <w:t> </w:t>
      </w:r>
      <w:r w:rsidR="00BC7467" w:rsidRPr="00831573">
        <w:rPr>
          <w:lang w:val="en-GB"/>
        </w:rPr>
        <w:t>Making its assessment on an equitable basis,</w:t>
      </w:r>
      <w:r w:rsidR="00340CA7" w:rsidRPr="00831573">
        <w:rPr>
          <w:lang w:val="en-GB"/>
        </w:rPr>
        <w:t xml:space="preserve"> </w:t>
      </w:r>
      <w:r w:rsidR="00BC7467" w:rsidRPr="00831573">
        <w:rPr>
          <w:lang w:val="en-GB"/>
        </w:rPr>
        <w:t>t</w:t>
      </w:r>
      <w:r w:rsidRPr="00831573">
        <w:rPr>
          <w:lang w:val="en-GB"/>
        </w:rPr>
        <w:t xml:space="preserve">he Court awards the applicant EUR </w:t>
      </w:r>
      <w:r w:rsidR="00353556" w:rsidRPr="00831573">
        <w:rPr>
          <w:lang w:val="en-GB"/>
        </w:rPr>
        <w:t>8,</w:t>
      </w:r>
      <w:r w:rsidR="00C172DB" w:rsidRPr="00831573">
        <w:rPr>
          <w:lang w:val="en-GB"/>
        </w:rPr>
        <w:t>400</w:t>
      </w:r>
      <w:r w:rsidR="00476FCA" w:rsidRPr="00831573">
        <w:rPr>
          <w:lang w:val="en-GB"/>
        </w:rPr>
        <w:t xml:space="preserve">, </w:t>
      </w:r>
      <w:r w:rsidR="00A93DBA" w:rsidRPr="00831573">
        <w:rPr>
          <w:lang w:val="en-GB"/>
        </w:rPr>
        <w:t>plus</w:t>
      </w:r>
      <w:r w:rsidR="00651C66" w:rsidRPr="00831573">
        <w:rPr>
          <w:lang w:val="en-GB"/>
        </w:rPr>
        <w:t xml:space="preserve"> </w:t>
      </w:r>
      <w:r w:rsidR="00BC7467" w:rsidRPr="00831573">
        <w:rPr>
          <w:lang w:val="en-GB"/>
        </w:rPr>
        <w:t>any tax that may be chargeable</w:t>
      </w:r>
      <w:r w:rsidR="00476FCA" w:rsidRPr="00831573">
        <w:rPr>
          <w:lang w:val="en-GB"/>
        </w:rPr>
        <w:t>, in respect of the two violations found.</w:t>
      </w:r>
    </w:p>
    <w:p w:rsidR="004A046C" w:rsidRPr="00831573" w:rsidRDefault="004A046C" w:rsidP="00831573">
      <w:pPr>
        <w:pStyle w:val="ECHRHeading2"/>
        <w:rPr>
          <w:lang w:val="en-GB"/>
        </w:rPr>
      </w:pPr>
      <w:r w:rsidRPr="00831573">
        <w:rPr>
          <w:lang w:val="en-GB"/>
        </w:rPr>
        <w:t>B.  Costs and expenses</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163</w:t>
      </w:r>
      <w:r w:rsidRPr="00831573">
        <w:rPr>
          <w:lang w:val="en-GB"/>
        </w:rPr>
        <w:fldChar w:fldCharType="end"/>
      </w:r>
      <w:r w:rsidRPr="00831573">
        <w:rPr>
          <w:lang w:val="en-GB"/>
        </w:rPr>
        <w:t>.  The applicant also claimed GBP 13</w:t>
      </w:r>
      <w:r w:rsidR="00803526" w:rsidRPr="00831573">
        <w:rPr>
          <w:lang w:val="en-GB"/>
        </w:rPr>
        <w:t>,</w:t>
      </w:r>
      <w:r w:rsidRPr="00831573">
        <w:rPr>
          <w:lang w:val="en-GB"/>
        </w:rPr>
        <w:t>244.21 for the costs incurred before the Court</w:t>
      </w:r>
      <w:r w:rsidR="006B25A2" w:rsidRPr="00831573">
        <w:rPr>
          <w:lang w:val="en-GB"/>
        </w:rPr>
        <w:t>, inclusive of VAT</w:t>
      </w:r>
      <w:r w:rsidR="00340CA7" w:rsidRPr="00831573">
        <w:rPr>
          <w:lang w:val="en-GB"/>
        </w:rPr>
        <w:t>.</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164</w:t>
      </w:r>
      <w:r w:rsidRPr="00831573">
        <w:rPr>
          <w:lang w:val="en-GB"/>
        </w:rPr>
        <w:fldChar w:fldCharType="end"/>
      </w:r>
      <w:r w:rsidRPr="00831573">
        <w:rPr>
          <w:lang w:val="en-GB"/>
        </w:rPr>
        <w:t xml:space="preserve">.  The Government argued that the sums charged by counsel were excessive, both as to the number of hours billed and the applicable rate. In particular, the Government argued that counsel should only be reimbursed at the rate </w:t>
      </w:r>
      <w:r w:rsidR="00803526" w:rsidRPr="00831573">
        <w:rPr>
          <w:lang w:val="en-GB"/>
        </w:rPr>
        <w:t xml:space="preserve">(GBP 120 per hour) </w:t>
      </w:r>
      <w:r w:rsidRPr="00831573">
        <w:rPr>
          <w:lang w:val="en-GB"/>
        </w:rPr>
        <w:t>which he would have been paid had he been acting for the Government as a member of the Attorney General</w:t>
      </w:r>
      <w:r w:rsidR="00831573" w:rsidRPr="00831573">
        <w:rPr>
          <w:lang w:val="en-GB"/>
        </w:rPr>
        <w:t>’</w:t>
      </w:r>
      <w:r w:rsidRPr="00831573">
        <w:rPr>
          <w:lang w:val="en-GB"/>
        </w:rPr>
        <w:t xml:space="preserve">s </w:t>
      </w:r>
      <w:r w:rsidR="00803526" w:rsidRPr="00831573">
        <w:rPr>
          <w:lang w:val="en-GB"/>
        </w:rPr>
        <w:t>A P</w:t>
      </w:r>
      <w:r w:rsidRPr="00831573">
        <w:rPr>
          <w:lang w:val="en-GB"/>
        </w:rPr>
        <w:t>anel of counsel who undertake civil and European Union-related legal work. Finally</w:t>
      </w:r>
      <w:r w:rsidR="006307CE" w:rsidRPr="00831573">
        <w:rPr>
          <w:lang w:val="en-GB"/>
        </w:rPr>
        <w:t>,</w:t>
      </w:r>
      <w:r w:rsidRPr="00831573">
        <w:rPr>
          <w:lang w:val="en-GB"/>
        </w:rPr>
        <w:t xml:space="preserve"> the Government argued that the Court should, unless it finds for the applicant on all his complaints, reduce the amount of costs awarded to reflect his partial success.</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165</w:t>
      </w:r>
      <w:r w:rsidRPr="00831573">
        <w:rPr>
          <w:lang w:val="en-GB"/>
        </w:rPr>
        <w:fldChar w:fldCharType="end"/>
      </w:r>
      <w:r w:rsidRPr="00831573">
        <w:rPr>
          <w:lang w:val="en-GB"/>
        </w:rPr>
        <w:t>.  According to the Court</w:t>
      </w:r>
      <w:r w:rsidR="00831573" w:rsidRPr="00831573">
        <w:rPr>
          <w:lang w:val="en-GB"/>
        </w:rPr>
        <w:t>’</w:t>
      </w:r>
      <w:r w:rsidRPr="00831573">
        <w:rPr>
          <w:lang w:val="en-GB"/>
        </w:rPr>
        <w:t>s case-law, an applicant is entitled to the reimbursement o</w:t>
      </w:r>
      <w:r w:rsidR="00476FCA" w:rsidRPr="00831573">
        <w:rPr>
          <w:lang w:val="en-GB"/>
        </w:rPr>
        <w:t>f costs and expenses only inso</w:t>
      </w:r>
      <w:r w:rsidRPr="00831573">
        <w:rPr>
          <w:lang w:val="en-GB"/>
        </w:rPr>
        <w:t xml:space="preserve">far as it has been shown that these have been actually and necessarily incurred and are reasonable as to quantum (see </w:t>
      </w:r>
      <w:r w:rsidR="007D09D4" w:rsidRPr="00831573">
        <w:rPr>
          <w:i/>
          <w:lang w:val="en-GB"/>
        </w:rPr>
        <w:t>Kingsley v. the United Kingdom</w:t>
      </w:r>
      <w:r w:rsidR="007D09D4" w:rsidRPr="00831573">
        <w:rPr>
          <w:lang w:val="en-GB"/>
        </w:rPr>
        <w:t xml:space="preserve"> [GC],</w:t>
      </w:r>
      <w:r w:rsidR="007D09D4" w:rsidRPr="00831573">
        <w:rPr>
          <w:i/>
          <w:lang w:val="en-GB"/>
        </w:rPr>
        <w:t xml:space="preserve"> </w:t>
      </w:r>
      <w:r w:rsidR="007D09D4" w:rsidRPr="00831573">
        <w:rPr>
          <w:lang w:val="en-GB"/>
        </w:rPr>
        <w:t>no. 35605/97, § 49, ECHR 2002</w:t>
      </w:r>
      <w:r w:rsidR="007D09D4" w:rsidRPr="00831573">
        <w:rPr>
          <w:lang w:val="en-GB"/>
        </w:rPr>
        <w:noBreakHyphen/>
        <w:t>IV</w:t>
      </w:r>
      <w:r w:rsidRPr="00831573">
        <w:rPr>
          <w:lang w:val="en-GB"/>
        </w:rPr>
        <w:t>).</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166</w:t>
      </w:r>
      <w:r w:rsidRPr="00831573">
        <w:rPr>
          <w:lang w:val="en-GB"/>
        </w:rPr>
        <w:fldChar w:fldCharType="end"/>
      </w:r>
      <w:r w:rsidR="00B95277" w:rsidRPr="00831573">
        <w:rPr>
          <w:lang w:val="en-GB"/>
        </w:rPr>
        <w:t>.  </w:t>
      </w:r>
      <w:r w:rsidRPr="00831573">
        <w:rPr>
          <w:lang w:val="en-GB"/>
        </w:rPr>
        <w:t>As to the number of hours billed, the Court accepts the Government</w:t>
      </w:r>
      <w:r w:rsidR="00831573" w:rsidRPr="00831573">
        <w:rPr>
          <w:lang w:val="en-GB"/>
        </w:rPr>
        <w:t>’</w:t>
      </w:r>
      <w:r w:rsidRPr="00831573">
        <w:rPr>
          <w:lang w:val="en-GB"/>
        </w:rPr>
        <w:t xml:space="preserve">s argument that it is too high because a number of the issues had already been aired before the national courts, which should have reduced the time needed </w:t>
      </w:r>
      <w:r w:rsidR="00C13D41" w:rsidRPr="00831573">
        <w:rPr>
          <w:lang w:val="en-GB"/>
        </w:rPr>
        <w:t>by both counsel and the applicant</w:t>
      </w:r>
      <w:r w:rsidR="00831573" w:rsidRPr="00831573">
        <w:rPr>
          <w:lang w:val="en-GB"/>
        </w:rPr>
        <w:t>’</w:t>
      </w:r>
      <w:r w:rsidR="00C13D41" w:rsidRPr="00831573">
        <w:rPr>
          <w:lang w:val="en-GB"/>
        </w:rPr>
        <w:t xml:space="preserve">s solicitors </w:t>
      </w:r>
      <w:r w:rsidRPr="00831573">
        <w:rPr>
          <w:lang w:val="en-GB"/>
        </w:rPr>
        <w:t xml:space="preserve">for the preparation of the case. </w:t>
      </w:r>
      <w:r w:rsidR="00FC3FF0" w:rsidRPr="00831573">
        <w:rPr>
          <w:lang w:val="en-GB"/>
        </w:rPr>
        <w:t>T</w:t>
      </w:r>
      <w:r w:rsidRPr="00831573">
        <w:rPr>
          <w:lang w:val="en-GB"/>
        </w:rPr>
        <w:t xml:space="preserve">he Court finds that </w:t>
      </w:r>
      <w:r w:rsidR="005F478C" w:rsidRPr="00831573">
        <w:rPr>
          <w:lang w:val="en-GB"/>
        </w:rPr>
        <w:t xml:space="preserve">the rate </w:t>
      </w:r>
      <w:r w:rsidR="00FC3FF0" w:rsidRPr="00831573">
        <w:rPr>
          <w:lang w:val="en-GB"/>
        </w:rPr>
        <w:t xml:space="preserve">at which counsel was paid </w:t>
      </w:r>
      <w:r w:rsidR="005F478C" w:rsidRPr="00831573">
        <w:rPr>
          <w:lang w:val="en-GB"/>
        </w:rPr>
        <w:t xml:space="preserve">appears to be reasonable. </w:t>
      </w:r>
      <w:r w:rsidRPr="00831573">
        <w:rPr>
          <w:lang w:val="en-GB"/>
        </w:rPr>
        <w:t xml:space="preserve">Finally, the Court observes that </w:t>
      </w:r>
      <w:r w:rsidR="00FC3FF0" w:rsidRPr="00831573">
        <w:rPr>
          <w:lang w:val="en-GB"/>
        </w:rPr>
        <w:t xml:space="preserve">it </w:t>
      </w:r>
      <w:r w:rsidR="000D1206" w:rsidRPr="00831573">
        <w:rPr>
          <w:lang w:val="en-GB"/>
        </w:rPr>
        <w:t xml:space="preserve">has </w:t>
      </w:r>
      <w:r w:rsidR="00FC3FF0" w:rsidRPr="00831573">
        <w:rPr>
          <w:lang w:val="en-GB"/>
        </w:rPr>
        <w:t xml:space="preserve">rejected </w:t>
      </w:r>
      <w:r w:rsidRPr="00831573">
        <w:rPr>
          <w:lang w:val="en-GB"/>
        </w:rPr>
        <w:t>the applicant</w:t>
      </w:r>
      <w:r w:rsidR="00831573" w:rsidRPr="00831573">
        <w:rPr>
          <w:lang w:val="en-GB"/>
        </w:rPr>
        <w:t>’</w:t>
      </w:r>
      <w:r w:rsidRPr="00831573">
        <w:rPr>
          <w:lang w:val="en-GB"/>
        </w:rPr>
        <w:t>s main argument th</w:t>
      </w:r>
      <w:r w:rsidR="00340CA7" w:rsidRPr="00831573">
        <w:rPr>
          <w:lang w:val="en-GB"/>
        </w:rPr>
        <w:t>at Article 5 had been violated.</w:t>
      </w:r>
    </w:p>
    <w:p w:rsidR="004A046C"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167</w:t>
      </w:r>
      <w:r w:rsidRPr="00831573">
        <w:rPr>
          <w:lang w:val="en-GB"/>
        </w:rPr>
        <w:fldChar w:fldCharType="end"/>
      </w:r>
      <w:r w:rsidR="00B95277" w:rsidRPr="00831573">
        <w:rPr>
          <w:lang w:val="en-GB"/>
        </w:rPr>
        <w:t>.  </w:t>
      </w:r>
      <w:r w:rsidR="000D1206" w:rsidRPr="00831573">
        <w:rPr>
          <w:lang w:val="en-GB"/>
        </w:rPr>
        <w:t>R</w:t>
      </w:r>
      <w:r w:rsidRPr="00831573">
        <w:rPr>
          <w:lang w:val="en-GB"/>
        </w:rPr>
        <w:t xml:space="preserve">egard being had to the documents in its possession and the above factors, the Court considers it reasonable to award the sum of EUR </w:t>
      </w:r>
      <w:r w:rsidR="005F478C" w:rsidRPr="00831573">
        <w:rPr>
          <w:lang w:val="en-GB"/>
        </w:rPr>
        <w:t>6,000</w:t>
      </w:r>
      <w:r w:rsidRPr="00831573">
        <w:rPr>
          <w:lang w:val="en-GB"/>
        </w:rPr>
        <w:t xml:space="preserve"> covering costs for the proceedings before the Court</w:t>
      </w:r>
      <w:r w:rsidR="00651C66" w:rsidRPr="00831573">
        <w:rPr>
          <w:lang w:val="en-GB"/>
        </w:rPr>
        <w:t>, inclusive of any tax that may be chargeable</w:t>
      </w:r>
      <w:r w:rsidRPr="00831573">
        <w:rPr>
          <w:lang w:val="en-GB"/>
        </w:rPr>
        <w:t>.</w:t>
      </w:r>
    </w:p>
    <w:p w:rsidR="004A046C" w:rsidRPr="00831573" w:rsidRDefault="004A046C" w:rsidP="00831573">
      <w:pPr>
        <w:pStyle w:val="ECHRHeading2"/>
        <w:rPr>
          <w:lang w:val="en-GB"/>
        </w:rPr>
      </w:pPr>
      <w:r w:rsidRPr="00831573">
        <w:rPr>
          <w:lang w:val="en-GB"/>
        </w:rPr>
        <w:t>C.  Default interest</w:t>
      </w:r>
    </w:p>
    <w:p w:rsidR="00014566" w:rsidRPr="00831573" w:rsidRDefault="004A046C" w:rsidP="00831573">
      <w:pPr>
        <w:pStyle w:val="ECHRPara"/>
        <w:rPr>
          <w:lang w:val="en-GB"/>
        </w:rPr>
      </w:pPr>
      <w:r w:rsidRPr="00831573">
        <w:rPr>
          <w:lang w:val="en-GB"/>
        </w:rPr>
        <w:fldChar w:fldCharType="begin"/>
      </w:r>
      <w:r w:rsidRPr="00831573">
        <w:rPr>
          <w:lang w:val="en-GB"/>
        </w:rPr>
        <w:instrText xml:space="preserve"> SEQ level0 \*arabic </w:instrText>
      </w:r>
      <w:r w:rsidRPr="00831573">
        <w:rPr>
          <w:lang w:val="en-GB"/>
        </w:rPr>
        <w:fldChar w:fldCharType="separate"/>
      </w:r>
      <w:r w:rsidR="00831573" w:rsidRPr="00831573">
        <w:rPr>
          <w:noProof/>
          <w:lang w:val="en-GB"/>
        </w:rPr>
        <w:t>168</w:t>
      </w:r>
      <w:r w:rsidRPr="00831573">
        <w:rPr>
          <w:lang w:val="en-GB"/>
        </w:rPr>
        <w:fldChar w:fldCharType="end"/>
      </w:r>
      <w:r w:rsidRPr="00831573">
        <w:rPr>
          <w:lang w:val="en-GB"/>
        </w:rPr>
        <w:t>.  The Court considers it appropriate that the default interest rate should be based on the marginal lending rate of the European Central Bank, to which should be added three percentage points.</w:t>
      </w:r>
    </w:p>
    <w:p w:rsidR="00014566" w:rsidRPr="00831573" w:rsidRDefault="00BB5883" w:rsidP="00831573">
      <w:pPr>
        <w:pStyle w:val="ECHRTitle1"/>
        <w:rPr>
          <w:lang w:val="en-GB"/>
        </w:rPr>
      </w:pPr>
      <w:r w:rsidRPr="00831573">
        <w:rPr>
          <w:lang w:val="en-GB"/>
        </w:rPr>
        <w:t>FOR THESE REASONS, THE COURT</w:t>
      </w:r>
    </w:p>
    <w:p w:rsidR="00014566" w:rsidRPr="00831573" w:rsidRDefault="00316838" w:rsidP="00831573">
      <w:pPr>
        <w:pStyle w:val="JuList"/>
        <w:rPr>
          <w:lang w:val="en-GB"/>
        </w:rPr>
      </w:pPr>
      <w:r w:rsidRPr="00831573">
        <w:rPr>
          <w:lang w:val="en-GB"/>
        </w:rPr>
        <w:t>1.  </w:t>
      </w:r>
      <w:r w:rsidRPr="00831573">
        <w:rPr>
          <w:i/>
          <w:lang w:val="en-GB"/>
        </w:rPr>
        <w:t>Declares</w:t>
      </w:r>
      <w:r w:rsidRPr="00831573">
        <w:rPr>
          <w:lang w:val="en-GB"/>
        </w:rPr>
        <w:t>, unanimously,</w:t>
      </w:r>
      <w:r w:rsidR="00FC0500" w:rsidRPr="00831573">
        <w:rPr>
          <w:lang w:val="en-GB"/>
        </w:rPr>
        <w:t xml:space="preserve"> </w:t>
      </w:r>
      <w:r w:rsidRPr="00831573">
        <w:rPr>
          <w:lang w:val="en-GB"/>
        </w:rPr>
        <w:t xml:space="preserve">the </w:t>
      </w:r>
      <w:r w:rsidR="00A54EC0" w:rsidRPr="00831573">
        <w:rPr>
          <w:lang w:val="en-GB"/>
        </w:rPr>
        <w:t>complaints under Articles</w:t>
      </w:r>
      <w:r w:rsidR="007D09D4" w:rsidRPr="00831573">
        <w:rPr>
          <w:lang w:val="en-GB"/>
        </w:rPr>
        <w:t> </w:t>
      </w:r>
      <w:r w:rsidR="00A54EC0" w:rsidRPr="00831573">
        <w:rPr>
          <w:lang w:val="en-GB"/>
        </w:rPr>
        <w:t>5</w:t>
      </w:r>
      <w:r w:rsidR="007D09D4" w:rsidRPr="00831573">
        <w:rPr>
          <w:lang w:val="en-GB"/>
        </w:rPr>
        <w:t>,</w:t>
      </w:r>
      <w:r w:rsidR="00A54EC0" w:rsidRPr="00831573">
        <w:rPr>
          <w:lang w:val="en-GB"/>
        </w:rPr>
        <w:t xml:space="preserve"> </w:t>
      </w:r>
      <w:r w:rsidR="00C870B1" w:rsidRPr="00831573">
        <w:rPr>
          <w:lang w:val="en-GB"/>
        </w:rPr>
        <w:t>6</w:t>
      </w:r>
      <w:r w:rsidR="00A54EC0" w:rsidRPr="00831573">
        <w:rPr>
          <w:lang w:val="en-GB"/>
        </w:rPr>
        <w:t xml:space="preserve"> </w:t>
      </w:r>
      <w:r w:rsidR="007D09D4" w:rsidRPr="00831573">
        <w:rPr>
          <w:lang w:val="en-GB"/>
        </w:rPr>
        <w:t xml:space="preserve">and 13 </w:t>
      </w:r>
      <w:r w:rsidR="00A54EC0" w:rsidRPr="00831573">
        <w:rPr>
          <w:lang w:val="en-GB"/>
        </w:rPr>
        <w:t>concerning the applicant</w:t>
      </w:r>
      <w:r w:rsidR="00831573" w:rsidRPr="00831573">
        <w:rPr>
          <w:lang w:val="en-GB"/>
        </w:rPr>
        <w:t>’</w:t>
      </w:r>
      <w:r w:rsidR="00A54EC0" w:rsidRPr="00831573">
        <w:rPr>
          <w:lang w:val="en-GB"/>
        </w:rPr>
        <w:t xml:space="preserve">s committal for civil contempt </w:t>
      </w:r>
      <w:r w:rsidRPr="00831573">
        <w:rPr>
          <w:lang w:val="en-GB"/>
        </w:rPr>
        <w:t>admissible</w:t>
      </w:r>
      <w:r w:rsidR="00A54EC0" w:rsidRPr="00831573">
        <w:rPr>
          <w:lang w:val="en-GB"/>
        </w:rPr>
        <w:t xml:space="preserve"> and the remainder of the application inadmissible</w:t>
      </w:r>
      <w:r w:rsidRPr="00831573">
        <w:rPr>
          <w:lang w:val="en-GB"/>
        </w:rPr>
        <w:t>;</w:t>
      </w:r>
    </w:p>
    <w:p w:rsidR="00014566" w:rsidRPr="00831573" w:rsidRDefault="00014566" w:rsidP="00831573">
      <w:pPr>
        <w:pStyle w:val="JuList"/>
        <w:ind w:left="0" w:firstLine="0"/>
        <w:rPr>
          <w:lang w:val="en-GB"/>
        </w:rPr>
      </w:pPr>
    </w:p>
    <w:p w:rsidR="00014566" w:rsidRPr="00831573" w:rsidRDefault="00A54EC0" w:rsidP="00831573">
      <w:pPr>
        <w:pStyle w:val="JuList"/>
        <w:rPr>
          <w:lang w:val="en-GB"/>
        </w:rPr>
      </w:pPr>
      <w:r w:rsidRPr="00831573">
        <w:rPr>
          <w:lang w:val="en-GB"/>
        </w:rPr>
        <w:t>2</w:t>
      </w:r>
      <w:r w:rsidR="00014566" w:rsidRPr="00831573">
        <w:rPr>
          <w:lang w:val="en-GB"/>
        </w:rPr>
        <w:t>.  </w:t>
      </w:r>
      <w:r w:rsidR="00014566" w:rsidRPr="00831573">
        <w:rPr>
          <w:i/>
          <w:lang w:val="en-GB"/>
        </w:rPr>
        <w:t>Holds</w:t>
      </w:r>
      <w:r w:rsidR="00316838" w:rsidRPr="00831573">
        <w:rPr>
          <w:lang w:val="en-GB"/>
        </w:rPr>
        <w:t xml:space="preserve">, by </w:t>
      </w:r>
      <w:r w:rsidR="002A3F6F" w:rsidRPr="00831573">
        <w:rPr>
          <w:lang w:val="en-GB"/>
        </w:rPr>
        <w:t>four</w:t>
      </w:r>
      <w:r w:rsidR="00316838" w:rsidRPr="00831573">
        <w:rPr>
          <w:lang w:val="en-GB"/>
        </w:rPr>
        <w:t xml:space="preserve"> votes to </w:t>
      </w:r>
      <w:r w:rsidR="002A3F6F" w:rsidRPr="00831573">
        <w:rPr>
          <w:lang w:val="en-GB"/>
        </w:rPr>
        <w:t>three</w:t>
      </w:r>
      <w:r w:rsidR="00316838" w:rsidRPr="00831573">
        <w:rPr>
          <w:lang w:val="en-GB"/>
        </w:rPr>
        <w:t>,</w:t>
      </w:r>
      <w:r w:rsidR="00014566" w:rsidRPr="00831573">
        <w:rPr>
          <w:lang w:val="en-GB"/>
        </w:rPr>
        <w:t xml:space="preserve"> that there has been </w:t>
      </w:r>
      <w:r w:rsidRPr="00831573">
        <w:rPr>
          <w:lang w:val="en-GB"/>
        </w:rPr>
        <w:t>no</w:t>
      </w:r>
      <w:r w:rsidR="007D09D4" w:rsidRPr="00831573">
        <w:rPr>
          <w:lang w:val="en-GB"/>
        </w:rPr>
        <w:t xml:space="preserve"> </w:t>
      </w:r>
      <w:r w:rsidR="00014566" w:rsidRPr="00831573">
        <w:rPr>
          <w:lang w:val="en-GB"/>
        </w:rPr>
        <w:t xml:space="preserve">violation of Article </w:t>
      </w:r>
      <w:r w:rsidRPr="00831573">
        <w:rPr>
          <w:lang w:val="en-GB"/>
        </w:rPr>
        <w:t>5</w:t>
      </w:r>
      <w:r w:rsidR="002A3F6F" w:rsidRPr="00831573">
        <w:rPr>
          <w:lang w:val="en-GB"/>
        </w:rPr>
        <w:t> </w:t>
      </w:r>
      <w:r w:rsidR="00A93DBA" w:rsidRPr="00831573">
        <w:rPr>
          <w:rFonts w:cstheme="minorHAnsi"/>
          <w:lang w:val="en-GB"/>
        </w:rPr>
        <w:t>§</w:t>
      </w:r>
      <w:r w:rsidR="00A93DBA" w:rsidRPr="00831573">
        <w:rPr>
          <w:lang w:val="en-GB"/>
        </w:rPr>
        <w:t xml:space="preserve"> 1 </w:t>
      </w:r>
      <w:r w:rsidR="00014566" w:rsidRPr="00831573">
        <w:rPr>
          <w:lang w:val="en-GB"/>
        </w:rPr>
        <w:t>of the Convention;</w:t>
      </w:r>
    </w:p>
    <w:p w:rsidR="00014566" w:rsidRPr="00831573" w:rsidRDefault="00014566" w:rsidP="00831573">
      <w:pPr>
        <w:pStyle w:val="JuList"/>
        <w:rPr>
          <w:lang w:val="en-GB"/>
        </w:rPr>
      </w:pPr>
    </w:p>
    <w:p w:rsidR="00014566" w:rsidRPr="00831573" w:rsidRDefault="00A54EC0" w:rsidP="00831573">
      <w:pPr>
        <w:pStyle w:val="JuList"/>
        <w:rPr>
          <w:lang w:val="en-GB"/>
        </w:rPr>
      </w:pPr>
      <w:r w:rsidRPr="00831573">
        <w:rPr>
          <w:lang w:val="en-GB"/>
        </w:rPr>
        <w:t>3</w:t>
      </w:r>
      <w:r w:rsidR="00014566" w:rsidRPr="00831573">
        <w:rPr>
          <w:lang w:val="en-GB"/>
        </w:rPr>
        <w:t>.  </w:t>
      </w:r>
      <w:r w:rsidR="00014566" w:rsidRPr="00831573">
        <w:rPr>
          <w:i/>
          <w:lang w:val="en-GB"/>
        </w:rPr>
        <w:t>Holds</w:t>
      </w:r>
      <w:r w:rsidR="00316838" w:rsidRPr="00831573">
        <w:rPr>
          <w:lang w:val="en-GB"/>
        </w:rPr>
        <w:t>, unanimously,</w:t>
      </w:r>
      <w:r w:rsidR="00014566" w:rsidRPr="00831573">
        <w:rPr>
          <w:lang w:val="en-GB"/>
        </w:rPr>
        <w:t xml:space="preserve"> that there has been a violation of Article </w:t>
      </w:r>
      <w:r w:rsidR="00C870B1" w:rsidRPr="00831573">
        <w:rPr>
          <w:lang w:val="en-GB"/>
        </w:rPr>
        <w:t xml:space="preserve">6 </w:t>
      </w:r>
      <w:r w:rsidR="00C870B1" w:rsidRPr="00831573">
        <w:rPr>
          <w:rFonts w:cstheme="minorHAnsi"/>
          <w:lang w:val="en-GB"/>
        </w:rPr>
        <w:t>§</w:t>
      </w:r>
      <w:r w:rsidR="00C870B1" w:rsidRPr="00831573">
        <w:rPr>
          <w:lang w:val="en-GB"/>
        </w:rPr>
        <w:t xml:space="preserve"> 1 </w:t>
      </w:r>
      <w:r w:rsidR="00EC65B4" w:rsidRPr="00831573">
        <w:rPr>
          <w:lang w:val="en-GB"/>
        </w:rPr>
        <w:t xml:space="preserve">read in conjunction with </w:t>
      </w:r>
      <w:r w:rsidR="00340CA7" w:rsidRPr="00831573">
        <w:rPr>
          <w:lang w:val="en-GB"/>
        </w:rPr>
        <w:t xml:space="preserve">Article 6 </w:t>
      </w:r>
      <w:r w:rsidR="00C870B1" w:rsidRPr="00831573">
        <w:rPr>
          <w:rFonts w:cstheme="minorHAnsi"/>
          <w:lang w:val="en-GB"/>
        </w:rPr>
        <w:t>§ 3 (c)</w:t>
      </w:r>
      <w:r w:rsidR="00014566" w:rsidRPr="00831573">
        <w:rPr>
          <w:lang w:val="en-GB"/>
        </w:rPr>
        <w:t xml:space="preserve"> of the Convention;</w:t>
      </w:r>
    </w:p>
    <w:p w:rsidR="007D09D4" w:rsidRPr="00831573" w:rsidRDefault="007D09D4" w:rsidP="00831573">
      <w:pPr>
        <w:pStyle w:val="JuList"/>
        <w:rPr>
          <w:lang w:val="en-GB"/>
        </w:rPr>
      </w:pPr>
    </w:p>
    <w:p w:rsidR="007D09D4" w:rsidRPr="00831573" w:rsidRDefault="007D09D4" w:rsidP="00831573">
      <w:pPr>
        <w:pStyle w:val="JuList"/>
        <w:rPr>
          <w:lang w:val="en-GB"/>
        </w:rPr>
      </w:pPr>
      <w:r w:rsidRPr="00831573">
        <w:rPr>
          <w:lang w:val="en-GB"/>
        </w:rPr>
        <w:t>4.  </w:t>
      </w:r>
      <w:r w:rsidRPr="00831573">
        <w:rPr>
          <w:i/>
          <w:lang w:val="en-GB"/>
        </w:rPr>
        <w:t>Holds</w:t>
      </w:r>
      <w:r w:rsidRPr="00831573">
        <w:rPr>
          <w:lang w:val="en-GB"/>
        </w:rPr>
        <w:t xml:space="preserve">, unanimously, that there has been </w:t>
      </w:r>
      <w:r w:rsidR="00FA0A9E" w:rsidRPr="00831573">
        <w:rPr>
          <w:lang w:val="en-GB"/>
        </w:rPr>
        <w:t>a</w:t>
      </w:r>
      <w:r w:rsidRPr="00831573">
        <w:rPr>
          <w:lang w:val="en-GB"/>
        </w:rPr>
        <w:t xml:space="preserve"> violation of Article 13 of the Convention;</w:t>
      </w:r>
    </w:p>
    <w:p w:rsidR="00014566" w:rsidRPr="00831573" w:rsidRDefault="00014566" w:rsidP="00831573">
      <w:pPr>
        <w:pStyle w:val="JuList"/>
        <w:rPr>
          <w:lang w:val="en-GB"/>
        </w:rPr>
      </w:pPr>
    </w:p>
    <w:p w:rsidR="00014566" w:rsidRPr="00831573" w:rsidRDefault="007D09D4" w:rsidP="00831573">
      <w:pPr>
        <w:pStyle w:val="JuList"/>
        <w:rPr>
          <w:lang w:val="en-GB"/>
        </w:rPr>
      </w:pPr>
      <w:r w:rsidRPr="00831573">
        <w:rPr>
          <w:lang w:val="en-GB"/>
        </w:rPr>
        <w:t>5</w:t>
      </w:r>
      <w:r w:rsidR="00014566" w:rsidRPr="00831573">
        <w:rPr>
          <w:lang w:val="en-GB"/>
        </w:rPr>
        <w:t>.  </w:t>
      </w:r>
      <w:r w:rsidR="00014566" w:rsidRPr="00831573">
        <w:rPr>
          <w:i/>
          <w:lang w:val="en-GB"/>
        </w:rPr>
        <w:t>Holds</w:t>
      </w:r>
      <w:r w:rsidR="00316838" w:rsidRPr="00831573">
        <w:rPr>
          <w:lang w:val="en-GB"/>
        </w:rPr>
        <w:t>, unanimously,</w:t>
      </w:r>
    </w:p>
    <w:p w:rsidR="00014566" w:rsidRPr="00831573" w:rsidRDefault="00014566" w:rsidP="00831573">
      <w:pPr>
        <w:pStyle w:val="JuLista"/>
        <w:rPr>
          <w:lang w:val="en-GB"/>
        </w:rPr>
      </w:pPr>
      <w:r w:rsidRPr="00831573">
        <w:rPr>
          <w:lang w:val="en-GB"/>
        </w:rPr>
        <w:t>(a)  that the respondent State is to pay the applicant, within three months</w:t>
      </w:r>
      <w:r w:rsidR="00316838" w:rsidRPr="00831573">
        <w:rPr>
          <w:lang w:val="en-GB"/>
        </w:rPr>
        <w:t xml:space="preserve"> from the date on which the judgment becomes final in accordance with Article 44</w:t>
      </w:r>
      <w:r w:rsidR="00340CA7" w:rsidRPr="00831573">
        <w:rPr>
          <w:lang w:val="en-GB"/>
        </w:rPr>
        <w:t xml:space="preserve"> </w:t>
      </w:r>
      <w:r w:rsidR="00316838" w:rsidRPr="00831573">
        <w:rPr>
          <w:lang w:val="en-GB"/>
        </w:rPr>
        <w:t>§ 2 of the Convention,</w:t>
      </w:r>
      <w:r w:rsidRPr="00831573">
        <w:rPr>
          <w:lang w:val="en-GB"/>
        </w:rPr>
        <w:t xml:space="preserve"> the following amounts:</w:t>
      </w:r>
    </w:p>
    <w:p w:rsidR="00014566" w:rsidRPr="00831573" w:rsidRDefault="00014566" w:rsidP="00831573">
      <w:pPr>
        <w:pStyle w:val="JuListi"/>
        <w:rPr>
          <w:lang w:val="en-GB"/>
        </w:rPr>
      </w:pPr>
      <w:r w:rsidRPr="00831573">
        <w:rPr>
          <w:lang w:val="en-GB"/>
        </w:rPr>
        <w:t xml:space="preserve">(i)  EUR </w:t>
      </w:r>
      <w:r w:rsidR="007D09D4" w:rsidRPr="00831573">
        <w:rPr>
          <w:lang w:val="en-GB"/>
        </w:rPr>
        <w:t>8,</w:t>
      </w:r>
      <w:r w:rsidR="00FA0A9E" w:rsidRPr="00831573">
        <w:rPr>
          <w:lang w:val="en-GB"/>
        </w:rPr>
        <w:t xml:space="preserve">400 </w:t>
      </w:r>
      <w:r w:rsidRPr="00831573">
        <w:rPr>
          <w:lang w:val="en-GB"/>
        </w:rPr>
        <w:t>(</w:t>
      </w:r>
      <w:r w:rsidR="00C870B1" w:rsidRPr="00831573">
        <w:rPr>
          <w:lang w:val="en-GB"/>
        </w:rPr>
        <w:t xml:space="preserve">eight </w:t>
      </w:r>
      <w:r w:rsidR="005F478C" w:rsidRPr="00831573">
        <w:rPr>
          <w:lang w:val="en-GB"/>
        </w:rPr>
        <w:t xml:space="preserve">thousand </w:t>
      </w:r>
      <w:r w:rsidR="00FA0A9E" w:rsidRPr="00831573">
        <w:rPr>
          <w:lang w:val="en-GB"/>
        </w:rPr>
        <w:t xml:space="preserve">four hundred </w:t>
      </w:r>
      <w:r w:rsidRPr="00831573">
        <w:rPr>
          <w:lang w:val="en-GB"/>
        </w:rPr>
        <w:t xml:space="preserve">euros), </w:t>
      </w:r>
      <w:r w:rsidR="00A93DBA" w:rsidRPr="00831573">
        <w:rPr>
          <w:lang w:val="en-GB"/>
        </w:rPr>
        <w:t>plus</w:t>
      </w:r>
      <w:r w:rsidRPr="00831573">
        <w:rPr>
          <w:lang w:val="en-GB"/>
        </w:rPr>
        <w:t xml:space="preserve"> </w:t>
      </w:r>
      <w:r w:rsidR="007D09D4" w:rsidRPr="00831573">
        <w:rPr>
          <w:lang w:val="en-GB"/>
        </w:rPr>
        <w:t xml:space="preserve">any </w:t>
      </w:r>
      <w:r w:rsidRPr="00831573">
        <w:rPr>
          <w:lang w:val="en-GB"/>
        </w:rPr>
        <w:t>tax that may be chargeable, in respect of non-pecuniary damage;</w:t>
      </w:r>
    </w:p>
    <w:p w:rsidR="00014566" w:rsidRPr="00831573" w:rsidRDefault="00014566" w:rsidP="00831573">
      <w:pPr>
        <w:pStyle w:val="JuListi"/>
        <w:rPr>
          <w:lang w:val="en-GB"/>
        </w:rPr>
      </w:pPr>
      <w:r w:rsidRPr="00831573">
        <w:rPr>
          <w:lang w:val="en-GB"/>
        </w:rPr>
        <w:t xml:space="preserve">(ii)  EUR </w:t>
      </w:r>
      <w:r w:rsidR="005F478C" w:rsidRPr="00831573">
        <w:rPr>
          <w:lang w:val="en-GB"/>
        </w:rPr>
        <w:t>6</w:t>
      </w:r>
      <w:r w:rsidR="007D09D4" w:rsidRPr="00831573">
        <w:rPr>
          <w:lang w:val="en-GB"/>
        </w:rPr>
        <w:t>,</w:t>
      </w:r>
      <w:r w:rsidR="005F478C" w:rsidRPr="00831573">
        <w:rPr>
          <w:lang w:val="en-GB"/>
        </w:rPr>
        <w:t>000</w:t>
      </w:r>
      <w:r w:rsidRPr="00831573">
        <w:rPr>
          <w:lang w:val="en-GB"/>
        </w:rPr>
        <w:t xml:space="preserve"> (</w:t>
      </w:r>
      <w:r w:rsidR="005F478C" w:rsidRPr="00831573">
        <w:rPr>
          <w:lang w:val="en-GB"/>
        </w:rPr>
        <w:t>six thousand</w:t>
      </w:r>
      <w:r w:rsidRPr="00831573">
        <w:rPr>
          <w:lang w:val="en-GB"/>
        </w:rPr>
        <w:t xml:space="preserve"> euros), </w:t>
      </w:r>
      <w:r w:rsidR="007D09D4" w:rsidRPr="00831573">
        <w:rPr>
          <w:lang w:val="en-GB"/>
        </w:rPr>
        <w:t xml:space="preserve">inclusive of </w:t>
      </w:r>
      <w:r w:rsidRPr="00831573">
        <w:rPr>
          <w:lang w:val="en-GB"/>
        </w:rPr>
        <w:t>any tax that may be chargeable to the applicant, in respect of costs and expenses;</w:t>
      </w:r>
    </w:p>
    <w:p w:rsidR="00014566" w:rsidRPr="00831573" w:rsidRDefault="00014566" w:rsidP="00831573">
      <w:pPr>
        <w:pStyle w:val="JuLista"/>
        <w:rPr>
          <w:lang w:val="en-GB"/>
        </w:rPr>
      </w:pPr>
      <w:r w:rsidRPr="00831573">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831573" w:rsidRDefault="00014566" w:rsidP="00831573">
      <w:pPr>
        <w:pStyle w:val="JuList"/>
        <w:rPr>
          <w:lang w:val="en-GB"/>
        </w:rPr>
      </w:pPr>
    </w:p>
    <w:p w:rsidR="00014566" w:rsidRPr="00831573" w:rsidRDefault="00DC04AC" w:rsidP="00831573">
      <w:pPr>
        <w:pStyle w:val="JuList"/>
        <w:rPr>
          <w:lang w:val="en-GB"/>
        </w:rPr>
      </w:pPr>
      <w:r w:rsidRPr="00831573">
        <w:rPr>
          <w:lang w:val="en-GB"/>
        </w:rPr>
        <w:t>6</w:t>
      </w:r>
      <w:r w:rsidR="00014566" w:rsidRPr="00831573">
        <w:rPr>
          <w:lang w:val="en-GB"/>
        </w:rPr>
        <w:t>.  </w:t>
      </w:r>
      <w:r w:rsidR="00014566" w:rsidRPr="00831573">
        <w:rPr>
          <w:i/>
          <w:lang w:val="en-GB"/>
        </w:rPr>
        <w:t>Dismisses</w:t>
      </w:r>
      <w:r w:rsidR="00316838" w:rsidRPr="00831573">
        <w:rPr>
          <w:lang w:val="en-GB"/>
        </w:rPr>
        <w:t>, unanimously,</w:t>
      </w:r>
      <w:r w:rsidR="00014566" w:rsidRPr="00831573">
        <w:rPr>
          <w:lang w:val="en-GB"/>
        </w:rPr>
        <w:t xml:space="preserve"> the remainder of the applicant</w:t>
      </w:r>
      <w:r w:rsidR="00831573" w:rsidRPr="00831573">
        <w:rPr>
          <w:lang w:val="en-GB"/>
        </w:rPr>
        <w:t>’</w:t>
      </w:r>
      <w:r w:rsidR="00316838" w:rsidRPr="00831573">
        <w:rPr>
          <w:lang w:val="en-GB"/>
        </w:rPr>
        <w:t>s</w:t>
      </w:r>
      <w:r w:rsidR="00014566" w:rsidRPr="00831573">
        <w:rPr>
          <w:lang w:val="en-GB"/>
        </w:rPr>
        <w:t xml:space="preserve"> claim for just satisfaction.</w:t>
      </w:r>
    </w:p>
    <w:p w:rsidR="00014566" w:rsidRPr="00831573" w:rsidRDefault="00014566" w:rsidP="00831573">
      <w:pPr>
        <w:pStyle w:val="JuParaLast"/>
        <w:rPr>
          <w:lang w:val="en-GB"/>
        </w:rPr>
      </w:pPr>
      <w:r w:rsidRPr="00831573">
        <w:rPr>
          <w:lang w:val="en-GB"/>
        </w:rPr>
        <w:t xml:space="preserve">Done in English, and notified in writing on </w:t>
      </w:r>
      <w:r w:rsidR="00073972" w:rsidRPr="00831573">
        <w:rPr>
          <w:lang w:val="en-GB"/>
        </w:rPr>
        <w:t>17 March 2016</w:t>
      </w:r>
      <w:r w:rsidRPr="00831573">
        <w:rPr>
          <w:lang w:val="en-GB"/>
        </w:rPr>
        <w:t>, pursuant to Rule 77 §§ 2 and 3 of the Rules of Court.</w:t>
      </w:r>
    </w:p>
    <w:p w:rsidR="004D15F3" w:rsidRPr="00831573" w:rsidRDefault="00FA0A9E" w:rsidP="00831573">
      <w:pPr>
        <w:pStyle w:val="JuSigned"/>
        <w:tabs>
          <w:tab w:val="clear" w:pos="6407"/>
          <w:tab w:val="center" w:pos="5954"/>
        </w:tabs>
        <w:rPr>
          <w:lang w:val="en-GB"/>
        </w:rPr>
      </w:pPr>
      <w:r w:rsidRPr="00831573">
        <w:rPr>
          <w:lang w:val="en-GB"/>
        </w:rPr>
        <w:t>André Wampach</w:t>
      </w:r>
      <w:r w:rsidR="00014566" w:rsidRPr="00831573">
        <w:rPr>
          <w:lang w:val="en-GB"/>
        </w:rPr>
        <w:tab/>
      </w:r>
      <w:r w:rsidRPr="00831573">
        <w:rPr>
          <w:lang w:val="en-GB"/>
        </w:rPr>
        <w:t>Mirjana Lazarova Trajkovska</w:t>
      </w:r>
      <w:r w:rsidR="00E1557C" w:rsidRPr="00831573">
        <w:rPr>
          <w:lang w:val="en-GB"/>
        </w:rPr>
        <w:br/>
      </w:r>
      <w:r w:rsidR="00014566" w:rsidRPr="00831573">
        <w:rPr>
          <w:lang w:val="en-GB"/>
        </w:rPr>
        <w:tab/>
      </w:r>
      <w:r w:rsidRPr="00831573">
        <w:rPr>
          <w:lang w:val="en-GB"/>
        </w:rPr>
        <w:t xml:space="preserve">Deputy </w:t>
      </w:r>
      <w:r w:rsidR="00316838" w:rsidRPr="00831573">
        <w:rPr>
          <w:iCs/>
          <w:lang w:val="en-GB"/>
        </w:rPr>
        <w:t>Registrar</w:t>
      </w:r>
      <w:r w:rsidR="00014566" w:rsidRPr="00831573">
        <w:rPr>
          <w:lang w:val="en-GB"/>
        </w:rPr>
        <w:tab/>
        <w:t>President</w:t>
      </w:r>
    </w:p>
    <w:p w:rsidR="00B75248" w:rsidRPr="00831573" w:rsidRDefault="00B75248" w:rsidP="00831573">
      <w:pPr>
        <w:pStyle w:val="JuParaLast"/>
        <w:rPr>
          <w:lang w:val="en-GB"/>
        </w:rPr>
      </w:pPr>
    </w:p>
    <w:p w:rsidR="002A3F6F" w:rsidRPr="00831573" w:rsidRDefault="002A3F6F" w:rsidP="00831573">
      <w:pPr>
        <w:pStyle w:val="JuParaLast"/>
        <w:rPr>
          <w:rFonts w:eastAsia="Times New Roman"/>
          <w:lang w:val="en-GB" w:eastAsia="fr-FR"/>
        </w:rPr>
      </w:pPr>
      <w:r w:rsidRPr="00831573">
        <w:rPr>
          <w:rFonts w:eastAsia="Times New Roman"/>
          <w:lang w:val="en-GB" w:eastAsia="fr-FR"/>
        </w:rPr>
        <w:t xml:space="preserve">In accordance with Article 45 § 2 of the Convention and Rule 74 § 2 of the Rules of Court, the </w:t>
      </w:r>
      <w:r w:rsidR="009E7358" w:rsidRPr="00831573">
        <w:rPr>
          <w:rFonts w:eastAsia="Times New Roman"/>
          <w:lang w:val="en-GB" w:eastAsia="fr-FR"/>
        </w:rPr>
        <w:t>joint partly dissenting opinion</w:t>
      </w:r>
      <w:r w:rsidRPr="00831573">
        <w:rPr>
          <w:rFonts w:eastAsia="Times New Roman"/>
          <w:lang w:val="en-GB" w:eastAsia="fr-FR"/>
        </w:rPr>
        <w:t xml:space="preserve"> of Judge</w:t>
      </w:r>
      <w:r w:rsidR="009E7358" w:rsidRPr="00831573">
        <w:rPr>
          <w:rFonts w:eastAsia="Times New Roman"/>
          <w:lang w:val="en-GB" w:eastAsia="fr-FR"/>
        </w:rPr>
        <w:t>s</w:t>
      </w:r>
      <w:r w:rsidRPr="00831573">
        <w:rPr>
          <w:rFonts w:eastAsia="Times New Roman"/>
          <w:lang w:val="en-GB" w:eastAsia="fr-FR"/>
        </w:rPr>
        <w:t xml:space="preserve"> Sicilianos, Spano and Harutyunyan is annexed to this judgment.</w:t>
      </w:r>
    </w:p>
    <w:p w:rsidR="003C123B" w:rsidRPr="00831573" w:rsidRDefault="003C123B" w:rsidP="00831573">
      <w:pPr>
        <w:pStyle w:val="ECHRPara"/>
        <w:rPr>
          <w:lang w:val="en-GB"/>
        </w:rPr>
      </w:pPr>
    </w:p>
    <w:p w:rsidR="00B75248" w:rsidRPr="00831573" w:rsidRDefault="00B75248" w:rsidP="00831573">
      <w:pPr>
        <w:pStyle w:val="JuInitialled"/>
        <w:rPr>
          <w:lang w:val="en-GB"/>
        </w:rPr>
      </w:pPr>
      <w:r w:rsidRPr="00831573">
        <w:rPr>
          <w:lang w:val="en-GB"/>
        </w:rPr>
        <w:t>M.L.T.</w:t>
      </w:r>
      <w:r w:rsidRPr="00831573">
        <w:rPr>
          <w:lang w:val="en-GB"/>
        </w:rPr>
        <w:br/>
        <w:t>A.M.W.</w:t>
      </w:r>
    </w:p>
    <w:p w:rsidR="00A9561C" w:rsidRPr="00831573" w:rsidRDefault="00A9561C" w:rsidP="00831573">
      <w:pPr>
        <w:pStyle w:val="JuInitialled"/>
        <w:rPr>
          <w:lang w:val="en-GB"/>
        </w:rPr>
      </w:pPr>
    </w:p>
    <w:p w:rsidR="00875823" w:rsidRPr="00831573" w:rsidRDefault="00875823" w:rsidP="00831573">
      <w:pPr>
        <w:pStyle w:val="ECHRPara"/>
        <w:rPr>
          <w:lang w:val="en-GB"/>
        </w:rPr>
        <w:sectPr w:rsidR="00875823" w:rsidRPr="00831573" w:rsidSect="00F87D13">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pPr>
    </w:p>
    <w:p w:rsidR="00875823" w:rsidRPr="00831573" w:rsidRDefault="00875823" w:rsidP="00831573">
      <w:pPr>
        <w:pStyle w:val="ECHRTitleCentre1"/>
        <w:spacing w:after="0"/>
      </w:pPr>
      <w:r w:rsidRPr="00831573">
        <w:t>JOINT PARTLY DISSENTING OPINION OF JUDGES SICILIANOS, SPANO AND HARUTYUNYAN</w:t>
      </w:r>
    </w:p>
    <w:p w:rsidR="00875823" w:rsidRPr="00831573" w:rsidRDefault="00875823" w:rsidP="00831573">
      <w:pPr>
        <w:pStyle w:val="ECHRPara"/>
        <w:rPr>
          <w:lang w:val="en-GB"/>
        </w:rPr>
      </w:pPr>
    </w:p>
    <w:p w:rsidR="00875823" w:rsidRPr="00831573" w:rsidRDefault="00875823" w:rsidP="00831573">
      <w:pPr>
        <w:pStyle w:val="ECHRPara"/>
        <w:rPr>
          <w:lang w:val="en-GB"/>
        </w:rPr>
      </w:pPr>
    </w:p>
    <w:p w:rsidR="00875823" w:rsidRPr="00831573" w:rsidRDefault="00875823" w:rsidP="00831573">
      <w:pPr>
        <w:pStyle w:val="OpiPara"/>
        <w:jc w:val="center"/>
        <w:rPr>
          <w:lang w:val="en-GB"/>
        </w:rPr>
      </w:pPr>
      <w:r w:rsidRPr="00831573">
        <w:rPr>
          <w:lang w:val="en-GB"/>
        </w:rPr>
        <w:t>I.</w:t>
      </w:r>
    </w:p>
    <w:p w:rsidR="00875823" w:rsidRPr="00831573" w:rsidRDefault="00831573" w:rsidP="00831573">
      <w:pPr>
        <w:pStyle w:val="OpiPara"/>
        <w:rPr>
          <w:lang w:val="en-GB"/>
        </w:rPr>
      </w:pPr>
      <w:r w:rsidRPr="00831573">
        <w:rPr>
          <w:lang w:val="en-GB"/>
        </w:rPr>
        <w:t>1.  </w:t>
      </w:r>
      <w:r w:rsidR="00875823" w:rsidRPr="00831573">
        <w:rPr>
          <w:lang w:val="en-GB"/>
        </w:rPr>
        <w:t>On 26 and 27 July 2005 the applicant appeared before a family court judge in the context of proceedings on the basis of his application for contact with two of his five children. The judge decided to hear at the same time an application by his wife for the applicant to be committed for contempt of court. The applicant, thus facing the real possibility of being sent to prison, was not represented by a lawyer and the judge made no inquiries into why the applicant was unrepresented or whether he wanted representation. The applicant was clearly unable to plead effectively against the application to detain him. This notwithstanding, the judge made an order depriving the applicant of his liberty by committing him to prison for three months because he had breached an undertaking not to contact his wife and family members, as well as an injunction preventing him from using or threaten</w:t>
      </w:r>
      <w:r w:rsidR="00875823" w:rsidRPr="00831573">
        <w:rPr>
          <w:lang w:val="en-GB"/>
        </w:rPr>
        <w:softHyphen/>
        <w:t>ing violence towards his wife. On appeal against the contempt finding, the Court of Appeal, unsurprisingly, quashed both the finding of contempt and the sentence imposed.</w:t>
      </w:r>
    </w:p>
    <w:p w:rsidR="00875823" w:rsidRPr="00831573" w:rsidRDefault="00831573" w:rsidP="00831573">
      <w:pPr>
        <w:pStyle w:val="OpiPara"/>
        <w:rPr>
          <w:lang w:val="en-GB"/>
        </w:rPr>
      </w:pPr>
      <w:r w:rsidRPr="00831573">
        <w:rPr>
          <w:lang w:val="en-GB"/>
        </w:rPr>
        <w:t>2.  </w:t>
      </w:r>
      <w:r w:rsidR="00875823" w:rsidRPr="00831573">
        <w:rPr>
          <w:lang w:val="en-GB"/>
        </w:rPr>
        <w:t>The majority find that notwithstanding this turn of events, the applicant</w:t>
      </w:r>
      <w:r w:rsidRPr="00831573">
        <w:rPr>
          <w:lang w:val="en-GB"/>
        </w:rPr>
        <w:t>’</w:t>
      </w:r>
      <w:r w:rsidR="00875823" w:rsidRPr="00831573">
        <w:rPr>
          <w:lang w:val="en-GB"/>
        </w:rPr>
        <w:t>s detention order was lawful under Article 5 § 1 (a) of the Convention and not arbitrary. Taking firstly account of the fact that the Government do not directly or indirectly invoke Article 5 § 1 (a) of the Convention as a basis for the detention and, secondly, bearing in mind the findings of the Court of Appeal, we respect</w:t>
      </w:r>
      <w:r w:rsidR="00875823" w:rsidRPr="00831573">
        <w:rPr>
          <w:lang w:val="en-GB"/>
        </w:rPr>
        <w:softHyphen/>
        <w:t>fully dissent from the majority</w:t>
      </w:r>
      <w:r w:rsidRPr="00831573">
        <w:rPr>
          <w:lang w:val="en-GB"/>
        </w:rPr>
        <w:t>’</w:t>
      </w:r>
      <w:r w:rsidR="00875823" w:rsidRPr="00831573">
        <w:rPr>
          <w:lang w:val="en-GB"/>
        </w:rPr>
        <w:t>s findings that there has been no violation of Article 5 § 1 in the applicant</w:t>
      </w:r>
      <w:r w:rsidRPr="00831573">
        <w:rPr>
          <w:lang w:val="en-GB"/>
        </w:rPr>
        <w:t>’</w:t>
      </w:r>
      <w:r w:rsidR="00875823" w:rsidRPr="00831573">
        <w:rPr>
          <w:lang w:val="en-GB"/>
        </w:rPr>
        <w:t>s case.</w:t>
      </w:r>
    </w:p>
    <w:p w:rsidR="00875823" w:rsidRPr="00831573" w:rsidRDefault="00875823" w:rsidP="00831573">
      <w:pPr>
        <w:pStyle w:val="OpiPara"/>
        <w:rPr>
          <w:lang w:val="en-GB"/>
        </w:rPr>
      </w:pPr>
    </w:p>
    <w:p w:rsidR="00875823" w:rsidRPr="00831573" w:rsidRDefault="00875823" w:rsidP="00831573">
      <w:pPr>
        <w:pStyle w:val="OpiPara"/>
        <w:jc w:val="center"/>
        <w:rPr>
          <w:lang w:val="en-GB"/>
        </w:rPr>
      </w:pPr>
      <w:r w:rsidRPr="00831573">
        <w:rPr>
          <w:lang w:val="en-GB"/>
        </w:rPr>
        <w:t>II.</w:t>
      </w:r>
    </w:p>
    <w:p w:rsidR="00875823" w:rsidRPr="00831573" w:rsidRDefault="00831573" w:rsidP="00831573">
      <w:pPr>
        <w:pStyle w:val="OpiPara"/>
        <w:rPr>
          <w:lang w:val="en-GB"/>
        </w:rPr>
      </w:pPr>
      <w:r w:rsidRPr="00831573">
        <w:rPr>
          <w:lang w:val="en-GB"/>
        </w:rPr>
        <w:t>3.  </w:t>
      </w:r>
      <w:r w:rsidR="00875823" w:rsidRPr="00831573">
        <w:rPr>
          <w:lang w:val="en-GB"/>
        </w:rPr>
        <w:t xml:space="preserve">The nature and formulation of Article 5 § 1, presenting an exhaustive list of permissible exceptions to the general rule that a person should not be deprived of his liberty, requires that the Government invoke a particular basis under one or more of the subparagraphs of that provision in support of its claim that a particular detention order was lawful. It is not for this Court to examine, </w:t>
      </w:r>
      <w:r w:rsidR="00875823" w:rsidRPr="00831573">
        <w:rPr>
          <w:i/>
          <w:lang w:val="en-GB"/>
        </w:rPr>
        <w:t>proprio motu</w:t>
      </w:r>
      <w:r w:rsidR="00875823" w:rsidRPr="00831573">
        <w:rPr>
          <w:lang w:val="en-GB"/>
        </w:rPr>
        <w:t xml:space="preserve">, a complaint under Article 5 on the basis of a particular justification provided by that provision not invoked, directly or indirectly, by the defendant Government. Thus, in the case of </w:t>
      </w:r>
      <w:r w:rsidR="00875823" w:rsidRPr="00831573">
        <w:rPr>
          <w:i/>
          <w:lang w:val="en-GB"/>
        </w:rPr>
        <w:t>Beiere</w:t>
      </w:r>
      <w:r w:rsidRPr="00831573">
        <w:rPr>
          <w:i/>
          <w:lang w:val="en-GB"/>
        </w:rPr>
        <w:t xml:space="preserve"> </w:t>
      </w:r>
      <w:r w:rsidR="00875823" w:rsidRPr="00831573">
        <w:rPr>
          <w:i/>
          <w:lang w:val="en-GB"/>
        </w:rPr>
        <w:t>v.</w:t>
      </w:r>
      <w:r w:rsidR="00F9688F" w:rsidRPr="00831573">
        <w:rPr>
          <w:i/>
          <w:lang w:val="en-GB"/>
        </w:rPr>
        <w:t> </w:t>
      </w:r>
      <w:r w:rsidR="00875823" w:rsidRPr="00831573">
        <w:rPr>
          <w:i/>
          <w:lang w:val="en-GB"/>
        </w:rPr>
        <w:t>Latvia</w:t>
      </w:r>
      <w:r w:rsidR="00875823" w:rsidRPr="00831573">
        <w:rPr>
          <w:lang w:val="en-GB"/>
        </w:rPr>
        <w:t xml:space="preserve"> (no. 30954/05, § 53, 29 November 2011), the Court found that “the deprivation of the applicant</w:t>
      </w:r>
      <w:r w:rsidRPr="00831573">
        <w:rPr>
          <w:lang w:val="en-GB"/>
        </w:rPr>
        <w:t>’</w:t>
      </w:r>
      <w:r w:rsidR="00875823" w:rsidRPr="00831573">
        <w:rPr>
          <w:lang w:val="en-GB"/>
        </w:rPr>
        <w:t>s liberty was not ordered in accor</w:t>
      </w:r>
      <w:r w:rsidR="00875823" w:rsidRPr="00831573">
        <w:rPr>
          <w:lang w:val="en-GB"/>
        </w:rPr>
        <w:softHyphen/>
        <w:t>dance with Article 5 § 1 (b) of the Convention”. The Court then concluded that as the Government “[had] not argued that it was justified by any of the remaining subparagraphs of Article 5 § 1, [there had] been a violation of Article 5 § 1”. It also goes without saying that the Court cannot ascribe to the applicant the intention to assist the Government in this endeavour by relying on his pleadings in this regard, thus basing its examination of the applicant</w:t>
      </w:r>
      <w:r w:rsidRPr="00831573">
        <w:rPr>
          <w:lang w:val="en-GB"/>
        </w:rPr>
        <w:t>’</w:t>
      </w:r>
      <w:r w:rsidR="00875823" w:rsidRPr="00831573">
        <w:rPr>
          <w:lang w:val="en-GB"/>
        </w:rPr>
        <w:t>s complaint on a subparagraph of Article 5 § 1 only invoked by the applicant and not the Govern</w:t>
      </w:r>
      <w:r w:rsidR="00875823" w:rsidRPr="00831573">
        <w:rPr>
          <w:lang w:val="en-GB"/>
        </w:rPr>
        <w:softHyphen/>
        <w:t>ment.</w:t>
      </w:r>
    </w:p>
    <w:p w:rsidR="00831573" w:rsidRPr="00831573" w:rsidRDefault="00831573" w:rsidP="00831573">
      <w:pPr>
        <w:pStyle w:val="OpiPara"/>
        <w:rPr>
          <w:lang w:val="en-GB"/>
        </w:rPr>
      </w:pPr>
      <w:r w:rsidRPr="00831573">
        <w:rPr>
          <w:lang w:val="en-GB"/>
        </w:rPr>
        <w:t>4.  </w:t>
      </w:r>
      <w:r w:rsidR="00875823" w:rsidRPr="00831573">
        <w:rPr>
          <w:lang w:val="en-GB"/>
        </w:rPr>
        <w:t>It follows that if the Government rely on a particular subparagraph of Article 5 § 1 before this Court in their defence against a complaint of unlawful deprivation of liberty, the Court</w:t>
      </w:r>
      <w:r w:rsidRPr="00831573">
        <w:rPr>
          <w:lang w:val="en-GB"/>
        </w:rPr>
        <w:t>’</w:t>
      </w:r>
      <w:r w:rsidR="00875823" w:rsidRPr="00831573">
        <w:rPr>
          <w:lang w:val="en-GB"/>
        </w:rPr>
        <w:t>s examination is limited to reviewing the Government</w:t>
      </w:r>
      <w:r w:rsidRPr="00831573">
        <w:rPr>
          <w:lang w:val="en-GB"/>
        </w:rPr>
        <w:t>’</w:t>
      </w:r>
      <w:r w:rsidR="00875823" w:rsidRPr="00831573">
        <w:rPr>
          <w:lang w:val="en-GB"/>
        </w:rPr>
        <w:t>s pleaded justification. However, that is not what happened in the present case.</w:t>
      </w:r>
    </w:p>
    <w:p w:rsidR="00875823" w:rsidRPr="00831573" w:rsidRDefault="00831573" w:rsidP="00831573">
      <w:pPr>
        <w:pStyle w:val="OpiPara"/>
        <w:rPr>
          <w:lang w:val="en-GB"/>
        </w:rPr>
      </w:pPr>
      <w:r w:rsidRPr="00831573">
        <w:rPr>
          <w:lang w:val="en-GB"/>
        </w:rPr>
        <w:t>5.  </w:t>
      </w:r>
      <w:r w:rsidR="00875823" w:rsidRPr="00831573">
        <w:rPr>
          <w:lang w:val="en-GB"/>
        </w:rPr>
        <w:t>As stated in paragraph 68 of the judgment, the Government argued that the applicant</w:t>
      </w:r>
      <w:r w:rsidRPr="00831573">
        <w:rPr>
          <w:lang w:val="en-GB"/>
        </w:rPr>
        <w:t>’</w:t>
      </w:r>
      <w:r w:rsidR="00875823" w:rsidRPr="00831573">
        <w:rPr>
          <w:lang w:val="en-GB"/>
        </w:rPr>
        <w:t>s detention was covered by Article 5 § 1 (b) of the Convention because he was detained for non-compliance with an undertaking and a court order and/or the detention was to secure compliance with the undertaking and court order. Article 5 § 1 (a), ultimately found by the majority to provide accep</w:t>
      </w:r>
      <w:r w:rsidR="00875823" w:rsidRPr="00831573">
        <w:rPr>
          <w:lang w:val="en-GB"/>
        </w:rPr>
        <w:softHyphen/>
        <w:t>table justification for the applicant</w:t>
      </w:r>
      <w:r w:rsidRPr="00831573">
        <w:rPr>
          <w:lang w:val="en-GB"/>
        </w:rPr>
        <w:t>’</w:t>
      </w:r>
      <w:r w:rsidR="00875823" w:rsidRPr="00831573">
        <w:rPr>
          <w:lang w:val="en-GB"/>
        </w:rPr>
        <w:t>s detention, is not invoked by the Government, but is referred to only by the applicant in his pleadings.</w:t>
      </w:r>
    </w:p>
    <w:p w:rsidR="00831573" w:rsidRPr="00831573" w:rsidRDefault="00831573" w:rsidP="00831573">
      <w:pPr>
        <w:pStyle w:val="OpiPara"/>
        <w:rPr>
          <w:lang w:val="en-GB"/>
        </w:rPr>
      </w:pPr>
      <w:r w:rsidRPr="00831573">
        <w:rPr>
          <w:lang w:val="en-GB"/>
        </w:rPr>
        <w:t>6.  </w:t>
      </w:r>
      <w:r w:rsidR="00875823" w:rsidRPr="00831573">
        <w:rPr>
          <w:lang w:val="en-GB"/>
        </w:rPr>
        <w:t>One may ask why this distinction matters. The reasons are twofold. Firstly, as explained in more detail below (see paragraph 12), it is the settled case-law of the Court that the notion of arbitrariness in the context of Article 5 “varies to a certain extent depending on the type of detention involved”</w:t>
      </w:r>
      <w:r w:rsidR="00875823" w:rsidRPr="00831573">
        <w:rPr>
          <w:i/>
          <w:lang w:val="en-GB"/>
        </w:rPr>
        <w:t xml:space="preserve"> </w:t>
      </w:r>
      <w:r w:rsidR="00875823" w:rsidRPr="00831573">
        <w:rPr>
          <w:lang w:val="en-GB"/>
        </w:rPr>
        <w:t>(</w:t>
      </w:r>
      <w:r w:rsidR="00875823" w:rsidRPr="00831573">
        <w:rPr>
          <w:i/>
          <w:lang w:val="en-GB"/>
        </w:rPr>
        <w:t>Saadi v. the United Kingdom</w:t>
      </w:r>
      <w:r w:rsidR="00875823" w:rsidRPr="00831573">
        <w:rPr>
          <w:lang w:val="en-GB"/>
        </w:rPr>
        <w:t xml:space="preserve"> ([GC], no. 13229/03, ECHR 2008). Secondly, Article 5 § 1 (a) forms in substance the applicable exception to all deprivations of liberty in the form of prison sentences for criminal acts falling under Article 6 of the Convention. Since the Court is not an appeal court against decisions of national courts, it will not substitute its own views on the appropriateness of a sentence for those national authorities. However, Article 5 § 1 (b) is different. In the assessment of whether a detention order is arbitrary, the first limb, which is clearly applicable in the present case, requires a strict assessment of the necessity of the detention for a particular and well-defined aim, that is to say to secure compliance with a lawful order of a court which may or may not be a criminal act under domestic law. The same applies in principle to those detentions that are justified under Articles</w:t>
      </w:r>
      <w:r w:rsidR="00F9688F" w:rsidRPr="00831573">
        <w:rPr>
          <w:lang w:val="en-GB"/>
        </w:rPr>
        <w:t> </w:t>
      </w:r>
      <w:r w:rsidR="00875823" w:rsidRPr="00831573">
        <w:rPr>
          <w:lang w:val="en-GB"/>
        </w:rPr>
        <w:t>5 § 1 (d), (e) and (f).</w:t>
      </w:r>
    </w:p>
    <w:p w:rsidR="00875823" w:rsidRPr="00831573" w:rsidRDefault="00831573" w:rsidP="00831573">
      <w:pPr>
        <w:pStyle w:val="OpiPara"/>
        <w:rPr>
          <w:lang w:val="en-GB"/>
        </w:rPr>
      </w:pPr>
      <w:r w:rsidRPr="00831573">
        <w:rPr>
          <w:lang w:val="en-GB"/>
        </w:rPr>
        <w:t>7.  </w:t>
      </w:r>
      <w:r w:rsidR="00875823" w:rsidRPr="00831573">
        <w:rPr>
          <w:lang w:val="en-GB"/>
        </w:rPr>
        <w:t>In short, by proceeding on the basis that both Articles 5 § 1 (a) and (b) were applicable in the present case, and accepting that the applicant</w:t>
      </w:r>
      <w:r w:rsidRPr="00831573">
        <w:rPr>
          <w:lang w:val="en-GB"/>
        </w:rPr>
        <w:t>’</w:t>
      </w:r>
      <w:r w:rsidR="00875823" w:rsidRPr="00831573">
        <w:rPr>
          <w:lang w:val="en-GB"/>
        </w:rPr>
        <w:t>s detention was justified under the former without the Government invoking this exception in its pleadings, the majority have in our view subjected the applicant</w:t>
      </w:r>
      <w:r w:rsidRPr="00831573">
        <w:rPr>
          <w:lang w:val="en-GB"/>
        </w:rPr>
        <w:t>’</w:t>
      </w:r>
      <w:r w:rsidR="00875823" w:rsidRPr="00831573">
        <w:rPr>
          <w:lang w:val="en-GB"/>
        </w:rPr>
        <w:t>s complaint to a less stringent examination of lawfulness than was required by the Government</w:t>
      </w:r>
      <w:r w:rsidRPr="00831573">
        <w:rPr>
          <w:lang w:val="en-GB"/>
        </w:rPr>
        <w:t>’</w:t>
      </w:r>
      <w:r w:rsidR="00875823" w:rsidRPr="00831573">
        <w:rPr>
          <w:lang w:val="en-GB"/>
        </w:rPr>
        <w:t>s stated justification for his deprivation of liberty. Applying Article 5 § 1 (b) would have led to the opposite conclusion, a finding of a violation in the applicant</w:t>
      </w:r>
      <w:r w:rsidRPr="00831573">
        <w:rPr>
          <w:lang w:val="en-GB"/>
        </w:rPr>
        <w:t>’</w:t>
      </w:r>
      <w:r w:rsidR="00875823" w:rsidRPr="00831573">
        <w:rPr>
          <w:lang w:val="en-GB"/>
        </w:rPr>
        <w:t>s case, as we will now explain.</w:t>
      </w:r>
    </w:p>
    <w:p w:rsidR="00875823" w:rsidRPr="00831573" w:rsidRDefault="00875823" w:rsidP="00831573">
      <w:pPr>
        <w:pStyle w:val="OpiPara"/>
        <w:rPr>
          <w:lang w:val="en-GB"/>
        </w:rPr>
      </w:pPr>
    </w:p>
    <w:p w:rsidR="00875823" w:rsidRPr="00831573" w:rsidRDefault="00875823" w:rsidP="00831573">
      <w:pPr>
        <w:pStyle w:val="OpiPara"/>
        <w:jc w:val="center"/>
        <w:rPr>
          <w:lang w:val="en-GB"/>
        </w:rPr>
      </w:pPr>
      <w:r w:rsidRPr="00831573">
        <w:rPr>
          <w:lang w:val="en-GB"/>
        </w:rPr>
        <w:t>III.</w:t>
      </w:r>
    </w:p>
    <w:p w:rsidR="00831573" w:rsidRPr="00831573" w:rsidRDefault="0049163D" w:rsidP="00831573">
      <w:pPr>
        <w:pStyle w:val="OpiPara"/>
        <w:rPr>
          <w:lang w:val="en-GB"/>
        </w:rPr>
      </w:pPr>
      <w:r w:rsidRPr="00831573">
        <w:rPr>
          <w:lang w:val="en-GB"/>
        </w:rPr>
        <w:t>8. </w:t>
      </w:r>
      <w:r w:rsidR="00831573" w:rsidRPr="00831573">
        <w:rPr>
          <w:lang w:val="en-GB"/>
        </w:rPr>
        <w:t> </w:t>
      </w:r>
      <w:r w:rsidR="00875823" w:rsidRPr="00831573">
        <w:rPr>
          <w:lang w:val="en-GB"/>
        </w:rPr>
        <w:t>The relevant principles governing the assessment of “lawfulness” and the notion of “arbitrary detention” under Article 5 § 1 were set out in the Court</w:t>
      </w:r>
      <w:r w:rsidR="00831573" w:rsidRPr="00831573">
        <w:rPr>
          <w:lang w:val="en-GB"/>
        </w:rPr>
        <w:t>’</w:t>
      </w:r>
      <w:r w:rsidR="00875823" w:rsidRPr="00831573">
        <w:rPr>
          <w:lang w:val="en-GB"/>
        </w:rPr>
        <w:t xml:space="preserve">s Grand Chamber judgment in </w:t>
      </w:r>
      <w:r w:rsidR="00875823" w:rsidRPr="00831573">
        <w:rPr>
          <w:i/>
          <w:lang w:val="en-GB"/>
        </w:rPr>
        <w:t>Mooren v Germany</w:t>
      </w:r>
      <w:r w:rsidR="00875823" w:rsidRPr="00831573">
        <w:rPr>
          <w:lang w:val="en-GB"/>
        </w:rPr>
        <w:t xml:space="preserve"> ([GC], no.</w:t>
      </w:r>
      <w:r w:rsidR="00F9688F" w:rsidRPr="00831573">
        <w:rPr>
          <w:lang w:val="en-GB"/>
        </w:rPr>
        <w:t> </w:t>
      </w:r>
      <w:r w:rsidR="00875823" w:rsidRPr="00831573">
        <w:rPr>
          <w:lang w:val="en-GB"/>
        </w:rPr>
        <w:t>11364/03, §§ 72-75 and 77-81).</w:t>
      </w:r>
    </w:p>
    <w:p w:rsidR="00875823" w:rsidRPr="00831573" w:rsidRDefault="0049163D" w:rsidP="00831573">
      <w:pPr>
        <w:pStyle w:val="OpiPara"/>
        <w:rPr>
          <w:lang w:val="en-GB"/>
        </w:rPr>
      </w:pPr>
      <w:r w:rsidRPr="00831573">
        <w:rPr>
          <w:lang w:val="en-GB"/>
        </w:rPr>
        <w:t>9. </w:t>
      </w:r>
      <w:r w:rsidR="00831573" w:rsidRPr="00831573">
        <w:rPr>
          <w:lang w:val="en-GB"/>
        </w:rPr>
        <w:t> </w:t>
      </w:r>
      <w:r w:rsidR="00875823" w:rsidRPr="00831573">
        <w:rPr>
          <w:lang w:val="en-GB"/>
        </w:rPr>
        <w:t xml:space="preserve">In </w:t>
      </w:r>
      <w:r w:rsidR="00875823" w:rsidRPr="00831573">
        <w:rPr>
          <w:i/>
          <w:lang w:val="en-GB"/>
        </w:rPr>
        <w:t>Mooren,</w:t>
      </w:r>
      <w:r w:rsidR="00875823" w:rsidRPr="00831573">
        <w:rPr>
          <w:lang w:val="en-GB"/>
        </w:rPr>
        <w:t xml:space="preserve"> cited above, the Court recalled that where the “lawfulness” of detention is in issue, including the question whether “a procedure prescribed by law” has been followed, the Convention refers essentially to national law and lays down the obligation to conform to the substantive and procedural rules thereof. Compliance with national law is not, however, sufficient: Article 5 § 1 requires in addition that any deprivation of liberty should be in keeping with the purpose of protecting the individual from arbitrariness (see § 72).</w:t>
      </w:r>
    </w:p>
    <w:p w:rsidR="00831573" w:rsidRPr="00831573" w:rsidRDefault="0049163D" w:rsidP="00831573">
      <w:pPr>
        <w:pStyle w:val="OpiPara"/>
        <w:rPr>
          <w:lang w:val="en-GB"/>
        </w:rPr>
      </w:pPr>
      <w:r w:rsidRPr="00831573">
        <w:rPr>
          <w:lang w:val="en-GB"/>
        </w:rPr>
        <w:t>10. </w:t>
      </w:r>
      <w:r w:rsidR="00831573" w:rsidRPr="00831573">
        <w:rPr>
          <w:lang w:val="en-GB"/>
        </w:rPr>
        <w:t> </w:t>
      </w:r>
      <w:r w:rsidR="00875823" w:rsidRPr="00831573">
        <w:rPr>
          <w:lang w:val="en-GB"/>
        </w:rPr>
        <w:t xml:space="preserve">Although it is primarily for the national authorities, notably the courts, to interpret and apply domestic law, under Article 5 § 1 failure to comply with domestic law entails a breach of the Convention and the Court can and should therefore review whether this law has been complied with. However, the Court has explained that not every fault discovered in a detention order renders the underlying detention unlawful as such for the purposes of Article 5 § 1. A period of detention is, in principle, “lawful” if it is based on a court order. A subsequent finding of a superior domestic court that a lower court erred under domestic law in making the order will not necessarily retrospectively affect the validity of the intervening period of detention (see </w:t>
      </w:r>
      <w:r w:rsidR="00875823" w:rsidRPr="00831573">
        <w:rPr>
          <w:i/>
          <w:lang w:val="en-GB"/>
        </w:rPr>
        <w:t>Mooren</w:t>
      </w:r>
      <w:r w:rsidR="00875823" w:rsidRPr="00831573">
        <w:rPr>
          <w:lang w:val="en-GB"/>
        </w:rPr>
        <w:t>, cited above, §§ 73-74).</w:t>
      </w:r>
    </w:p>
    <w:p w:rsidR="00875823" w:rsidRPr="00831573" w:rsidRDefault="0049163D" w:rsidP="00831573">
      <w:pPr>
        <w:pStyle w:val="OpiPara"/>
        <w:rPr>
          <w:lang w:val="en-GB"/>
        </w:rPr>
      </w:pPr>
      <w:r w:rsidRPr="00831573">
        <w:rPr>
          <w:lang w:val="en-GB"/>
        </w:rPr>
        <w:t>11. </w:t>
      </w:r>
      <w:r w:rsidR="00831573" w:rsidRPr="00831573">
        <w:rPr>
          <w:lang w:val="en-GB"/>
        </w:rPr>
        <w:t> </w:t>
      </w:r>
      <w:r w:rsidR="00875823" w:rsidRPr="00831573">
        <w:rPr>
          <w:lang w:val="en-GB"/>
        </w:rPr>
        <w:t>The Court then went on to further specify the circumstances under which the detention remained lawful in the said intervening period for the purposes of Article 5 § 1: for the assessment of compliance with Article</w:t>
      </w:r>
      <w:r w:rsidR="00F9688F" w:rsidRPr="00831573">
        <w:rPr>
          <w:lang w:val="en-GB"/>
        </w:rPr>
        <w:t> </w:t>
      </w:r>
      <w:r w:rsidR="00875823" w:rsidRPr="00831573">
        <w:rPr>
          <w:lang w:val="en-GB"/>
        </w:rPr>
        <w:t>5</w:t>
      </w:r>
      <w:r w:rsidR="00831573" w:rsidRPr="00831573">
        <w:rPr>
          <w:lang w:val="en-GB"/>
        </w:rPr>
        <w:t xml:space="preserve"> </w:t>
      </w:r>
      <w:r w:rsidR="00875823" w:rsidRPr="00831573">
        <w:rPr>
          <w:lang w:val="en-GB"/>
        </w:rPr>
        <w:t>§</w:t>
      </w:r>
      <w:r w:rsidR="00F9688F" w:rsidRPr="00831573">
        <w:rPr>
          <w:lang w:val="en-GB"/>
        </w:rPr>
        <w:t> </w:t>
      </w:r>
      <w:r w:rsidR="00875823" w:rsidRPr="00831573">
        <w:rPr>
          <w:lang w:val="en-GB"/>
        </w:rPr>
        <w:t xml:space="preserve">1 of the Convention, a basic distinction has to be made between </w:t>
      </w:r>
      <w:r w:rsidR="00875823" w:rsidRPr="00831573">
        <w:rPr>
          <w:i/>
          <w:lang w:val="en-GB"/>
        </w:rPr>
        <w:t xml:space="preserve">ex facie </w:t>
      </w:r>
      <w:r w:rsidR="00875823" w:rsidRPr="00831573">
        <w:rPr>
          <w:lang w:val="en-GB"/>
        </w:rPr>
        <w:t xml:space="preserve">invalid detention orders – for example, given by a court in excess of jurisdiction or where the interested party did not have proper notice of the hearing – and detention orders which are </w:t>
      </w:r>
      <w:r w:rsidR="00875823" w:rsidRPr="00831573">
        <w:rPr>
          <w:i/>
          <w:lang w:val="en-GB"/>
        </w:rPr>
        <w:t xml:space="preserve">prima facie </w:t>
      </w:r>
      <w:r w:rsidR="00875823" w:rsidRPr="00831573">
        <w:rPr>
          <w:lang w:val="en-GB"/>
        </w:rPr>
        <w:t>valid and effective unless and until they have been over</w:t>
      </w:r>
      <w:r w:rsidR="00875823" w:rsidRPr="00831573">
        <w:rPr>
          <w:lang w:val="en-GB"/>
        </w:rPr>
        <w:softHyphen/>
        <w:t xml:space="preserve">turned by a higher court. A detention order must be considered as </w:t>
      </w:r>
      <w:r w:rsidR="00875823" w:rsidRPr="00831573">
        <w:rPr>
          <w:i/>
          <w:lang w:val="en-GB"/>
        </w:rPr>
        <w:t>ex facie</w:t>
      </w:r>
      <w:r w:rsidR="00875823" w:rsidRPr="00831573">
        <w:rPr>
          <w:lang w:val="en-GB"/>
        </w:rPr>
        <w:t xml:space="preserve"> invalid if the flaw in the order amounted to a “gross and obvious irregularity” in the exceptional sense indicated by the Court</w:t>
      </w:r>
      <w:r w:rsidR="00831573" w:rsidRPr="00831573">
        <w:rPr>
          <w:lang w:val="en-GB"/>
        </w:rPr>
        <w:t>’</w:t>
      </w:r>
      <w:r w:rsidR="00875823" w:rsidRPr="00831573">
        <w:rPr>
          <w:lang w:val="en-GB"/>
        </w:rPr>
        <w:t>s case-law. Accord</w:t>
      </w:r>
      <w:r w:rsidR="00875823" w:rsidRPr="00831573">
        <w:rPr>
          <w:lang w:val="en-GB"/>
        </w:rPr>
        <w:softHyphen/>
        <w:t xml:space="preserve">ingly, unless they constitute a </w:t>
      </w:r>
      <w:r w:rsidR="00875823" w:rsidRPr="00831573">
        <w:rPr>
          <w:i/>
          <w:lang w:val="en-GB"/>
        </w:rPr>
        <w:t>gross and obvious irregularity</w:t>
      </w:r>
      <w:r w:rsidR="00875823" w:rsidRPr="00831573">
        <w:rPr>
          <w:lang w:val="en-GB"/>
        </w:rPr>
        <w:t>, defects in a detention order may be remedied by the domestic appeal courts in the course of judicial review proceedings (see § 75).</w:t>
      </w:r>
    </w:p>
    <w:p w:rsidR="00875823" w:rsidRPr="00831573" w:rsidRDefault="00875823" w:rsidP="00831573">
      <w:pPr>
        <w:pStyle w:val="OpiPara"/>
      </w:pPr>
      <w:r w:rsidRPr="00831573">
        <w:rPr>
          <w:lang w:val="en-GB"/>
        </w:rPr>
        <w:t>12</w:t>
      </w:r>
      <w:r w:rsidR="0049163D" w:rsidRPr="00831573">
        <w:t>. </w:t>
      </w:r>
      <w:r w:rsidR="00831573" w:rsidRPr="00831573">
        <w:t> </w:t>
      </w:r>
      <w:r w:rsidRPr="00831573">
        <w:t>As regards the principles governing the notion of arbitrariness, the Court in Mooren referred, inter alia, to §§ 67-68 of the Court</w:t>
      </w:r>
      <w:r w:rsidR="00831573" w:rsidRPr="00831573">
        <w:t>’</w:t>
      </w:r>
      <w:r w:rsidRPr="00831573">
        <w:t>s judgment in Saadi v. the United Kingdom, cited above, where the Grand Chamber held that in the light of the purpose of Article 5 § 1, the provision requires arbitrariness review “in addition to compliance with national law”. The notion of arbitrariness in the context of Article 5 “varies to a certain extent depending on the type of detention involved”. Importantly for the present case, the Court in Saadi held as follows (see § 69):</w:t>
      </w:r>
    </w:p>
    <w:p w:rsidR="00875823" w:rsidRPr="00831573" w:rsidRDefault="00831573" w:rsidP="00831573">
      <w:pPr>
        <w:pStyle w:val="OpiQuot"/>
      </w:pPr>
      <w:r w:rsidRPr="00831573">
        <w:t>“</w:t>
      </w:r>
      <w:r w:rsidR="00875823" w:rsidRPr="00831573">
        <w:t>The condition that there be no arbitrariness further demands that both the order to detain and the execution of the detention must genuinely conform with the purpose of the restrictions permitted by the relevant subparagraph of Article 5 § 1.</w:t>
      </w:r>
      <w:r w:rsidRPr="00831573">
        <w:t>”</w:t>
      </w:r>
    </w:p>
    <w:p w:rsidR="00875823" w:rsidRPr="00831573" w:rsidRDefault="0049163D" w:rsidP="00831573">
      <w:pPr>
        <w:pStyle w:val="OpiPara"/>
        <w:rPr>
          <w:lang w:val="en-GB"/>
        </w:rPr>
      </w:pPr>
      <w:r w:rsidRPr="00831573">
        <w:rPr>
          <w:lang w:val="en-GB"/>
        </w:rPr>
        <w:t>13. </w:t>
      </w:r>
      <w:r w:rsidR="00831573" w:rsidRPr="00831573">
        <w:rPr>
          <w:lang w:val="en-GB"/>
        </w:rPr>
        <w:t> </w:t>
      </w:r>
      <w:r w:rsidR="00875823" w:rsidRPr="00831573">
        <w:rPr>
          <w:lang w:val="en-GB"/>
        </w:rPr>
        <w:t>In the light of the general principles stated above, the questions that arise in the present case are firstly whether the procedural defects in the course of the committal pro</w:t>
      </w:r>
      <w:r w:rsidR="00875823" w:rsidRPr="00831573">
        <w:rPr>
          <w:lang w:val="en-GB"/>
        </w:rPr>
        <w:softHyphen/>
        <w:t xml:space="preserve">ceedings, in which the applicant was detained for three months, constituted </w:t>
      </w:r>
      <w:r w:rsidR="00875823" w:rsidRPr="00831573">
        <w:rPr>
          <w:i/>
          <w:lang w:val="en-GB"/>
        </w:rPr>
        <w:t>gross and obvious irregularities</w:t>
      </w:r>
      <w:r w:rsidR="00875823" w:rsidRPr="00831573">
        <w:rPr>
          <w:lang w:val="en-GB"/>
        </w:rPr>
        <w:t xml:space="preserve"> within the meaning of </w:t>
      </w:r>
      <w:r w:rsidR="00875823" w:rsidRPr="00831573">
        <w:rPr>
          <w:i/>
          <w:lang w:val="en-GB"/>
        </w:rPr>
        <w:t>Mooren</w:t>
      </w:r>
      <w:r w:rsidR="00875823" w:rsidRPr="00831573">
        <w:rPr>
          <w:lang w:val="en-GB"/>
        </w:rPr>
        <w:t xml:space="preserve">. As arbitrariness review under Article 5 § 1 is required in addition to compliance with national law, it must secondly be determined whether the order to commit the applicant “genuinely conformed with the purpose of the restriction under Article 5 § 1 (b)” even assuming that the procedural defects did not attain the level required by </w:t>
      </w:r>
      <w:r w:rsidR="00875823" w:rsidRPr="00831573">
        <w:rPr>
          <w:i/>
          <w:lang w:val="en-GB"/>
        </w:rPr>
        <w:t>Mooren</w:t>
      </w:r>
      <w:r w:rsidR="00875823" w:rsidRPr="00831573">
        <w:rPr>
          <w:lang w:val="en-GB"/>
        </w:rPr>
        <w:t>. Lastly, before proceeding with our examination on this basis, we observe that in the application of these principles, we, like the majority (see paragraph 74 of the judgment), will take into account the well-settled principle in the Court</w:t>
      </w:r>
      <w:r w:rsidR="00831573" w:rsidRPr="00831573">
        <w:rPr>
          <w:lang w:val="en-GB"/>
        </w:rPr>
        <w:t>’</w:t>
      </w:r>
      <w:r w:rsidR="00875823" w:rsidRPr="00831573">
        <w:rPr>
          <w:lang w:val="en-GB"/>
        </w:rPr>
        <w:t>s case-law that only a narrow interpretation of the per</w:t>
      </w:r>
      <w:r w:rsidR="00875823" w:rsidRPr="00831573">
        <w:rPr>
          <w:lang w:val="en-GB"/>
        </w:rPr>
        <w:softHyphen/>
        <w:t>missible grounds under Article 5 § 1 is consistent with the aim of this provision, namely to ensure that no one is arbitrarily deprived of his liberty. It is therefore for the Government to convincingly demonstrate that a permissible ground for restricting the applicant</w:t>
      </w:r>
      <w:r w:rsidR="00831573" w:rsidRPr="00831573">
        <w:rPr>
          <w:lang w:val="en-GB"/>
        </w:rPr>
        <w:t>’</w:t>
      </w:r>
      <w:r w:rsidR="00875823" w:rsidRPr="00831573">
        <w:rPr>
          <w:lang w:val="en-GB"/>
        </w:rPr>
        <w:t>s liberty existed on the particular facts of the case.</w:t>
      </w:r>
    </w:p>
    <w:p w:rsidR="00875823" w:rsidRPr="00831573" w:rsidRDefault="00875823" w:rsidP="00831573">
      <w:pPr>
        <w:pStyle w:val="OpiPara"/>
        <w:rPr>
          <w:lang w:val="en-GB"/>
        </w:rPr>
      </w:pPr>
    </w:p>
    <w:p w:rsidR="00875823" w:rsidRPr="00831573" w:rsidRDefault="00875823" w:rsidP="00831573">
      <w:pPr>
        <w:pStyle w:val="OpiPara"/>
        <w:jc w:val="center"/>
        <w:rPr>
          <w:lang w:val="en-GB"/>
        </w:rPr>
      </w:pPr>
      <w:r w:rsidRPr="00831573">
        <w:rPr>
          <w:lang w:val="en-GB"/>
        </w:rPr>
        <w:t>IV.</w:t>
      </w:r>
    </w:p>
    <w:p w:rsidR="00875823" w:rsidRPr="00831573" w:rsidRDefault="0049163D" w:rsidP="00831573">
      <w:pPr>
        <w:pStyle w:val="OpiPara"/>
        <w:rPr>
          <w:lang w:val="en-GB"/>
        </w:rPr>
      </w:pPr>
      <w:r w:rsidRPr="00831573">
        <w:rPr>
          <w:lang w:val="en-GB"/>
        </w:rPr>
        <w:t>14.</w:t>
      </w:r>
      <w:r w:rsidR="00831573" w:rsidRPr="00831573">
        <w:rPr>
          <w:lang w:val="en-GB"/>
        </w:rPr>
        <w:t> </w:t>
      </w:r>
      <w:r w:rsidRPr="00831573">
        <w:rPr>
          <w:lang w:val="en-GB"/>
        </w:rPr>
        <w:t> </w:t>
      </w:r>
      <w:r w:rsidR="00875823" w:rsidRPr="00831573">
        <w:rPr>
          <w:lang w:val="en-GB"/>
        </w:rPr>
        <w:t xml:space="preserve">We shall begin by examining whether the detention order was in compliance with national law, applying the “gross and obvious irregularity test” under </w:t>
      </w:r>
      <w:r w:rsidR="00875823" w:rsidRPr="00831573">
        <w:rPr>
          <w:i/>
          <w:lang w:val="en-GB"/>
        </w:rPr>
        <w:t>Mooren</w:t>
      </w:r>
      <w:r w:rsidR="00875823" w:rsidRPr="00831573">
        <w:rPr>
          <w:lang w:val="en-GB"/>
        </w:rPr>
        <w:t xml:space="preserve"> (see paragraph 11 above).</w:t>
      </w:r>
    </w:p>
    <w:p w:rsidR="00875823" w:rsidRPr="00831573" w:rsidRDefault="0049163D" w:rsidP="00831573">
      <w:pPr>
        <w:pStyle w:val="OpiPara"/>
        <w:rPr>
          <w:lang w:val="en-GB"/>
        </w:rPr>
      </w:pPr>
      <w:r w:rsidRPr="00831573">
        <w:rPr>
          <w:lang w:val="en-GB"/>
        </w:rPr>
        <w:t>15. </w:t>
      </w:r>
      <w:r w:rsidR="00831573" w:rsidRPr="00831573">
        <w:rPr>
          <w:lang w:val="en-GB"/>
        </w:rPr>
        <w:t> </w:t>
      </w:r>
      <w:r w:rsidR="00875823" w:rsidRPr="00831573">
        <w:rPr>
          <w:lang w:val="en-GB"/>
        </w:rPr>
        <w:t>As is necessary in cases of this nature, the inquiry must begin with the domestic courts</w:t>
      </w:r>
      <w:r w:rsidR="00831573" w:rsidRPr="00831573">
        <w:rPr>
          <w:lang w:val="en-GB"/>
        </w:rPr>
        <w:t>’</w:t>
      </w:r>
      <w:r w:rsidR="00875823" w:rsidRPr="00831573">
        <w:rPr>
          <w:lang w:val="en-GB"/>
        </w:rPr>
        <w:t xml:space="preserve"> findings on issues of lawfulness for the purposes of domestic law, both substantive and procedural, in the present case the Court of Appeal</w:t>
      </w:r>
      <w:r w:rsidR="00831573" w:rsidRPr="00831573">
        <w:rPr>
          <w:lang w:val="en-GB"/>
        </w:rPr>
        <w:t>’</w:t>
      </w:r>
      <w:r w:rsidR="00875823" w:rsidRPr="00831573">
        <w:rPr>
          <w:lang w:val="en-GB"/>
        </w:rPr>
        <w:t>s judgment quashing both the finding of contempt and the sentence imposed (see paragraphs 16-25 of the judgment). Lord Justice Moses</w:t>
      </w:r>
      <w:r w:rsidR="00831573" w:rsidRPr="00831573">
        <w:rPr>
          <w:lang w:val="en-GB"/>
        </w:rPr>
        <w:t>’</w:t>
      </w:r>
      <w:r w:rsidR="00875823" w:rsidRPr="00831573">
        <w:rPr>
          <w:lang w:val="en-GB"/>
        </w:rPr>
        <w:t>s analysis can be summarised as follows:</w:t>
      </w:r>
    </w:p>
    <w:p w:rsidR="00831573" w:rsidRPr="00831573" w:rsidRDefault="00875823" w:rsidP="00831573">
      <w:pPr>
        <w:pStyle w:val="OpiPara"/>
        <w:rPr>
          <w:lang w:val="en-GB"/>
        </w:rPr>
      </w:pPr>
      <w:r w:rsidRPr="00831573">
        <w:rPr>
          <w:i/>
          <w:lang w:val="en-GB"/>
        </w:rPr>
        <w:t>Firstly,</w:t>
      </w:r>
      <w:r w:rsidRPr="00831573">
        <w:rPr>
          <w:lang w:val="en-GB"/>
        </w:rPr>
        <w:t xml:space="preserve"> he held that there was “no reason why the applicant should not [have been] represented” (paragraph 19).</w:t>
      </w:r>
    </w:p>
    <w:p w:rsidR="00831573" w:rsidRPr="00831573" w:rsidRDefault="00875823" w:rsidP="00831573">
      <w:pPr>
        <w:pStyle w:val="OpiPara"/>
        <w:rPr>
          <w:lang w:val="en-GB"/>
        </w:rPr>
      </w:pPr>
      <w:r w:rsidRPr="00831573">
        <w:rPr>
          <w:i/>
          <w:lang w:val="en-GB"/>
        </w:rPr>
        <w:t>Secondly,</w:t>
      </w:r>
      <w:r w:rsidRPr="00831573">
        <w:rPr>
          <w:lang w:val="en-GB"/>
        </w:rPr>
        <w:t xml:space="preserve"> “the decision to hear the application for committal at the same time as the application for contact led to inescapable errors in procedure” and “placed the applicant in an impossible position” (paragraphs 20-21).</w:t>
      </w:r>
    </w:p>
    <w:p w:rsidR="00831573" w:rsidRPr="00831573" w:rsidRDefault="00875823" w:rsidP="00831573">
      <w:pPr>
        <w:pStyle w:val="OpiPara"/>
        <w:rPr>
          <w:lang w:val="en-GB"/>
        </w:rPr>
      </w:pPr>
      <w:r w:rsidRPr="00831573">
        <w:rPr>
          <w:i/>
          <w:lang w:val="en-GB"/>
        </w:rPr>
        <w:t>Thirdly,</w:t>
      </w:r>
      <w:r w:rsidRPr="00831573">
        <w:rPr>
          <w:lang w:val="en-GB"/>
        </w:rPr>
        <w:t xml:space="preserve"> and most importantly in our view, the family court judge “paid no heed to the purpose of punishment in contempt proceedings” and since the applicant had not been represented and had never been given an opportunity to mitigate, the sentencing phase of the committal was “fatally flawed” (paragraph 22).</w:t>
      </w:r>
    </w:p>
    <w:p w:rsidR="00831573" w:rsidRPr="00831573" w:rsidRDefault="00875823" w:rsidP="00831573">
      <w:pPr>
        <w:pStyle w:val="OpiPara"/>
        <w:rPr>
          <w:lang w:val="en-GB"/>
        </w:rPr>
      </w:pPr>
      <w:r w:rsidRPr="00831573">
        <w:rPr>
          <w:i/>
          <w:lang w:val="en-GB"/>
        </w:rPr>
        <w:t>Fourthly,</w:t>
      </w:r>
      <w:r w:rsidRPr="00831573">
        <w:rPr>
          <w:lang w:val="en-GB"/>
        </w:rPr>
        <w:t xml:space="preserve"> Lord Justice Moses made a causal connection between the lack of legal representation and the outcome stating that there was “ample material to suggest that legal representation would have made a difference” as there was “material relevant to the facts of the breaches to which the judge</w:t>
      </w:r>
      <w:r w:rsidR="00831573" w:rsidRPr="00831573">
        <w:rPr>
          <w:lang w:val="en-GB"/>
        </w:rPr>
        <w:t>’</w:t>
      </w:r>
      <w:r w:rsidRPr="00831573">
        <w:rPr>
          <w:lang w:val="en-GB"/>
        </w:rPr>
        <w:t>s attention ought to have been drawn” (paragraph 23).</w:t>
      </w:r>
    </w:p>
    <w:p w:rsidR="00875823" w:rsidRPr="00831573" w:rsidRDefault="0049163D" w:rsidP="00831573">
      <w:pPr>
        <w:pStyle w:val="OpiPara"/>
        <w:rPr>
          <w:lang w:val="en-GB"/>
        </w:rPr>
      </w:pPr>
      <w:r w:rsidRPr="00831573">
        <w:rPr>
          <w:lang w:val="en-GB"/>
        </w:rPr>
        <w:t>16. </w:t>
      </w:r>
      <w:r w:rsidR="00831573" w:rsidRPr="00831573">
        <w:rPr>
          <w:lang w:val="en-GB"/>
        </w:rPr>
        <w:t> </w:t>
      </w:r>
      <w:r w:rsidR="00875823" w:rsidRPr="00831573">
        <w:rPr>
          <w:lang w:val="en-GB"/>
        </w:rPr>
        <w:t>We also note that Lord Justice Wall, in a concurring opinion, agreeing with his colleague in the Court of Appeal, summed up the analysis by declaring that “the defects in the process” were considered “so serious” that the “interests of justice” required both the committal order and the consequential sentence of imprisonment to be set aside (see paragraph 24).</w:t>
      </w:r>
    </w:p>
    <w:p w:rsidR="00875823" w:rsidRPr="00831573" w:rsidRDefault="0049163D" w:rsidP="00831573">
      <w:pPr>
        <w:pStyle w:val="OpiPara"/>
        <w:rPr>
          <w:lang w:val="en-GB"/>
        </w:rPr>
      </w:pPr>
      <w:r w:rsidRPr="00831573">
        <w:rPr>
          <w:lang w:val="en-GB"/>
        </w:rPr>
        <w:t>17. </w:t>
      </w:r>
      <w:r w:rsidR="00831573" w:rsidRPr="00831573">
        <w:rPr>
          <w:lang w:val="en-GB"/>
        </w:rPr>
        <w:t> </w:t>
      </w:r>
      <w:r w:rsidR="00875823" w:rsidRPr="00831573">
        <w:rPr>
          <w:lang w:val="en-GB"/>
        </w:rPr>
        <w:t>It is true that the Court of Appeal did not explicitly refer to or rely on Article 5 in its examination of the applicant</w:t>
      </w:r>
      <w:r w:rsidR="00831573" w:rsidRPr="00831573">
        <w:rPr>
          <w:lang w:val="en-GB"/>
        </w:rPr>
        <w:t>’</w:t>
      </w:r>
      <w:r w:rsidR="00875823" w:rsidRPr="00831573">
        <w:rPr>
          <w:lang w:val="en-GB"/>
        </w:rPr>
        <w:t>s appeal against the contempt finding but only referred to Article 6 and the applicant</w:t>
      </w:r>
      <w:r w:rsidR="00831573" w:rsidRPr="00831573">
        <w:rPr>
          <w:lang w:val="en-GB"/>
        </w:rPr>
        <w:t>’</w:t>
      </w:r>
      <w:r w:rsidR="00875823" w:rsidRPr="00831573">
        <w:rPr>
          <w:lang w:val="en-GB"/>
        </w:rPr>
        <w:t xml:space="preserve">s right to legal assistance under Article 6 § 3 (c) and Article 6 § 2 on the burden of proof. Therefore, the judgment cannot be read as necessarily concluding that the detention order was </w:t>
      </w:r>
      <w:r w:rsidR="00875823" w:rsidRPr="00831573">
        <w:rPr>
          <w:i/>
          <w:lang w:val="en-GB"/>
        </w:rPr>
        <w:t xml:space="preserve">ex facie </w:t>
      </w:r>
      <w:r w:rsidR="00875823" w:rsidRPr="00831573">
        <w:rPr>
          <w:lang w:val="en-GB"/>
        </w:rPr>
        <w:t xml:space="preserve">invalid in the light of the </w:t>
      </w:r>
      <w:r w:rsidR="00875823" w:rsidRPr="00831573">
        <w:rPr>
          <w:i/>
          <w:lang w:val="en-GB"/>
        </w:rPr>
        <w:t>gross and obvious irregularity test</w:t>
      </w:r>
      <w:r w:rsidR="00875823" w:rsidRPr="00831573">
        <w:rPr>
          <w:lang w:val="en-GB"/>
        </w:rPr>
        <w:t xml:space="preserve"> under </w:t>
      </w:r>
      <w:r w:rsidR="00875823" w:rsidRPr="00831573">
        <w:rPr>
          <w:i/>
          <w:lang w:val="en-GB"/>
        </w:rPr>
        <w:t>Mooren</w:t>
      </w:r>
      <w:r w:rsidR="00875823" w:rsidRPr="00831573">
        <w:rPr>
          <w:lang w:val="en-GB"/>
        </w:rPr>
        <w:t>, cited above. Neverthe</w:t>
      </w:r>
      <w:r w:rsidR="00875823" w:rsidRPr="00831573">
        <w:rPr>
          <w:lang w:val="en-GB"/>
        </w:rPr>
        <w:softHyphen/>
        <w:t>less, we consider it self-evident that the findings of the domestic court, which, in and of themselves, cast serious doubt on the lawfulness of the applicant</w:t>
      </w:r>
      <w:r w:rsidR="00831573" w:rsidRPr="00831573">
        <w:rPr>
          <w:lang w:val="en-GB"/>
        </w:rPr>
        <w:t>’</w:t>
      </w:r>
      <w:r w:rsidR="00875823" w:rsidRPr="00831573">
        <w:rPr>
          <w:lang w:val="en-GB"/>
        </w:rPr>
        <w:t>s detention, must be given substantial weight in our independent exam</w:t>
      </w:r>
      <w:r w:rsidR="00875823" w:rsidRPr="00831573">
        <w:rPr>
          <w:lang w:val="en-GB"/>
        </w:rPr>
        <w:softHyphen/>
        <w:t>ination of whether the detention order was lawful for the purposes of Article</w:t>
      </w:r>
      <w:r w:rsidR="00F9688F" w:rsidRPr="00831573">
        <w:rPr>
          <w:lang w:val="en-GB"/>
        </w:rPr>
        <w:t> </w:t>
      </w:r>
      <w:r w:rsidR="00875823" w:rsidRPr="00831573">
        <w:rPr>
          <w:lang w:val="en-GB"/>
        </w:rPr>
        <w:t>5</w:t>
      </w:r>
      <w:r w:rsidR="00831573" w:rsidRPr="00831573">
        <w:rPr>
          <w:lang w:val="en-GB"/>
        </w:rPr>
        <w:t xml:space="preserve"> </w:t>
      </w:r>
      <w:r w:rsidR="00875823" w:rsidRPr="00831573">
        <w:rPr>
          <w:lang w:val="en-GB"/>
        </w:rPr>
        <w:t>§</w:t>
      </w:r>
      <w:r w:rsidR="00F9688F" w:rsidRPr="00831573">
        <w:rPr>
          <w:lang w:val="en-GB"/>
        </w:rPr>
        <w:t> </w:t>
      </w:r>
      <w:r w:rsidR="00875823" w:rsidRPr="00831573">
        <w:rPr>
          <w:lang w:val="en-GB"/>
        </w:rPr>
        <w:t>1</w:t>
      </w:r>
      <w:r w:rsidR="00F9688F" w:rsidRPr="00831573">
        <w:rPr>
          <w:lang w:val="en-GB"/>
        </w:rPr>
        <w:t> </w:t>
      </w:r>
      <w:r w:rsidR="00875823" w:rsidRPr="00831573">
        <w:rPr>
          <w:lang w:val="en-GB"/>
        </w:rPr>
        <w:t>(b).</w:t>
      </w:r>
    </w:p>
    <w:p w:rsidR="00831573" w:rsidRPr="00831573" w:rsidRDefault="0049163D" w:rsidP="00831573">
      <w:pPr>
        <w:pStyle w:val="OpiPara"/>
        <w:rPr>
          <w:lang w:val="en-GB"/>
        </w:rPr>
      </w:pPr>
      <w:r w:rsidRPr="00831573">
        <w:rPr>
          <w:lang w:val="en-GB"/>
        </w:rPr>
        <w:t>18. </w:t>
      </w:r>
      <w:r w:rsidR="00831573" w:rsidRPr="00831573">
        <w:rPr>
          <w:lang w:val="en-GB"/>
        </w:rPr>
        <w:t> </w:t>
      </w:r>
      <w:r w:rsidR="00875823" w:rsidRPr="00831573">
        <w:rPr>
          <w:lang w:val="en-GB"/>
        </w:rPr>
        <w:t>Drawing on the Court of Appeal</w:t>
      </w:r>
      <w:r w:rsidR="00831573" w:rsidRPr="00831573">
        <w:rPr>
          <w:lang w:val="en-GB"/>
        </w:rPr>
        <w:t>’</w:t>
      </w:r>
      <w:r w:rsidR="00875823" w:rsidRPr="00831573">
        <w:rPr>
          <w:lang w:val="en-GB"/>
        </w:rPr>
        <w:t>s characterisation of the procedural defects in the applicant</w:t>
      </w:r>
      <w:r w:rsidR="00831573" w:rsidRPr="00831573">
        <w:rPr>
          <w:lang w:val="en-GB"/>
        </w:rPr>
        <w:t>’</w:t>
      </w:r>
      <w:r w:rsidR="00875823" w:rsidRPr="00831573">
        <w:rPr>
          <w:lang w:val="en-GB"/>
        </w:rPr>
        <w:t xml:space="preserve">s case, we firstly emphasise that although he faced being sent to prison, he was not assisted by a lawyer, a right which he clearly had under domestic law as interpreted by the Court of Appeal. According to Lord Justice Moses this procedural defect had very detrimental consequences for the ability of the applicant to be able to defend himself in any meaningful sense. We note that in </w:t>
      </w:r>
      <w:r w:rsidR="00875823" w:rsidRPr="00831573">
        <w:rPr>
          <w:i/>
          <w:lang w:val="en-GB"/>
        </w:rPr>
        <w:t>Mooren</w:t>
      </w:r>
      <w:r w:rsidR="00875823" w:rsidRPr="00831573">
        <w:rPr>
          <w:lang w:val="en-GB"/>
        </w:rPr>
        <w:t xml:space="preserve">, cited above, § 75, one of the examples given by the Grand Chamber of where a detention order might be </w:t>
      </w:r>
      <w:r w:rsidR="00875823" w:rsidRPr="00831573">
        <w:rPr>
          <w:i/>
          <w:lang w:val="en-GB"/>
        </w:rPr>
        <w:t xml:space="preserve">ex facie </w:t>
      </w:r>
      <w:r w:rsidR="00875823" w:rsidRPr="00831573">
        <w:rPr>
          <w:lang w:val="en-GB"/>
        </w:rPr>
        <w:t>invalid, due to a gross and obvious irregularity in the proceedings, is “where the interested party did not have proper notice of the hearing”. In our view, and here we fully share the characterisation given to the proceedings by the Court of Appeal, although the applicant was given notice to appear and attended the hearing, he was firstly put in an “impossible position” by having on the one hand to make representations in the contact proceedings and on the other to defend himself without any legal knowledge against the application for committal. Secondly, he was incapable, owing to his lack of legal assistance, to draw the judge</w:t>
      </w:r>
      <w:r w:rsidR="00831573" w:rsidRPr="00831573">
        <w:rPr>
          <w:lang w:val="en-GB"/>
        </w:rPr>
        <w:t>’</w:t>
      </w:r>
      <w:r w:rsidR="00875823" w:rsidRPr="00831573">
        <w:rPr>
          <w:lang w:val="en-GB"/>
        </w:rPr>
        <w:t>s attention to “material relevant to the facts of the breaches”, the actual charges upon which the committal order was based, and thirdly to make any arguments against the actual prison sentence, Lord Justice Moses characterising this phase of the proceedings as “fatally flawed”.</w:t>
      </w:r>
    </w:p>
    <w:p w:rsidR="00875823" w:rsidRPr="00831573" w:rsidRDefault="0049163D" w:rsidP="00831573">
      <w:pPr>
        <w:pStyle w:val="OpiPara"/>
        <w:rPr>
          <w:lang w:val="en-GB"/>
        </w:rPr>
      </w:pPr>
      <w:r w:rsidRPr="00831573">
        <w:rPr>
          <w:lang w:val="en-GB"/>
        </w:rPr>
        <w:t>19. </w:t>
      </w:r>
      <w:r w:rsidR="00831573" w:rsidRPr="00831573">
        <w:rPr>
          <w:lang w:val="en-GB"/>
        </w:rPr>
        <w:t> </w:t>
      </w:r>
      <w:r w:rsidR="00875823" w:rsidRPr="00831573">
        <w:rPr>
          <w:lang w:val="en-GB"/>
        </w:rPr>
        <w:t>In other words, we do not see that there is a fundamental difference between the nature, scope and consequences of these very serious procedural defects in the committal proceedings, manifested in the applicant</w:t>
      </w:r>
      <w:r w:rsidR="00831573" w:rsidRPr="00831573">
        <w:rPr>
          <w:lang w:val="en-GB"/>
        </w:rPr>
        <w:t>’</w:t>
      </w:r>
      <w:r w:rsidR="00875823" w:rsidRPr="00831573">
        <w:rPr>
          <w:lang w:val="en-GB"/>
        </w:rPr>
        <w:t>s complete lack of any meaningful ability to defend himself in the absence of a lawyer, and the Grand Chamber</w:t>
      </w:r>
      <w:r w:rsidR="00831573" w:rsidRPr="00831573">
        <w:rPr>
          <w:lang w:val="en-GB"/>
        </w:rPr>
        <w:t>’</w:t>
      </w:r>
      <w:r w:rsidR="00875823" w:rsidRPr="00831573">
        <w:rPr>
          <w:lang w:val="en-GB"/>
        </w:rPr>
        <w:t xml:space="preserve">s explicit recognition in </w:t>
      </w:r>
      <w:r w:rsidR="00875823" w:rsidRPr="00831573">
        <w:rPr>
          <w:i/>
          <w:lang w:val="en-GB"/>
        </w:rPr>
        <w:t>Mooren</w:t>
      </w:r>
      <w:r w:rsidR="00875823" w:rsidRPr="00831573">
        <w:rPr>
          <w:lang w:val="en-GB"/>
        </w:rPr>
        <w:t xml:space="preserve"> that a simple lack of notice to appear at all would constitute a gross and obvious irregularity having the effect that a detention order must be considered </w:t>
      </w:r>
      <w:r w:rsidR="00875823" w:rsidRPr="00831573">
        <w:rPr>
          <w:i/>
          <w:lang w:val="en-GB"/>
        </w:rPr>
        <w:t>ex facie</w:t>
      </w:r>
      <w:r w:rsidR="00875823" w:rsidRPr="00831573">
        <w:rPr>
          <w:lang w:val="en-GB"/>
        </w:rPr>
        <w:t xml:space="preserve"> invalid and thus not lawful for the purposes of Article</w:t>
      </w:r>
      <w:r w:rsidR="00F9688F" w:rsidRPr="00831573">
        <w:rPr>
          <w:lang w:val="en-GB"/>
        </w:rPr>
        <w:t> </w:t>
      </w:r>
      <w:r w:rsidR="00875823" w:rsidRPr="00831573">
        <w:rPr>
          <w:lang w:val="en-GB"/>
        </w:rPr>
        <w:t>5</w:t>
      </w:r>
      <w:r w:rsidR="00F9688F" w:rsidRPr="00831573">
        <w:rPr>
          <w:lang w:val="en-GB"/>
        </w:rPr>
        <w:t> </w:t>
      </w:r>
      <w:r w:rsidR="00875823" w:rsidRPr="00831573">
        <w:rPr>
          <w:lang w:val="en-GB"/>
        </w:rPr>
        <w:t>§ 1. Indeed, for the purposes of the requirements of lawfulness under this provision, and taking account of the nature of the elements to be determined under Article 5 § 1 (b), by proceeding with committing the applicant to prison without giving him any real and effective opportunity of defending himself against the committal order with the assistance of a lawyer, the procedural defects were not materially different in their overall scope and con</w:t>
      </w:r>
      <w:r w:rsidR="00875823" w:rsidRPr="00831573">
        <w:rPr>
          <w:lang w:val="en-GB"/>
        </w:rPr>
        <w:softHyphen/>
        <w:t xml:space="preserve">sequences from a situation where the applicant would have simply been committed to prison without having been </w:t>
      </w:r>
      <w:r w:rsidR="00875823" w:rsidRPr="00831573">
        <w:t>notified of the dates of the hearings</w:t>
      </w:r>
      <w:r w:rsidR="00875823" w:rsidRPr="00831573">
        <w:rPr>
          <w:lang w:val="en-GB"/>
        </w:rPr>
        <w:t>.</w:t>
      </w:r>
    </w:p>
    <w:p w:rsidR="00831573" w:rsidRPr="00831573" w:rsidRDefault="0049163D" w:rsidP="00831573">
      <w:pPr>
        <w:pStyle w:val="OpiPara"/>
        <w:rPr>
          <w:lang w:val="en-GB"/>
        </w:rPr>
      </w:pPr>
      <w:r w:rsidRPr="00831573">
        <w:rPr>
          <w:lang w:val="en-GB"/>
        </w:rPr>
        <w:t>20.</w:t>
      </w:r>
      <w:r w:rsidR="00831573" w:rsidRPr="00831573">
        <w:rPr>
          <w:lang w:val="en-GB"/>
        </w:rPr>
        <w:t>  </w:t>
      </w:r>
      <w:r w:rsidR="00875823" w:rsidRPr="00831573">
        <w:rPr>
          <w:lang w:val="en-GB"/>
        </w:rPr>
        <w:t xml:space="preserve">In sum, we conclude that the committal proceedings in the present case were so infected with manifest and grave procedural errors that the detention order must be considered to have been </w:t>
      </w:r>
      <w:r w:rsidR="00875823" w:rsidRPr="00831573">
        <w:rPr>
          <w:i/>
          <w:lang w:val="en-GB"/>
        </w:rPr>
        <w:t>ex facie</w:t>
      </w:r>
      <w:r w:rsidR="00875823" w:rsidRPr="00831573">
        <w:rPr>
          <w:lang w:val="en-GB"/>
        </w:rPr>
        <w:t xml:space="preserve"> invalid within the meaning of the Grand Chamber judgment in </w:t>
      </w:r>
      <w:r w:rsidR="00875823" w:rsidRPr="00831573">
        <w:rPr>
          <w:i/>
          <w:lang w:val="en-GB"/>
        </w:rPr>
        <w:t>Mooren</w:t>
      </w:r>
      <w:r w:rsidR="00875823" w:rsidRPr="00831573">
        <w:rPr>
          <w:lang w:val="en-GB"/>
        </w:rPr>
        <w:t>, cited above, and the applicant</w:t>
      </w:r>
      <w:r w:rsidR="00831573" w:rsidRPr="00831573">
        <w:rPr>
          <w:lang w:val="en-GB"/>
        </w:rPr>
        <w:t>’</w:t>
      </w:r>
      <w:r w:rsidR="00875823" w:rsidRPr="00831573">
        <w:rPr>
          <w:lang w:val="en-GB"/>
        </w:rPr>
        <w:t>s detention was thus not lawful under Article 5 § 1.</w:t>
      </w:r>
    </w:p>
    <w:p w:rsidR="00875823" w:rsidRPr="00831573" w:rsidRDefault="0049163D" w:rsidP="00831573">
      <w:pPr>
        <w:pStyle w:val="OpiPara"/>
        <w:rPr>
          <w:lang w:val="en-GB"/>
        </w:rPr>
      </w:pPr>
      <w:r w:rsidRPr="00831573">
        <w:rPr>
          <w:lang w:val="en-GB"/>
        </w:rPr>
        <w:t>21. </w:t>
      </w:r>
      <w:r w:rsidR="00831573" w:rsidRPr="00831573">
        <w:rPr>
          <w:lang w:val="en-GB"/>
        </w:rPr>
        <w:t> </w:t>
      </w:r>
      <w:r w:rsidR="00875823" w:rsidRPr="00831573">
        <w:rPr>
          <w:lang w:val="en-GB"/>
        </w:rPr>
        <w:t xml:space="preserve">We note that even assuming that the procedural defects in question were not considered to amount to gross and obvious irregularities under </w:t>
      </w:r>
      <w:r w:rsidR="00875823" w:rsidRPr="00831573">
        <w:rPr>
          <w:i/>
          <w:lang w:val="en-GB"/>
        </w:rPr>
        <w:t>Mooren</w:t>
      </w:r>
      <w:r w:rsidR="00875823" w:rsidRPr="00831573">
        <w:rPr>
          <w:lang w:val="en-GB"/>
        </w:rPr>
        <w:t xml:space="preserve">, it is clear in our view that the committal order cannot, in any event, survive the test of arbitrariness as formulated in </w:t>
      </w:r>
      <w:r w:rsidR="00875823" w:rsidRPr="00831573">
        <w:rPr>
          <w:i/>
          <w:lang w:val="en-GB"/>
        </w:rPr>
        <w:t>Saadi</w:t>
      </w:r>
      <w:r w:rsidR="00875823" w:rsidRPr="00831573">
        <w:rPr>
          <w:lang w:val="en-GB"/>
        </w:rPr>
        <w:t xml:space="preserve">, cited above, § 69, and confirmed in </w:t>
      </w:r>
      <w:r w:rsidR="00875823" w:rsidRPr="00831573">
        <w:rPr>
          <w:i/>
          <w:lang w:val="en-GB"/>
        </w:rPr>
        <w:t>Mooren</w:t>
      </w:r>
      <w:r w:rsidR="00875823" w:rsidRPr="00831573">
        <w:rPr>
          <w:lang w:val="en-GB"/>
        </w:rPr>
        <w:t xml:space="preserve">. We recall the principle as enunciated in </w:t>
      </w:r>
      <w:r w:rsidR="00875823" w:rsidRPr="00831573">
        <w:rPr>
          <w:i/>
          <w:lang w:val="en-GB"/>
        </w:rPr>
        <w:t>Saadi</w:t>
      </w:r>
      <w:r w:rsidR="00875823" w:rsidRPr="00831573">
        <w:rPr>
          <w:lang w:val="en-GB"/>
        </w:rPr>
        <w:t xml:space="preserve"> that “the condition that there be no arbitrariness further demands that both the order to detain and the execution of the detention must genuinely conform with the purpose of the restrictions permitted by the relevant subparagraph of Article 5 § 1”.</w:t>
      </w:r>
    </w:p>
    <w:p w:rsidR="00875823" w:rsidRPr="00831573" w:rsidRDefault="00831573" w:rsidP="00831573">
      <w:pPr>
        <w:pStyle w:val="OpiPara"/>
        <w:rPr>
          <w:lang w:val="en-GB"/>
        </w:rPr>
      </w:pPr>
      <w:r w:rsidRPr="00831573">
        <w:rPr>
          <w:lang w:val="en-GB"/>
        </w:rPr>
        <w:t>22.  </w:t>
      </w:r>
      <w:r w:rsidR="00875823" w:rsidRPr="00831573">
        <w:rPr>
          <w:lang w:val="en-GB"/>
        </w:rPr>
        <w:t>Applying this test of arbitrariness in the context of Article 5 § 1 (b) to the facts of the present case, it suffices, in our view, to recall that in the appeal proceedings against the contempt finding, the Court of Appeal found that the family court judge had “paid no heed to the purpose of punishment in contempt proceedings” and the sentencing phase had thus been “fatally flawed”. That finding at domestic level is, for present purposes, decisive for us in also con</w:t>
      </w:r>
      <w:r w:rsidR="00875823" w:rsidRPr="00831573">
        <w:rPr>
          <w:lang w:val="en-GB"/>
        </w:rPr>
        <w:softHyphen/>
        <w:t>cluding that the Government have not convincingly demonstrated that the order to detain the applicant, Mr Hammerton, genuinely conformed with the purpose of Article 5 § 1 (b) to secure compliance with the lawful order of a court.</w:t>
      </w:r>
    </w:p>
    <w:p w:rsidR="00B75248" w:rsidRPr="00831573" w:rsidRDefault="00B75248" w:rsidP="00831573">
      <w:pPr>
        <w:pStyle w:val="OpiPara"/>
        <w:rPr>
          <w:lang w:val="en-GB"/>
        </w:rPr>
      </w:pPr>
    </w:p>
    <w:sectPr w:rsidR="00B75248" w:rsidRPr="00831573" w:rsidSect="00875823">
      <w:headerReference w:type="default" r:id="rId13"/>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3D" w:rsidRDefault="0049163D" w:rsidP="00014566">
      <w:r>
        <w:separator/>
      </w:r>
    </w:p>
  </w:endnote>
  <w:endnote w:type="continuationSeparator" w:id="0">
    <w:p w:rsidR="0049163D" w:rsidRDefault="0049163D"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150BFA" w:rsidRDefault="0049163D" w:rsidP="00874BD6">
    <w:pPr>
      <w:jc w:val="center"/>
    </w:pPr>
    <w:r>
      <w:rPr>
        <w:noProof/>
        <w:lang w:eastAsia="ja-JP"/>
      </w:rPr>
      <w:drawing>
        <wp:inline distT="0" distB="0" distL="0" distR="0" wp14:anchorId="6485AFCE" wp14:editId="77B654D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9163D" w:rsidRDefault="0049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3D" w:rsidRDefault="0049163D" w:rsidP="00014566">
      <w:r>
        <w:separator/>
      </w:r>
    </w:p>
  </w:footnote>
  <w:footnote w:type="continuationSeparator" w:id="0">
    <w:p w:rsidR="0049163D" w:rsidRDefault="0049163D"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F87D13" w:rsidRDefault="0049163D" w:rsidP="00F87D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A45145" w:rsidRDefault="0049163D" w:rsidP="00874BD6">
    <w:pPr>
      <w:jc w:val="center"/>
    </w:pPr>
    <w:r>
      <w:rPr>
        <w:noProof/>
        <w:lang w:eastAsia="ja-JP"/>
      </w:rPr>
      <w:drawing>
        <wp:inline distT="0" distB="0" distL="0" distR="0" wp14:anchorId="2FD0FB6E" wp14:editId="7F4A680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9163D" w:rsidRDefault="00491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FF2306" w:rsidRDefault="0049163D"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831573">
      <w:rPr>
        <w:rStyle w:val="PageNumber"/>
        <w:noProof/>
        <w:szCs w:val="18"/>
      </w:rPr>
      <w:t>14</w:t>
    </w:r>
    <w:r>
      <w:rPr>
        <w:rStyle w:val="PageNumber"/>
        <w:szCs w:val="18"/>
      </w:rPr>
      <w:fldChar w:fldCharType="end"/>
    </w:r>
    <w:r w:rsidRPr="00FF2306">
      <w:tab/>
    </w:r>
    <w:r w:rsidRPr="0011115E">
      <w:t>HAMMERTON</w:t>
    </w:r>
    <w:r>
      <w:t xml:space="preserve"> v. </w:t>
    </w:r>
    <w:r w:rsidRPr="0011115E">
      <w:t>THE UNITED KINGDOM</w:t>
    </w:r>
    <w:r w:rsidRPr="00FF2306">
      <w:t xml:space="preserve"> </w:t>
    </w:r>
    <w:r>
      <w:t>JUDGMENT – SEPARATE OPINION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D60D87" w:rsidRDefault="0049163D" w:rsidP="00D60D87">
    <w:pPr>
      <w:pStyle w:val="ECHRHeader"/>
    </w:pPr>
    <w:r w:rsidRPr="00D60D87">
      <w:tab/>
    </w:r>
    <w:r w:rsidRPr="0011115E">
      <w:t>HAMMERTON</w:t>
    </w:r>
    <w:r>
      <w:t xml:space="preserve"> v. </w:t>
    </w:r>
    <w:r w:rsidRPr="0011115E">
      <w:t>THE UNITED KINGDOM</w:t>
    </w:r>
    <w:r w:rsidRPr="00D60D87">
      <w:t xml:space="preserve"> </w:t>
    </w:r>
    <w:r>
      <w:t>JUDGMENT</w:t>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sidR="00831573">
      <w:rPr>
        <w:rStyle w:val="PageNumber"/>
        <w:noProof/>
        <w:szCs w:val="18"/>
      </w:rPr>
      <w:t>13</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D" w:rsidRPr="00D60D87" w:rsidRDefault="0049163D" w:rsidP="00D60D87">
    <w:pPr>
      <w:pStyle w:val="ECHRHeader"/>
    </w:pPr>
    <w:r w:rsidRPr="00D60D87">
      <w:tab/>
    </w:r>
    <w:r w:rsidRPr="0011115E">
      <w:t>HAMMERTON</w:t>
    </w:r>
    <w:r>
      <w:t xml:space="preserve"> v. </w:t>
    </w:r>
    <w:r w:rsidRPr="0011115E">
      <w:t>THE UNITED KINGDOM</w:t>
    </w:r>
    <w:r w:rsidRPr="00D60D87">
      <w:t xml:space="preserve"> </w:t>
    </w:r>
    <w:r>
      <w:t>JUDGMENT – SEPARATE OPINION</w:t>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sidR="00831573">
      <w:rPr>
        <w:rStyle w:val="PageNumber"/>
        <w:noProof/>
        <w:szCs w:val="18"/>
      </w:rPr>
      <w:t>39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16838"/>
    <w:rsid w:val="00003442"/>
    <w:rsid w:val="000034C0"/>
    <w:rsid w:val="000041F8"/>
    <w:rsid w:val="000042A8"/>
    <w:rsid w:val="00004308"/>
    <w:rsid w:val="00004DC4"/>
    <w:rsid w:val="000051FA"/>
    <w:rsid w:val="00005BF0"/>
    <w:rsid w:val="00007154"/>
    <w:rsid w:val="000103AE"/>
    <w:rsid w:val="00011D69"/>
    <w:rsid w:val="00011FFB"/>
    <w:rsid w:val="00012AD3"/>
    <w:rsid w:val="00013A12"/>
    <w:rsid w:val="000142A1"/>
    <w:rsid w:val="00014566"/>
    <w:rsid w:val="00015C2D"/>
    <w:rsid w:val="00015F00"/>
    <w:rsid w:val="00016877"/>
    <w:rsid w:val="0001738C"/>
    <w:rsid w:val="00021E1C"/>
    <w:rsid w:val="00022C1D"/>
    <w:rsid w:val="000261ED"/>
    <w:rsid w:val="00027DCB"/>
    <w:rsid w:val="00034987"/>
    <w:rsid w:val="00035B28"/>
    <w:rsid w:val="0004328F"/>
    <w:rsid w:val="00043788"/>
    <w:rsid w:val="000461EF"/>
    <w:rsid w:val="00047ABE"/>
    <w:rsid w:val="000510D7"/>
    <w:rsid w:val="000512AD"/>
    <w:rsid w:val="00053470"/>
    <w:rsid w:val="000602DF"/>
    <w:rsid w:val="00061119"/>
    <w:rsid w:val="00061B05"/>
    <w:rsid w:val="00062973"/>
    <w:rsid w:val="00062CB2"/>
    <w:rsid w:val="00062D5D"/>
    <w:rsid w:val="000632D5"/>
    <w:rsid w:val="00063ECA"/>
    <w:rsid w:val="000644EE"/>
    <w:rsid w:val="000654F3"/>
    <w:rsid w:val="00071297"/>
    <w:rsid w:val="000716BB"/>
    <w:rsid w:val="00072006"/>
    <w:rsid w:val="0007267E"/>
    <w:rsid w:val="00072696"/>
    <w:rsid w:val="000736FF"/>
    <w:rsid w:val="00073972"/>
    <w:rsid w:val="00073CE2"/>
    <w:rsid w:val="0007409C"/>
    <w:rsid w:val="00074C50"/>
    <w:rsid w:val="00074CAB"/>
    <w:rsid w:val="000819CF"/>
    <w:rsid w:val="0009182A"/>
    <w:rsid w:val="00091A72"/>
    <w:rsid w:val="00092521"/>
    <w:rsid w:val="000925AD"/>
    <w:rsid w:val="00093086"/>
    <w:rsid w:val="00093E41"/>
    <w:rsid w:val="00093E4B"/>
    <w:rsid w:val="000A0A66"/>
    <w:rsid w:val="000A24EB"/>
    <w:rsid w:val="000A2F74"/>
    <w:rsid w:val="000A3558"/>
    <w:rsid w:val="000B3416"/>
    <w:rsid w:val="000B46D8"/>
    <w:rsid w:val="000B5130"/>
    <w:rsid w:val="000B5E8B"/>
    <w:rsid w:val="000B6923"/>
    <w:rsid w:val="000B703C"/>
    <w:rsid w:val="000C033C"/>
    <w:rsid w:val="000C1571"/>
    <w:rsid w:val="000C5432"/>
    <w:rsid w:val="000C5F3C"/>
    <w:rsid w:val="000C6DCC"/>
    <w:rsid w:val="000C6FD3"/>
    <w:rsid w:val="000D1206"/>
    <w:rsid w:val="000D1D51"/>
    <w:rsid w:val="000D47AA"/>
    <w:rsid w:val="000D6ECF"/>
    <w:rsid w:val="000D721F"/>
    <w:rsid w:val="000E069B"/>
    <w:rsid w:val="000E09A8"/>
    <w:rsid w:val="000E0E82"/>
    <w:rsid w:val="000E141B"/>
    <w:rsid w:val="000E1DC5"/>
    <w:rsid w:val="000E223F"/>
    <w:rsid w:val="000E6CA9"/>
    <w:rsid w:val="000E7D45"/>
    <w:rsid w:val="000F2858"/>
    <w:rsid w:val="000F4402"/>
    <w:rsid w:val="000F485B"/>
    <w:rsid w:val="000F49BF"/>
    <w:rsid w:val="000F4FBD"/>
    <w:rsid w:val="000F6C50"/>
    <w:rsid w:val="000F6DE3"/>
    <w:rsid w:val="000F7851"/>
    <w:rsid w:val="00100FA6"/>
    <w:rsid w:val="00102965"/>
    <w:rsid w:val="00104E23"/>
    <w:rsid w:val="00106C3B"/>
    <w:rsid w:val="0011115E"/>
    <w:rsid w:val="00111B0C"/>
    <w:rsid w:val="00116DB3"/>
    <w:rsid w:val="0011797F"/>
    <w:rsid w:val="00120D6C"/>
    <w:rsid w:val="00121CC6"/>
    <w:rsid w:val="00122A16"/>
    <w:rsid w:val="001257EC"/>
    <w:rsid w:val="00131220"/>
    <w:rsid w:val="001313A9"/>
    <w:rsid w:val="00131FB6"/>
    <w:rsid w:val="00132C6A"/>
    <w:rsid w:val="00133D33"/>
    <w:rsid w:val="00134D64"/>
    <w:rsid w:val="00135A30"/>
    <w:rsid w:val="0013612C"/>
    <w:rsid w:val="00136A02"/>
    <w:rsid w:val="00136BB4"/>
    <w:rsid w:val="00137338"/>
    <w:rsid w:val="00137FF6"/>
    <w:rsid w:val="00141650"/>
    <w:rsid w:val="00144CBA"/>
    <w:rsid w:val="00145A74"/>
    <w:rsid w:val="00146F13"/>
    <w:rsid w:val="00151F5E"/>
    <w:rsid w:val="001542AF"/>
    <w:rsid w:val="00155228"/>
    <w:rsid w:val="0015629C"/>
    <w:rsid w:val="00160667"/>
    <w:rsid w:val="00162A12"/>
    <w:rsid w:val="00165E6C"/>
    <w:rsid w:val="00166530"/>
    <w:rsid w:val="00171CAE"/>
    <w:rsid w:val="00171EE4"/>
    <w:rsid w:val="001832BD"/>
    <w:rsid w:val="00184E51"/>
    <w:rsid w:val="00184F98"/>
    <w:rsid w:val="001860EF"/>
    <w:rsid w:val="00190BF6"/>
    <w:rsid w:val="00194175"/>
    <w:rsid w:val="001943B5"/>
    <w:rsid w:val="00195134"/>
    <w:rsid w:val="001A145B"/>
    <w:rsid w:val="001A4F9C"/>
    <w:rsid w:val="001A63AE"/>
    <w:rsid w:val="001A674C"/>
    <w:rsid w:val="001B1DEE"/>
    <w:rsid w:val="001B3135"/>
    <w:rsid w:val="001B3B24"/>
    <w:rsid w:val="001B4F44"/>
    <w:rsid w:val="001C0F98"/>
    <w:rsid w:val="001C2A42"/>
    <w:rsid w:val="001C6E98"/>
    <w:rsid w:val="001C77D7"/>
    <w:rsid w:val="001D54B8"/>
    <w:rsid w:val="001D5CA8"/>
    <w:rsid w:val="001D63ED"/>
    <w:rsid w:val="001D7348"/>
    <w:rsid w:val="001D74D2"/>
    <w:rsid w:val="001D7DE0"/>
    <w:rsid w:val="001E035B"/>
    <w:rsid w:val="001E0961"/>
    <w:rsid w:val="001E3509"/>
    <w:rsid w:val="001E3EAE"/>
    <w:rsid w:val="001E52B1"/>
    <w:rsid w:val="001E6F32"/>
    <w:rsid w:val="001F2145"/>
    <w:rsid w:val="001F3886"/>
    <w:rsid w:val="001F3E10"/>
    <w:rsid w:val="001F4E76"/>
    <w:rsid w:val="001F6262"/>
    <w:rsid w:val="001F67B0"/>
    <w:rsid w:val="001F73BF"/>
    <w:rsid w:val="001F7B3D"/>
    <w:rsid w:val="002002A7"/>
    <w:rsid w:val="00200B1A"/>
    <w:rsid w:val="002014BA"/>
    <w:rsid w:val="00202FC0"/>
    <w:rsid w:val="00205F6F"/>
    <w:rsid w:val="00205F9F"/>
    <w:rsid w:val="00206520"/>
    <w:rsid w:val="0020654C"/>
    <w:rsid w:val="00206C51"/>
    <w:rsid w:val="00210338"/>
    <w:rsid w:val="00210473"/>
    <w:rsid w:val="002115FC"/>
    <w:rsid w:val="002133F8"/>
    <w:rsid w:val="002138B5"/>
    <w:rsid w:val="0021423C"/>
    <w:rsid w:val="00216E58"/>
    <w:rsid w:val="00220F1D"/>
    <w:rsid w:val="00230A57"/>
    <w:rsid w:val="00230D00"/>
    <w:rsid w:val="0023173D"/>
    <w:rsid w:val="00231DF7"/>
    <w:rsid w:val="00231FD1"/>
    <w:rsid w:val="002339E0"/>
    <w:rsid w:val="00233CF8"/>
    <w:rsid w:val="0023451A"/>
    <w:rsid w:val="0023498B"/>
    <w:rsid w:val="0023575D"/>
    <w:rsid w:val="00235AEF"/>
    <w:rsid w:val="0023626B"/>
    <w:rsid w:val="00237148"/>
    <w:rsid w:val="00241FC7"/>
    <w:rsid w:val="0024222D"/>
    <w:rsid w:val="002426AF"/>
    <w:rsid w:val="0024367C"/>
    <w:rsid w:val="00244B0E"/>
    <w:rsid w:val="00244F6C"/>
    <w:rsid w:val="0024798C"/>
    <w:rsid w:val="00250A09"/>
    <w:rsid w:val="00251B99"/>
    <w:rsid w:val="00252242"/>
    <w:rsid w:val="002522A2"/>
    <w:rsid w:val="002532C5"/>
    <w:rsid w:val="00255586"/>
    <w:rsid w:val="00255E8F"/>
    <w:rsid w:val="00256748"/>
    <w:rsid w:val="00256EE3"/>
    <w:rsid w:val="00260C03"/>
    <w:rsid w:val="00262BE1"/>
    <w:rsid w:val="00262CCB"/>
    <w:rsid w:val="0026540E"/>
    <w:rsid w:val="00267F56"/>
    <w:rsid w:val="00272223"/>
    <w:rsid w:val="0027473C"/>
    <w:rsid w:val="00275123"/>
    <w:rsid w:val="00275661"/>
    <w:rsid w:val="0027643D"/>
    <w:rsid w:val="00276C30"/>
    <w:rsid w:val="00282240"/>
    <w:rsid w:val="00283E0B"/>
    <w:rsid w:val="0028572A"/>
    <w:rsid w:val="00291F45"/>
    <w:rsid w:val="002947CF"/>
    <w:rsid w:val="002948AD"/>
    <w:rsid w:val="00294C92"/>
    <w:rsid w:val="00297BE5"/>
    <w:rsid w:val="002A01CC"/>
    <w:rsid w:val="002A1E0B"/>
    <w:rsid w:val="002A3F6F"/>
    <w:rsid w:val="002A53FD"/>
    <w:rsid w:val="002A61B1"/>
    <w:rsid w:val="002A663C"/>
    <w:rsid w:val="002B3045"/>
    <w:rsid w:val="002B4402"/>
    <w:rsid w:val="002B444B"/>
    <w:rsid w:val="002B49F5"/>
    <w:rsid w:val="002B5887"/>
    <w:rsid w:val="002B6CFD"/>
    <w:rsid w:val="002B7D00"/>
    <w:rsid w:val="002C0692"/>
    <w:rsid w:val="002C0E27"/>
    <w:rsid w:val="002C2420"/>
    <w:rsid w:val="002C2D58"/>
    <w:rsid w:val="002C3040"/>
    <w:rsid w:val="002C3D10"/>
    <w:rsid w:val="002C6517"/>
    <w:rsid w:val="002C725F"/>
    <w:rsid w:val="002D022D"/>
    <w:rsid w:val="002D0EFF"/>
    <w:rsid w:val="002D24BB"/>
    <w:rsid w:val="002D3073"/>
    <w:rsid w:val="002D3454"/>
    <w:rsid w:val="002D68F2"/>
    <w:rsid w:val="002D7A6D"/>
    <w:rsid w:val="002D7AD3"/>
    <w:rsid w:val="002E0050"/>
    <w:rsid w:val="002E03AA"/>
    <w:rsid w:val="002E09D4"/>
    <w:rsid w:val="002E3155"/>
    <w:rsid w:val="002E6252"/>
    <w:rsid w:val="002E6924"/>
    <w:rsid w:val="002F2AF7"/>
    <w:rsid w:val="002F2F46"/>
    <w:rsid w:val="002F488D"/>
    <w:rsid w:val="002F548E"/>
    <w:rsid w:val="002F7174"/>
    <w:rsid w:val="002F7E1C"/>
    <w:rsid w:val="0030063D"/>
    <w:rsid w:val="00301A75"/>
    <w:rsid w:val="00301D9C"/>
    <w:rsid w:val="00302F70"/>
    <w:rsid w:val="0030336F"/>
    <w:rsid w:val="003033FA"/>
    <w:rsid w:val="0030375E"/>
    <w:rsid w:val="00303A7F"/>
    <w:rsid w:val="0031102B"/>
    <w:rsid w:val="00312863"/>
    <w:rsid w:val="00312A30"/>
    <w:rsid w:val="00316838"/>
    <w:rsid w:val="00316CC2"/>
    <w:rsid w:val="003178B9"/>
    <w:rsid w:val="00317D63"/>
    <w:rsid w:val="003204A0"/>
    <w:rsid w:val="00320B1C"/>
    <w:rsid w:val="00320F72"/>
    <w:rsid w:val="003217F7"/>
    <w:rsid w:val="0032242C"/>
    <w:rsid w:val="0032463E"/>
    <w:rsid w:val="00325B43"/>
    <w:rsid w:val="00326224"/>
    <w:rsid w:val="003266F1"/>
    <w:rsid w:val="003276A1"/>
    <w:rsid w:val="003279AA"/>
    <w:rsid w:val="00330BD6"/>
    <w:rsid w:val="00332E66"/>
    <w:rsid w:val="00332F79"/>
    <w:rsid w:val="0033323A"/>
    <w:rsid w:val="0033384C"/>
    <w:rsid w:val="00335FCD"/>
    <w:rsid w:val="00336750"/>
    <w:rsid w:val="003375DF"/>
    <w:rsid w:val="00337EE4"/>
    <w:rsid w:val="00340CA7"/>
    <w:rsid w:val="00340FFD"/>
    <w:rsid w:val="00341CD7"/>
    <w:rsid w:val="00342679"/>
    <w:rsid w:val="0034331A"/>
    <w:rsid w:val="003506B1"/>
    <w:rsid w:val="003525A4"/>
    <w:rsid w:val="00353556"/>
    <w:rsid w:val="00353D1B"/>
    <w:rsid w:val="00354EC3"/>
    <w:rsid w:val="00356AC7"/>
    <w:rsid w:val="003609FA"/>
    <w:rsid w:val="003616A1"/>
    <w:rsid w:val="00367023"/>
    <w:rsid w:val="00367D84"/>
    <w:rsid w:val="00370E00"/>
    <w:rsid w:val="003710C8"/>
    <w:rsid w:val="003750BE"/>
    <w:rsid w:val="00376F2C"/>
    <w:rsid w:val="00377531"/>
    <w:rsid w:val="00377CD4"/>
    <w:rsid w:val="0038049E"/>
    <w:rsid w:val="003814CC"/>
    <w:rsid w:val="0038347D"/>
    <w:rsid w:val="00383FBF"/>
    <w:rsid w:val="00387081"/>
    <w:rsid w:val="00387B9D"/>
    <w:rsid w:val="0039364F"/>
    <w:rsid w:val="00396686"/>
    <w:rsid w:val="0039778E"/>
    <w:rsid w:val="003A0D39"/>
    <w:rsid w:val="003A312C"/>
    <w:rsid w:val="003A37A0"/>
    <w:rsid w:val="003A4072"/>
    <w:rsid w:val="003A4B27"/>
    <w:rsid w:val="003A546D"/>
    <w:rsid w:val="003B14B8"/>
    <w:rsid w:val="003B2FAF"/>
    <w:rsid w:val="003B4941"/>
    <w:rsid w:val="003B6AF1"/>
    <w:rsid w:val="003B6EFD"/>
    <w:rsid w:val="003C0C13"/>
    <w:rsid w:val="003C123B"/>
    <w:rsid w:val="003C29FD"/>
    <w:rsid w:val="003C5714"/>
    <w:rsid w:val="003C6B9F"/>
    <w:rsid w:val="003C6E2A"/>
    <w:rsid w:val="003D0299"/>
    <w:rsid w:val="003D2D42"/>
    <w:rsid w:val="003D66D4"/>
    <w:rsid w:val="003D7F2B"/>
    <w:rsid w:val="003E518E"/>
    <w:rsid w:val="003E6D80"/>
    <w:rsid w:val="003F05FA"/>
    <w:rsid w:val="003F1AE8"/>
    <w:rsid w:val="003F244A"/>
    <w:rsid w:val="003F30B8"/>
    <w:rsid w:val="003F3B72"/>
    <w:rsid w:val="003F4C45"/>
    <w:rsid w:val="003F5864"/>
    <w:rsid w:val="003F5F7B"/>
    <w:rsid w:val="003F7D64"/>
    <w:rsid w:val="00401D2D"/>
    <w:rsid w:val="00401E68"/>
    <w:rsid w:val="00402779"/>
    <w:rsid w:val="00404397"/>
    <w:rsid w:val="004077B0"/>
    <w:rsid w:val="00407DF3"/>
    <w:rsid w:val="0041150B"/>
    <w:rsid w:val="004138F6"/>
    <w:rsid w:val="00414300"/>
    <w:rsid w:val="004220F8"/>
    <w:rsid w:val="00424595"/>
    <w:rsid w:val="00425C67"/>
    <w:rsid w:val="00425D5E"/>
    <w:rsid w:val="00426AD8"/>
    <w:rsid w:val="00427772"/>
    <w:rsid w:val="00427E7A"/>
    <w:rsid w:val="00430384"/>
    <w:rsid w:val="00430449"/>
    <w:rsid w:val="00430882"/>
    <w:rsid w:val="00432343"/>
    <w:rsid w:val="0043368B"/>
    <w:rsid w:val="00433887"/>
    <w:rsid w:val="00434924"/>
    <w:rsid w:val="004361D5"/>
    <w:rsid w:val="00436307"/>
    <w:rsid w:val="00436C49"/>
    <w:rsid w:val="004376E3"/>
    <w:rsid w:val="00442CEC"/>
    <w:rsid w:val="00444A84"/>
    <w:rsid w:val="00445366"/>
    <w:rsid w:val="004455C6"/>
    <w:rsid w:val="004459FA"/>
    <w:rsid w:val="00445FF2"/>
    <w:rsid w:val="00447F5B"/>
    <w:rsid w:val="004501C5"/>
    <w:rsid w:val="00450409"/>
    <w:rsid w:val="00450CA7"/>
    <w:rsid w:val="00451FF9"/>
    <w:rsid w:val="004522EA"/>
    <w:rsid w:val="004565B7"/>
    <w:rsid w:val="00461DB0"/>
    <w:rsid w:val="00463123"/>
    <w:rsid w:val="0046375A"/>
    <w:rsid w:val="00463926"/>
    <w:rsid w:val="004646E0"/>
    <w:rsid w:val="00464C9A"/>
    <w:rsid w:val="004652EA"/>
    <w:rsid w:val="00466A7C"/>
    <w:rsid w:val="00474F3D"/>
    <w:rsid w:val="00475C6D"/>
    <w:rsid w:val="00476FCA"/>
    <w:rsid w:val="00477E3A"/>
    <w:rsid w:val="00482B85"/>
    <w:rsid w:val="00482C3C"/>
    <w:rsid w:val="00482F3B"/>
    <w:rsid w:val="004837C4"/>
    <w:rsid w:val="00483E5F"/>
    <w:rsid w:val="00485FF9"/>
    <w:rsid w:val="00486C60"/>
    <w:rsid w:val="004907F0"/>
    <w:rsid w:val="0049140B"/>
    <w:rsid w:val="0049163D"/>
    <w:rsid w:val="004923A5"/>
    <w:rsid w:val="00492C34"/>
    <w:rsid w:val="00494835"/>
    <w:rsid w:val="00495E94"/>
    <w:rsid w:val="00496BFB"/>
    <w:rsid w:val="0049799D"/>
    <w:rsid w:val="004A0264"/>
    <w:rsid w:val="004A046C"/>
    <w:rsid w:val="004A0493"/>
    <w:rsid w:val="004A0DCD"/>
    <w:rsid w:val="004A15C7"/>
    <w:rsid w:val="004A26EE"/>
    <w:rsid w:val="004A60F3"/>
    <w:rsid w:val="004A7A36"/>
    <w:rsid w:val="004B013B"/>
    <w:rsid w:val="004B112B"/>
    <w:rsid w:val="004B4D91"/>
    <w:rsid w:val="004B6B6E"/>
    <w:rsid w:val="004B7139"/>
    <w:rsid w:val="004B771D"/>
    <w:rsid w:val="004C01E4"/>
    <w:rsid w:val="004C086C"/>
    <w:rsid w:val="004C1F56"/>
    <w:rsid w:val="004C27BC"/>
    <w:rsid w:val="004C36DD"/>
    <w:rsid w:val="004C5360"/>
    <w:rsid w:val="004C58FF"/>
    <w:rsid w:val="004C74FC"/>
    <w:rsid w:val="004D15F3"/>
    <w:rsid w:val="004D448E"/>
    <w:rsid w:val="004D5311"/>
    <w:rsid w:val="004D5DCC"/>
    <w:rsid w:val="004D6654"/>
    <w:rsid w:val="004D7FC4"/>
    <w:rsid w:val="004E0285"/>
    <w:rsid w:val="004E197E"/>
    <w:rsid w:val="004E284D"/>
    <w:rsid w:val="004E3A32"/>
    <w:rsid w:val="004E494A"/>
    <w:rsid w:val="004E556C"/>
    <w:rsid w:val="004E55DA"/>
    <w:rsid w:val="004E5ED4"/>
    <w:rsid w:val="004E7413"/>
    <w:rsid w:val="004E7861"/>
    <w:rsid w:val="004F10AF"/>
    <w:rsid w:val="004F11A4"/>
    <w:rsid w:val="004F2389"/>
    <w:rsid w:val="004F304D"/>
    <w:rsid w:val="004F4DEE"/>
    <w:rsid w:val="004F61BE"/>
    <w:rsid w:val="004F65F9"/>
    <w:rsid w:val="004F66B1"/>
    <w:rsid w:val="005047E2"/>
    <w:rsid w:val="00507E28"/>
    <w:rsid w:val="00511471"/>
    <w:rsid w:val="00511C07"/>
    <w:rsid w:val="005121F1"/>
    <w:rsid w:val="005133A2"/>
    <w:rsid w:val="00513E1D"/>
    <w:rsid w:val="00516A18"/>
    <w:rsid w:val="005173A6"/>
    <w:rsid w:val="00520BAA"/>
    <w:rsid w:val="00522854"/>
    <w:rsid w:val="00523677"/>
    <w:rsid w:val="00524651"/>
    <w:rsid w:val="00525208"/>
    <w:rsid w:val="005257A5"/>
    <w:rsid w:val="005264C0"/>
    <w:rsid w:val="00526A8A"/>
    <w:rsid w:val="00531DF2"/>
    <w:rsid w:val="00533831"/>
    <w:rsid w:val="00533E8D"/>
    <w:rsid w:val="00535D16"/>
    <w:rsid w:val="00537F89"/>
    <w:rsid w:val="005442EE"/>
    <w:rsid w:val="0054545D"/>
    <w:rsid w:val="00547353"/>
    <w:rsid w:val="005474E7"/>
    <w:rsid w:val="00550E86"/>
    <w:rsid w:val="005512A3"/>
    <w:rsid w:val="005530C8"/>
    <w:rsid w:val="00554F6C"/>
    <w:rsid w:val="00555594"/>
    <w:rsid w:val="005578CE"/>
    <w:rsid w:val="005605C6"/>
    <w:rsid w:val="00562781"/>
    <w:rsid w:val="00563E83"/>
    <w:rsid w:val="005669FF"/>
    <w:rsid w:val="0057271C"/>
    <w:rsid w:val="00572845"/>
    <w:rsid w:val="00572FF6"/>
    <w:rsid w:val="00574CB5"/>
    <w:rsid w:val="00575EBD"/>
    <w:rsid w:val="00581020"/>
    <w:rsid w:val="0058128C"/>
    <w:rsid w:val="005813EB"/>
    <w:rsid w:val="005819E2"/>
    <w:rsid w:val="0059021E"/>
    <w:rsid w:val="00592772"/>
    <w:rsid w:val="00592958"/>
    <w:rsid w:val="0059574A"/>
    <w:rsid w:val="005A191A"/>
    <w:rsid w:val="005A1B9B"/>
    <w:rsid w:val="005A25FC"/>
    <w:rsid w:val="005A6751"/>
    <w:rsid w:val="005A712A"/>
    <w:rsid w:val="005A7C2A"/>
    <w:rsid w:val="005B092E"/>
    <w:rsid w:val="005B152C"/>
    <w:rsid w:val="005B1EE0"/>
    <w:rsid w:val="005B274B"/>
    <w:rsid w:val="005B2B24"/>
    <w:rsid w:val="005B2C6B"/>
    <w:rsid w:val="005B3314"/>
    <w:rsid w:val="005B4425"/>
    <w:rsid w:val="005B4B94"/>
    <w:rsid w:val="005B543B"/>
    <w:rsid w:val="005C0ACA"/>
    <w:rsid w:val="005C1594"/>
    <w:rsid w:val="005C3EE8"/>
    <w:rsid w:val="005C5113"/>
    <w:rsid w:val="005D1184"/>
    <w:rsid w:val="005D2723"/>
    <w:rsid w:val="005D34F9"/>
    <w:rsid w:val="005D3B4E"/>
    <w:rsid w:val="005D3F82"/>
    <w:rsid w:val="005D4190"/>
    <w:rsid w:val="005D4C06"/>
    <w:rsid w:val="005D67A3"/>
    <w:rsid w:val="005D7783"/>
    <w:rsid w:val="005E268F"/>
    <w:rsid w:val="005E2988"/>
    <w:rsid w:val="005E2A43"/>
    <w:rsid w:val="005E2BE1"/>
    <w:rsid w:val="005E3085"/>
    <w:rsid w:val="005E33AE"/>
    <w:rsid w:val="005E65BD"/>
    <w:rsid w:val="005E7CB6"/>
    <w:rsid w:val="005F0CCA"/>
    <w:rsid w:val="005F25B9"/>
    <w:rsid w:val="005F2A6A"/>
    <w:rsid w:val="005F478C"/>
    <w:rsid w:val="005F47E2"/>
    <w:rsid w:val="005F51E1"/>
    <w:rsid w:val="005F5BBE"/>
    <w:rsid w:val="005F6DAF"/>
    <w:rsid w:val="0060032D"/>
    <w:rsid w:val="00604DF6"/>
    <w:rsid w:val="00610115"/>
    <w:rsid w:val="0061068D"/>
    <w:rsid w:val="00611B49"/>
    <w:rsid w:val="00611C80"/>
    <w:rsid w:val="00613062"/>
    <w:rsid w:val="006132B2"/>
    <w:rsid w:val="0061781B"/>
    <w:rsid w:val="00617996"/>
    <w:rsid w:val="00620692"/>
    <w:rsid w:val="00620FE3"/>
    <w:rsid w:val="00622F8C"/>
    <w:rsid w:val="006242CA"/>
    <w:rsid w:val="0062590F"/>
    <w:rsid w:val="00627507"/>
    <w:rsid w:val="0063015D"/>
    <w:rsid w:val="006307CE"/>
    <w:rsid w:val="00632955"/>
    <w:rsid w:val="00633717"/>
    <w:rsid w:val="00633911"/>
    <w:rsid w:val="00634452"/>
    <w:rsid w:val="006344E1"/>
    <w:rsid w:val="0063643F"/>
    <w:rsid w:val="00640154"/>
    <w:rsid w:val="006410AC"/>
    <w:rsid w:val="00651C66"/>
    <w:rsid w:val="00652EB2"/>
    <w:rsid w:val="006530E3"/>
    <w:rsid w:val="00653C7C"/>
    <w:rsid w:val="006545C4"/>
    <w:rsid w:val="00661036"/>
    <w:rsid w:val="00661971"/>
    <w:rsid w:val="00661CE8"/>
    <w:rsid w:val="00661E03"/>
    <w:rsid w:val="006623D9"/>
    <w:rsid w:val="00662BA9"/>
    <w:rsid w:val="00662D01"/>
    <w:rsid w:val="00663199"/>
    <w:rsid w:val="0066550C"/>
    <w:rsid w:val="0066672C"/>
    <w:rsid w:val="00667CCE"/>
    <w:rsid w:val="0067018C"/>
    <w:rsid w:val="006716F2"/>
    <w:rsid w:val="006724DF"/>
    <w:rsid w:val="00673506"/>
    <w:rsid w:val="00674947"/>
    <w:rsid w:val="00682BF2"/>
    <w:rsid w:val="006851D9"/>
    <w:rsid w:val="006859CE"/>
    <w:rsid w:val="006867DE"/>
    <w:rsid w:val="00686D8D"/>
    <w:rsid w:val="0069028C"/>
    <w:rsid w:val="00690DD5"/>
    <w:rsid w:val="00691270"/>
    <w:rsid w:val="0069198B"/>
    <w:rsid w:val="006920CF"/>
    <w:rsid w:val="00692B08"/>
    <w:rsid w:val="00692C9C"/>
    <w:rsid w:val="00694BA8"/>
    <w:rsid w:val="006A037C"/>
    <w:rsid w:val="006A279A"/>
    <w:rsid w:val="006A36F4"/>
    <w:rsid w:val="006A406F"/>
    <w:rsid w:val="006A4CD8"/>
    <w:rsid w:val="006A5D3A"/>
    <w:rsid w:val="006A7C9F"/>
    <w:rsid w:val="006B25A2"/>
    <w:rsid w:val="006B44B8"/>
    <w:rsid w:val="006B61EE"/>
    <w:rsid w:val="006B6FAD"/>
    <w:rsid w:val="006B7DA9"/>
    <w:rsid w:val="006B7E59"/>
    <w:rsid w:val="006C23D4"/>
    <w:rsid w:val="006C2528"/>
    <w:rsid w:val="006C2CA0"/>
    <w:rsid w:val="006C63CF"/>
    <w:rsid w:val="006C6BFD"/>
    <w:rsid w:val="006C7BB0"/>
    <w:rsid w:val="006D28DB"/>
    <w:rsid w:val="006D3237"/>
    <w:rsid w:val="006D6ABE"/>
    <w:rsid w:val="006E1F08"/>
    <w:rsid w:val="006E2E37"/>
    <w:rsid w:val="006E3C38"/>
    <w:rsid w:val="006E3CF1"/>
    <w:rsid w:val="006E49AD"/>
    <w:rsid w:val="006E4EA9"/>
    <w:rsid w:val="006E63C8"/>
    <w:rsid w:val="006E676D"/>
    <w:rsid w:val="006E6D17"/>
    <w:rsid w:val="006E7E1B"/>
    <w:rsid w:val="006E7E80"/>
    <w:rsid w:val="006F1DF9"/>
    <w:rsid w:val="006F2187"/>
    <w:rsid w:val="006F24DB"/>
    <w:rsid w:val="006F48CA"/>
    <w:rsid w:val="006F617F"/>
    <w:rsid w:val="006F64DD"/>
    <w:rsid w:val="00700801"/>
    <w:rsid w:val="007023A1"/>
    <w:rsid w:val="007026DA"/>
    <w:rsid w:val="007029CA"/>
    <w:rsid w:val="00702B89"/>
    <w:rsid w:val="007036D0"/>
    <w:rsid w:val="007139DC"/>
    <w:rsid w:val="00713E21"/>
    <w:rsid w:val="00715127"/>
    <w:rsid w:val="00715E8E"/>
    <w:rsid w:val="00717E72"/>
    <w:rsid w:val="00721F82"/>
    <w:rsid w:val="00723580"/>
    <w:rsid w:val="00723755"/>
    <w:rsid w:val="00723B5B"/>
    <w:rsid w:val="0073136C"/>
    <w:rsid w:val="00731F0F"/>
    <w:rsid w:val="00733250"/>
    <w:rsid w:val="00735B18"/>
    <w:rsid w:val="00736ECA"/>
    <w:rsid w:val="00737AB2"/>
    <w:rsid w:val="00740AA9"/>
    <w:rsid w:val="00741404"/>
    <w:rsid w:val="007426EE"/>
    <w:rsid w:val="00743A7D"/>
    <w:rsid w:val="007449E5"/>
    <w:rsid w:val="00746C5A"/>
    <w:rsid w:val="00747FF0"/>
    <w:rsid w:val="007505F9"/>
    <w:rsid w:val="007522CF"/>
    <w:rsid w:val="0075518A"/>
    <w:rsid w:val="007552B4"/>
    <w:rsid w:val="00756417"/>
    <w:rsid w:val="00756624"/>
    <w:rsid w:val="0075697D"/>
    <w:rsid w:val="00757A84"/>
    <w:rsid w:val="00762B48"/>
    <w:rsid w:val="00764482"/>
    <w:rsid w:val="00764D4E"/>
    <w:rsid w:val="00765A1F"/>
    <w:rsid w:val="00770D79"/>
    <w:rsid w:val="007732F1"/>
    <w:rsid w:val="007755FE"/>
    <w:rsid w:val="00775B6D"/>
    <w:rsid w:val="00776D68"/>
    <w:rsid w:val="00777869"/>
    <w:rsid w:val="00777DE2"/>
    <w:rsid w:val="00780471"/>
    <w:rsid w:val="007850EE"/>
    <w:rsid w:val="00785B95"/>
    <w:rsid w:val="007906B1"/>
    <w:rsid w:val="0079097E"/>
    <w:rsid w:val="00790E96"/>
    <w:rsid w:val="00793366"/>
    <w:rsid w:val="0079597B"/>
    <w:rsid w:val="00797257"/>
    <w:rsid w:val="007A1E41"/>
    <w:rsid w:val="007A3087"/>
    <w:rsid w:val="007A44D5"/>
    <w:rsid w:val="007A716F"/>
    <w:rsid w:val="007B0021"/>
    <w:rsid w:val="007B2050"/>
    <w:rsid w:val="007B270A"/>
    <w:rsid w:val="007B71CC"/>
    <w:rsid w:val="007C04BD"/>
    <w:rsid w:val="007C0695"/>
    <w:rsid w:val="007C1D78"/>
    <w:rsid w:val="007C419A"/>
    <w:rsid w:val="007C4CC8"/>
    <w:rsid w:val="007C4E81"/>
    <w:rsid w:val="007C5426"/>
    <w:rsid w:val="007C5798"/>
    <w:rsid w:val="007D09D4"/>
    <w:rsid w:val="007D37AF"/>
    <w:rsid w:val="007D4832"/>
    <w:rsid w:val="007D5256"/>
    <w:rsid w:val="007D6B53"/>
    <w:rsid w:val="007D6E5B"/>
    <w:rsid w:val="007E1038"/>
    <w:rsid w:val="007E1BD9"/>
    <w:rsid w:val="007E20E7"/>
    <w:rsid w:val="007E21B2"/>
    <w:rsid w:val="007E2C4E"/>
    <w:rsid w:val="007E2E24"/>
    <w:rsid w:val="007E3CFF"/>
    <w:rsid w:val="007E5ACE"/>
    <w:rsid w:val="007E73AA"/>
    <w:rsid w:val="007F1905"/>
    <w:rsid w:val="007F1B40"/>
    <w:rsid w:val="007F2D4E"/>
    <w:rsid w:val="007F3324"/>
    <w:rsid w:val="00801300"/>
    <w:rsid w:val="0080270F"/>
    <w:rsid w:val="00802C64"/>
    <w:rsid w:val="00803526"/>
    <w:rsid w:val="008036FC"/>
    <w:rsid w:val="00805BAB"/>
    <w:rsid w:val="00805E52"/>
    <w:rsid w:val="008061D0"/>
    <w:rsid w:val="00810A7C"/>
    <w:rsid w:val="00810B38"/>
    <w:rsid w:val="008115D5"/>
    <w:rsid w:val="00817BD9"/>
    <w:rsid w:val="008204C7"/>
    <w:rsid w:val="00820992"/>
    <w:rsid w:val="00823602"/>
    <w:rsid w:val="0082477D"/>
    <w:rsid w:val="008255F5"/>
    <w:rsid w:val="0083014E"/>
    <w:rsid w:val="008304CF"/>
    <w:rsid w:val="008308E6"/>
    <w:rsid w:val="00831573"/>
    <w:rsid w:val="00831D7F"/>
    <w:rsid w:val="00831E43"/>
    <w:rsid w:val="0083214A"/>
    <w:rsid w:val="00834220"/>
    <w:rsid w:val="008342C7"/>
    <w:rsid w:val="00835B20"/>
    <w:rsid w:val="0083614B"/>
    <w:rsid w:val="00840658"/>
    <w:rsid w:val="0084186D"/>
    <w:rsid w:val="00841F58"/>
    <w:rsid w:val="00842ACF"/>
    <w:rsid w:val="00843272"/>
    <w:rsid w:val="0084353C"/>
    <w:rsid w:val="008454D1"/>
    <w:rsid w:val="00845723"/>
    <w:rsid w:val="00846DC4"/>
    <w:rsid w:val="00851EF9"/>
    <w:rsid w:val="008533D0"/>
    <w:rsid w:val="0085368A"/>
    <w:rsid w:val="00853B85"/>
    <w:rsid w:val="008572D9"/>
    <w:rsid w:val="008577FD"/>
    <w:rsid w:val="00860B03"/>
    <w:rsid w:val="00862593"/>
    <w:rsid w:val="008630A6"/>
    <w:rsid w:val="0086328A"/>
    <w:rsid w:val="008646E1"/>
    <w:rsid w:val="0086497A"/>
    <w:rsid w:val="00870067"/>
    <w:rsid w:val="008713A1"/>
    <w:rsid w:val="00872BAA"/>
    <w:rsid w:val="00874BD6"/>
    <w:rsid w:val="008754AB"/>
    <w:rsid w:val="00875823"/>
    <w:rsid w:val="008759B3"/>
    <w:rsid w:val="00877E1F"/>
    <w:rsid w:val="0088060C"/>
    <w:rsid w:val="00883002"/>
    <w:rsid w:val="008869ED"/>
    <w:rsid w:val="00891140"/>
    <w:rsid w:val="00891BAB"/>
    <w:rsid w:val="00892707"/>
    <w:rsid w:val="00893576"/>
    <w:rsid w:val="00893E73"/>
    <w:rsid w:val="00894DCA"/>
    <w:rsid w:val="00895322"/>
    <w:rsid w:val="00895853"/>
    <w:rsid w:val="00895F1B"/>
    <w:rsid w:val="008A0FCD"/>
    <w:rsid w:val="008A3487"/>
    <w:rsid w:val="008A43C4"/>
    <w:rsid w:val="008A4D7F"/>
    <w:rsid w:val="008A593F"/>
    <w:rsid w:val="008B02DC"/>
    <w:rsid w:val="008B178F"/>
    <w:rsid w:val="008B57CE"/>
    <w:rsid w:val="008B5924"/>
    <w:rsid w:val="008B659F"/>
    <w:rsid w:val="008B67B7"/>
    <w:rsid w:val="008B725B"/>
    <w:rsid w:val="008B7CE0"/>
    <w:rsid w:val="008C07F2"/>
    <w:rsid w:val="008C193A"/>
    <w:rsid w:val="008C2662"/>
    <w:rsid w:val="008C26DE"/>
    <w:rsid w:val="008C7824"/>
    <w:rsid w:val="008D1334"/>
    <w:rsid w:val="008D189E"/>
    <w:rsid w:val="008D1D05"/>
    <w:rsid w:val="008D2225"/>
    <w:rsid w:val="008D4752"/>
    <w:rsid w:val="008D6A47"/>
    <w:rsid w:val="008D70E1"/>
    <w:rsid w:val="008E1C53"/>
    <w:rsid w:val="008E271C"/>
    <w:rsid w:val="008E418E"/>
    <w:rsid w:val="008E43DA"/>
    <w:rsid w:val="008E484C"/>
    <w:rsid w:val="008E5ACD"/>
    <w:rsid w:val="008E5BC6"/>
    <w:rsid w:val="008E6A25"/>
    <w:rsid w:val="008E74B4"/>
    <w:rsid w:val="008F2BFA"/>
    <w:rsid w:val="008F3A72"/>
    <w:rsid w:val="008F5193"/>
    <w:rsid w:val="009003DE"/>
    <w:rsid w:val="009013A7"/>
    <w:rsid w:val="009017FB"/>
    <w:rsid w:val="009017FC"/>
    <w:rsid w:val="00902484"/>
    <w:rsid w:val="00902698"/>
    <w:rsid w:val="00903737"/>
    <w:rsid w:val="00903B43"/>
    <w:rsid w:val="00903F5B"/>
    <w:rsid w:val="00904A15"/>
    <w:rsid w:val="00904E97"/>
    <w:rsid w:val="0090506B"/>
    <w:rsid w:val="009050C9"/>
    <w:rsid w:val="009062CB"/>
    <w:rsid w:val="009066FC"/>
    <w:rsid w:val="00910FF8"/>
    <w:rsid w:val="0091105E"/>
    <w:rsid w:val="00912B90"/>
    <w:rsid w:val="009140A3"/>
    <w:rsid w:val="009144A2"/>
    <w:rsid w:val="0091510C"/>
    <w:rsid w:val="00915B92"/>
    <w:rsid w:val="00916EF3"/>
    <w:rsid w:val="00921D99"/>
    <w:rsid w:val="0092223D"/>
    <w:rsid w:val="009258EB"/>
    <w:rsid w:val="009259AC"/>
    <w:rsid w:val="00926F38"/>
    <w:rsid w:val="00927AA7"/>
    <w:rsid w:val="009302BF"/>
    <w:rsid w:val="00931042"/>
    <w:rsid w:val="009329A7"/>
    <w:rsid w:val="00934301"/>
    <w:rsid w:val="009357B2"/>
    <w:rsid w:val="00936CD1"/>
    <w:rsid w:val="00941747"/>
    <w:rsid w:val="00941EFB"/>
    <w:rsid w:val="0094287E"/>
    <w:rsid w:val="009441C3"/>
    <w:rsid w:val="00947AFB"/>
    <w:rsid w:val="00951AE0"/>
    <w:rsid w:val="00951D7D"/>
    <w:rsid w:val="009555A5"/>
    <w:rsid w:val="009564BF"/>
    <w:rsid w:val="0095720E"/>
    <w:rsid w:val="009630C7"/>
    <w:rsid w:val="00966094"/>
    <w:rsid w:val="0096773C"/>
    <w:rsid w:val="00972B55"/>
    <w:rsid w:val="00973074"/>
    <w:rsid w:val="009743B7"/>
    <w:rsid w:val="00975861"/>
    <w:rsid w:val="00977A76"/>
    <w:rsid w:val="00977BE8"/>
    <w:rsid w:val="00981A74"/>
    <w:rsid w:val="0098228B"/>
    <w:rsid w:val="009828DA"/>
    <w:rsid w:val="009832B6"/>
    <w:rsid w:val="00985A54"/>
    <w:rsid w:val="00985BAB"/>
    <w:rsid w:val="00987D53"/>
    <w:rsid w:val="00990796"/>
    <w:rsid w:val="009907B7"/>
    <w:rsid w:val="00992E5B"/>
    <w:rsid w:val="00993251"/>
    <w:rsid w:val="00993E9D"/>
    <w:rsid w:val="00994243"/>
    <w:rsid w:val="009956A4"/>
    <w:rsid w:val="00997F03"/>
    <w:rsid w:val="009A1CA6"/>
    <w:rsid w:val="009A46DF"/>
    <w:rsid w:val="009A4BC5"/>
    <w:rsid w:val="009B1B5F"/>
    <w:rsid w:val="009B21B6"/>
    <w:rsid w:val="009B2EC2"/>
    <w:rsid w:val="009B329C"/>
    <w:rsid w:val="009B4635"/>
    <w:rsid w:val="009B6673"/>
    <w:rsid w:val="009C0514"/>
    <w:rsid w:val="009C191B"/>
    <w:rsid w:val="009C2BD6"/>
    <w:rsid w:val="009D2B22"/>
    <w:rsid w:val="009E1F32"/>
    <w:rsid w:val="009E4BD3"/>
    <w:rsid w:val="009E5829"/>
    <w:rsid w:val="009E6A6A"/>
    <w:rsid w:val="009E7358"/>
    <w:rsid w:val="009E776C"/>
    <w:rsid w:val="009F00FC"/>
    <w:rsid w:val="009F237B"/>
    <w:rsid w:val="009F7100"/>
    <w:rsid w:val="009F76F1"/>
    <w:rsid w:val="00A02BC7"/>
    <w:rsid w:val="00A049FF"/>
    <w:rsid w:val="00A10DA6"/>
    <w:rsid w:val="00A10FE4"/>
    <w:rsid w:val="00A13399"/>
    <w:rsid w:val="00A155B6"/>
    <w:rsid w:val="00A1726E"/>
    <w:rsid w:val="00A20437"/>
    <w:rsid w:val="00A204CF"/>
    <w:rsid w:val="00A20A0B"/>
    <w:rsid w:val="00A23D49"/>
    <w:rsid w:val="00A27004"/>
    <w:rsid w:val="00A30C29"/>
    <w:rsid w:val="00A345B5"/>
    <w:rsid w:val="00A34DD6"/>
    <w:rsid w:val="00A36819"/>
    <w:rsid w:val="00A36989"/>
    <w:rsid w:val="00A41970"/>
    <w:rsid w:val="00A43628"/>
    <w:rsid w:val="00A43BFE"/>
    <w:rsid w:val="00A46815"/>
    <w:rsid w:val="00A46A5C"/>
    <w:rsid w:val="00A47BCC"/>
    <w:rsid w:val="00A50769"/>
    <w:rsid w:val="00A54192"/>
    <w:rsid w:val="00A54EC0"/>
    <w:rsid w:val="00A55628"/>
    <w:rsid w:val="00A556EA"/>
    <w:rsid w:val="00A6035E"/>
    <w:rsid w:val="00A6144C"/>
    <w:rsid w:val="00A620F4"/>
    <w:rsid w:val="00A6214D"/>
    <w:rsid w:val="00A66617"/>
    <w:rsid w:val="00A671F8"/>
    <w:rsid w:val="00A673A4"/>
    <w:rsid w:val="00A70C84"/>
    <w:rsid w:val="00A724AE"/>
    <w:rsid w:val="00A72858"/>
    <w:rsid w:val="00A73329"/>
    <w:rsid w:val="00A7654F"/>
    <w:rsid w:val="00A80DBA"/>
    <w:rsid w:val="00A81107"/>
    <w:rsid w:val="00A8131E"/>
    <w:rsid w:val="00A81E31"/>
    <w:rsid w:val="00A82359"/>
    <w:rsid w:val="00A829C4"/>
    <w:rsid w:val="00A82A99"/>
    <w:rsid w:val="00A8457A"/>
    <w:rsid w:val="00A84FDD"/>
    <w:rsid w:val="00A861ED"/>
    <w:rsid w:val="00A865D2"/>
    <w:rsid w:val="00A93264"/>
    <w:rsid w:val="00A93C19"/>
    <w:rsid w:val="00A93DBA"/>
    <w:rsid w:val="00A94C20"/>
    <w:rsid w:val="00A9561C"/>
    <w:rsid w:val="00A96126"/>
    <w:rsid w:val="00A96ED6"/>
    <w:rsid w:val="00AA0F21"/>
    <w:rsid w:val="00AA227F"/>
    <w:rsid w:val="00AA3BC7"/>
    <w:rsid w:val="00AA754A"/>
    <w:rsid w:val="00AB099E"/>
    <w:rsid w:val="00AB27D8"/>
    <w:rsid w:val="00AB4328"/>
    <w:rsid w:val="00AB5FA0"/>
    <w:rsid w:val="00AC4D64"/>
    <w:rsid w:val="00AC68D0"/>
    <w:rsid w:val="00AD06C2"/>
    <w:rsid w:val="00AD0868"/>
    <w:rsid w:val="00AD1161"/>
    <w:rsid w:val="00AD16D7"/>
    <w:rsid w:val="00AD2049"/>
    <w:rsid w:val="00AD2827"/>
    <w:rsid w:val="00AD5723"/>
    <w:rsid w:val="00AD6618"/>
    <w:rsid w:val="00AE049D"/>
    <w:rsid w:val="00AE0A2E"/>
    <w:rsid w:val="00AE1F98"/>
    <w:rsid w:val="00AE354C"/>
    <w:rsid w:val="00AE64C0"/>
    <w:rsid w:val="00AE6717"/>
    <w:rsid w:val="00AE6E25"/>
    <w:rsid w:val="00AF2B85"/>
    <w:rsid w:val="00AF2F8B"/>
    <w:rsid w:val="00AF30E7"/>
    <w:rsid w:val="00AF3A75"/>
    <w:rsid w:val="00AF3F9C"/>
    <w:rsid w:val="00AF48B4"/>
    <w:rsid w:val="00AF4B07"/>
    <w:rsid w:val="00AF50C2"/>
    <w:rsid w:val="00AF555F"/>
    <w:rsid w:val="00AF6186"/>
    <w:rsid w:val="00AF62AC"/>
    <w:rsid w:val="00AF7A3A"/>
    <w:rsid w:val="00B0068C"/>
    <w:rsid w:val="00B03325"/>
    <w:rsid w:val="00B049A5"/>
    <w:rsid w:val="00B065A7"/>
    <w:rsid w:val="00B1070F"/>
    <w:rsid w:val="00B10A69"/>
    <w:rsid w:val="00B13E8D"/>
    <w:rsid w:val="00B160DB"/>
    <w:rsid w:val="00B20836"/>
    <w:rsid w:val="00B22BFF"/>
    <w:rsid w:val="00B235BB"/>
    <w:rsid w:val="00B256A7"/>
    <w:rsid w:val="00B26149"/>
    <w:rsid w:val="00B27A44"/>
    <w:rsid w:val="00B30850"/>
    <w:rsid w:val="00B30BBF"/>
    <w:rsid w:val="00B31F78"/>
    <w:rsid w:val="00B32840"/>
    <w:rsid w:val="00B33C03"/>
    <w:rsid w:val="00B33EAD"/>
    <w:rsid w:val="00B34A62"/>
    <w:rsid w:val="00B400A4"/>
    <w:rsid w:val="00B4106A"/>
    <w:rsid w:val="00B42B55"/>
    <w:rsid w:val="00B44B27"/>
    <w:rsid w:val="00B44E56"/>
    <w:rsid w:val="00B46543"/>
    <w:rsid w:val="00B469F7"/>
    <w:rsid w:val="00B474CF"/>
    <w:rsid w:val="00B47D33"/>
    <w:rsid w:val="00B52BE0"/>
    <w:rsid w:val="00B54133"/>
    <w:rsid w:val="00B56AD4"/>
    <w:rsid w:val="00B571F9"/>
    <w:rsid w:val="00B60059"/>
    <w:rsid w:val="00B634CE"/>
    <w:rsid w:val="00B63679"/>
    <w:rsid w:val="00B63749"/>
    <w:rsid w:val="00B65C72"/>
    <w:rsid w:val="00B67402"/>
    <w:rsid w:val="00B701ED"/>
    <w:rsid w:val="00B75248"/>
    <w:rsid w:val="00B7616C"/>
    <w:rsid w:val="00B8086C"/>
    <w:rsid w:val="00B84AFF"/>
    <w:rsid w:val="00B861B4"/>
    <w:rsid w:val="00B86D25"/>
    <w:rsid w:val="00B86DFE"/>
    <w:rsid w:val="00B9031B"/>
    <w:rsid w:val="00B90990"/>
    <w:rsid w:val="00B90E14"/>
    <w:rsid w:val="00B90F93"/>
    <w:rsid w:val="00B922FF"/>
    <w:rsid w:val="00B926C8"/>
    <w:rsid w:val="00B9281E"/>
    <w:rsid w:val="00B9289F"/>
    <w:rsid w:val="00B93925"/>
    <w:rsid w:val="00B93974"/>
    <w:rsid w:val="00B94771"/>
    <w:rsid w:val="00B94C92"/>
    <w:rsid w:val="00B95187"/>
    <w:rsid w:val="00B95277"/>
    <w:rsid w:val="00BA0937"/>
    <w:rsid w:val="00BA2D55"/>
    <w:rsid w:val="00BA3F99"/>
    <w:rsid w:val="00BA71B1"/>
    <w:rsid w:val="00BA7247"/>
    <w:rsid w:val="00BB0637"/>
    <w:rsid w:val="00BB0A9B"/>
    <w:rsid w:val="00BB0DD7"/>
    <w:rsid w:val="00BB1FE5"/>
    <w:rsid w:val="00BB345F"/>
    <w:rsid w:val="00BB3C87"/>
    <w:rsid w:val="00BB42BB"/>
    <w:rsid w:val="00BB5883"/>
    <w:rsid w:val="00BB68EA"/>
    <w:rsid w:val="00BC01F3"/>
    <w:rsid w:val="00BC1C27"/>
    <w:rsid w:val="00BC23A4"/>
    <w:rsid w:val="00BC3A14"/>
    <w:rsid w:val="00BC42D4"/>
    <w:rsid w:val="00BC6BBF"/>
    <w:rsid w:val="00BC7467"/>
    <w:rsid w:val="00BD142A"/>
    <w:rsid w:val="00BD1572"/>
    <w:rsid w:val="00BD1DF8"/>
    <w:rsid w:val="00BD3428"/>
    <w:rsid w:val="00BD3904"/>
    <w:rsid w:val="00BD4417"/>
    <w:rsid w:val="00BD5719"/>
    <w:rsid w:val="00BD5B07"/>
    <w:rsid w:val="00BE14E3"/>
    <w:rsid w:val="00BE3774"/>
    <w:rsid w:val="00BE41E5"/>
    <w:rsid w:val="00BE5B87"/>
    <w:rsid w:val="00BE61E0"/>
    <w:rsid w:val="00BF0BBB"/>
    <w:rsid w:val="00BF14B8"/>
    <w:rsid w:val="00BF1F17"/>
    <w:rsid w:val="00BF3830"/>
    <w:rsid w:val="00BF3A12"/>
    <w:rsid w:val="00BF4109"/>
    <w:rsid w:val="00BF4CC3"/>
    <w:rsid w:val="00BF52D0"/>
    <w:rsid w:val="00C012EB"/>
    <w:rsid w:val="00C01B1C"/>
    <w:rsid w:val="00C02218"/>
    <w:rsid w:val="00C054C7"/>
    <w:rsid w:val="00C057B5"/>
    <w:rsid w:val="00C07220"/>
    <w:rsid w:val="00C104DF"/>
    <w:rsid w:val="00C13D41"/>
    <w:rsid w:val="00C1615A"/>
    <w:rsid w:val="00C172DB"/>
    <w:rsid w:val="00C22687"/>
    <w:rsid w:val="00C230BA"/>
    <w:rsid w:val="00C25173"/>
    <w:rsid w:val="00C30FC1"/>
    <w:rsid w:val="00C31F86"/>
    <w:rsid w:val="00C32E4D"/>
    <w:rsid w:val="00C333A0"/>
    <w:rsid w:val="00C34E5D"/>
    <w:rsid w:val="00C35A6F"/>
    <w:rsid w:val="00C36A81"/>
    <w:rsid w:val="00C37C37"/>
    <w:rsid w:val="00C409D8"/>
    <w:rsid w:val="00C41974"/>
    <w:rsid w:val="00C41A23"/>
    <w:rsid w:val="00C426A9"/>
    <w:rsid w:val="00C447AD"/>
    <w:rsid w:val="00C45D52"/>
    <w:rsid w:val="00C5004D"/>
    <w:rsid w:val="00C53F4A"/>
    <w:rsid w:val="00C54125"/>
    <w:rsid w:val="00C55705"/>
    <w:rsid w:val="00C55B54"/>
    <w:rsid w:val="00C57772"/>
    <w:rsid w:val="00C6098E"/>
    <w:rsid w:val="00C6152C"/>
    <w:rsid w:val="00C621C2"/>
    <w:rsid w:val="00C655B0"/>
    <w:rsid w:val="00C66A7F"/>
    <w:rsid w:val="00C675E9"/>
    <w:rsid w:val="00C700F4"/>
    <w:rsid w:val="00C73BCB"/>
    <w:rsid w:val="00C74810"/>
    <w:rsid w:val="00C75651"/>
    <w:rsid w:val="00C766F9"/>
    <w:rsid w:val="00C822BE"/>
    <w:rsid w:val="00C870B1"/>
    <w:rsid w:val="00C873AC"/>
    <w:rsid w:val="00C90D68"/>
    <w:rsid w:val="00C939FE"/>
    <w:rsid w:val="00C97767"/>
    <w:rsid w:val="00CA11CB"/>
    <w:rsid w:val="00CA28BA"/>
    <w:rsid w:val="00CA4BDA"/>
    <w:rsid w:val="00CA6F81"/>
    <w:rsid w:val="00CB1F66"/>
    <w:rsid w:val="00CB284F"/>
    <w:rsid w:val="00CB2951"/>
    <w:rsid w:val="00CB49AA"/>
    <w:rsid w:val="00CB4B1F"/>
    <w:rsid w:val="00CB5427"/>
    <w:rsid w:val="00CB6A74"/>
    <w:rsid w:val="00CC60BD"/>
    <w:rsid w:val="00CD002E"/>
    <w:rsid w:val="00CD074D"/>
    <w:rsid w:val="00CD09B8"/>
    <w:rsid w:val="00CD0EC4"/>
    <w:rsid w:val="00CD12D9"/>
    <w:rsid w:val="00CD165E"/>
    <w:rsid w:val="00CD282B"/>
    <w:rsid w:val="00CD2E94"/>
    <w:rsid w:val="00CD4C35"/>
    <w:rsid w:val="00CD7369"/>
    <w:rsid w:val="00CE0B0E"/>
    <w:rsid w:val="00CE3831"/>
    <w:rsid w:val="00CE4D76"/>
    <w:rsid w:val="00CE6DCA"/>
    <w:rsid w:val="00CE6E7A"/>
    <w:rsid w:val="00CF1895"/>
    <w:rsid w:val="00CF35B8"/>
    <w:rsid w:val="00CF4498"/>
    <w:rsid w:val="00CF5C3E"/>
    <w:rsid w:val="00CF7203"/>
    <w:rsid w:val="00D003C6"/>
    <w:rsid w:val="00D00ABB"/>
    <w:rsid w:val="00D01B3F"/>
    <w:rsid w:val="00D01CEF"/>
    <w:rsid w:val="00D02EEC"/>
    <w:rsid w:val="00D03551"/>
    <w:rsid w:val="00D03CF5"/>
    <w:rsid w:val="00D06A63"/>
    <w:rsid w:val="00D07E0E"/>
    <w:rsid w:val="00D101B0"/>
    <w:rsid w:val="00D11478"/>
    <w:rsid w:val="00D13917"/>
    <w:rsid w:val="00D15ED0"/>
    <w:rsid w:val="00D20CF1"/>
    <w:rsid w:val="00D21B3E"/>
    <w:rsid w:val="00D21FED"/>
    <w:rsid w:val="00D23281"/>
    <w:rsid w:val="00D24251"/>
    <w:rsid w:val="00D24436"/>
    <w:rsid w:val="00D24AE1"/>
    <w:rsid w:val="00D2526F"/>
    <w:rsid w:val="00D25524"/>
    <w:rsid w:val="00D2607D"/>
    <w:rsid w:val="00D3115A"/>
    <w:rsid w:val="00D32107"/>
    <w:rsid w:val="00D3225F"/>
    <w:rsid w:val="00D343E2"/>
    <w:rsid w:val="00D361A2"/>
    <w:rsid w:val="00D37B2B"/>
    <w:rsid w:val="00D4300A"/>
    <w:rsid w:val="00D43B79"/>
    <w:rsid w:val="00D44225"/>
    <w:rsid w:val="00D44C2E"/>
    <w:rsid w:val="00D450B0"/>
    <w:rsid w:val="00D45414"/>
    <w:rsid w:val="00D51F66"/>
    <w:rsid w:val="00D52C1F"/>
    <w:rsid w:val="00D53C0F"/>
    <w:rsid w:val="00D5619D"/>
    <w:rsid w:val="00D566BD"/>
    <w:rsid w:val="00D57A4D"/>
    <w:rsid w:val="00D60AA7"/>
    <w:rsid w:val="00D60D87"/>
    <w:rsid w:val="00D6165D"/>
    <w:rsid w:val="00D62C0E"/>
    <w:rsid w:val="00D6435F"/>
    <w:rsid w:val="00D648E8"/>
    <w:rsid w:val="00D66CC8"/>
    <w:rsid w:val="00D75E28"/>
    <w:rsid w:val="00D7609D"/>
    <w:rsid w:val="00D772C2"/>
    <w:rsid w:val="00D8008E"/>
    <w:rsid w:val="00D82C45"/>
    <w:rsid w:val="00D908A8"/>
    <w:rsid w:val="00D908F6"/>
    <w:rsid w:val="00D90DF7"/>
    <w:rsid w:val="00D913AD"/>
    <w:rsid w:val="00D9161E"/>
    <w:rsid w:val="00D948DC"/>
    <w:rsid w:val="00D977B6"/>
    <w:rsid w:val="00DA1FE1"/>
    <w:rsid w:val="00DA20F6"/>
    <w:rsid w:val="00DA4A31"/>
    <w:rsid w:val="00DA6476"/>
    <w:rsid w:val="00DA6DE7"/>
    <w:rsid w:val="00DA7357"/>
    <w:rsid w:val="00DA770D"/>
    <w:rsid w:val="00DA7B04"/>
    <w:rsid w:val="00DB36C2"/>
    <w:rsid w:val="00DB3CDA"/>
    <w:rsid w:val="00DB51BA"/>
    <w:rsid w:val="00DB534A"/>
    <w:rsid w:val="00DB5FB1"/>
    <w:rsid w:val="00DB7196"/>
    <w:rsid w:val="00DB73A2"/>
    <w:rsid w:val="00DB7A29"/>
    <w:rsid w:val="00DB7B39"/>
    <w:rsid w:val="00DC04AC"/>
    <w:rsid w:val="00DC169B"/>
    <w:rsid w:val="00DC2AB9"/>
    <w:rsid w:val="00DC3575"/>
    <w:rsid w:val="00DC384F"/>
    <w:rsid w:val="00DC4078"/>
    <w:rsid w:val="00DC5E7E"/>
    <w:rsid w:val="00DC63F0"/>
    <w:rsid w:val="00DC6FA2"/>
    <w:rsid w:val="00DC7D8A"/>
    <w:rsid w:val="00DD6EE5"/>
    <w:rsid w:val="00DD730B"/>
    <w:rsid w:val="00DD7B00"/>
    <w:rsid w:val="00DE2031"/>
    <w:rsid w:val="00DE25E3"/>
    <w:rsid w:val="00DE26C3"/>
    <w:rsid w:val="00DE2866"/>
    <w:rsid w:val="00DE3763"/>
    <w:rsid w:val="00DE386C"/>
    <w:rsid w:val="00DE4D35"/>
    <w:rsid w:val="00DF0549"/>
    <w:rsid w:val="00DF098B"/>
    <w:rsid w:val="00DF11C4"/>
    <w:rsid w:val="00DF210C"/>
    <w:rsid w:val="00DF45A6"/>
    <w:rsid w:val="00DF4B6A"/>
    <w:rsid w:val="00E01E43"/>
    <w:rsid w:val="00E02C09"/>
    <w:rsid w:val="00E03F27"/>
    <w:rsid w:val="00E04D59"/>
    <w:rsid w:val="00E05080"/>
    <w:rsid w:val="00E05C0B"/>
    <w:rsid w:val="00E07844"/>
    <w:rsid w:val="00E07C2F"/>
    <w:rsid w:val="00E07DA1"/>
    <w:rsid w:val="00E123CB"/>
    <w:rsid w:val="00E124E4"/>
    <w:rsid w:val="00E12ABA"/>
    <w:rsid w:val="00E1557C"/>
    <w:rsid w:val="00E17B7D"/>
    <w:rsid w:val="00E17FEB"/>
    <w:rsid w:val="00E20E13"/>
    <w:rsid w:val="00E21DBC"/>
    <w:rsid w:val="00E224F4"/>
    <w:rsid w:val="00E25249"/>
    <w:rsid w:val="00E2618F"/>
    <w:rsid w:val="00E26711"/>
    <w:rsid w:val="00E26E72"/>
    <w:rsid w:val="00E270A3"/>
    <w:rsid w:val="00E275D7"/>
    <w:rsid w:val="00E27DBE"/>
    <w:rsid w:val="00E32AB1"/>
    <w:rsid w:val="00E33323"/>
    <w:rsid w:val="00E33700"/>
    <w:rsid w:val="00E33B1B"/>
    <w:rsid w:val="00E36332"/>
    <w:rsid w:val="00E36C71"/>
    <w:rsid w:val="00E37013"/>
    <w:rsid w:val="00E40404"/>
    <w:rsid w:val="00E41622"/>
    <w:rsid w:val="00E459C6"/>
    <w:rsid w:val="00E45DEB"/>
    <w:rsid w:val="00E47589"/>
    <w:rsid w:val="00E47B9F"/>
    <w:rsid w:val="00E51C99"/>
    <w:rsid w:val="00E5274B"/>
    <w:rsid w:val="00E54196"/>
    <w:rsid w:val="00E6241A"/>
    <w:rsid w:val="00E64915"/>
    <w:rsid w:val="00E661D4"/>
    <w:rsid w:val="00E67357"/>
    <w:rsid w:val="00E70091"/>
    <w:rsid w:val="00E7199E"/>
    <w:rsid w:val="00E720F5"/>
    <w:rsid w:val="00E7265B"/>
    <w:rsid w:val="00E72D2F"/>
    <w:rsid w:val="00E76D47"/>
    <w:rsid w:val="00E80933"/>
    <w:rsid w:val="00E81908"/>
    <w:rsid w:val="00E81F0C"/>
    <w:rsid w:val="00E82637"/>
    <w:rsid w:val="00E83823"/>
    <w:rsid w:val="00E849F7"/>
    <w:rsid w:val="00E90302"/>
    <w:rsid w:val="00E94E4A"/>
    <w:rsid w:val="00E94FA7"/>
    <w:rsid w:val="00E9597F"/>
    <w:rsid w:val="00E97396"/>
    <w:rsid w:val="00EA06C6"/>
    <w:rsid w:val="00EA185E"/>
    <w:rsid w:val="00EA290F"/>
    <w:rsid w:val="00EA592A"/>
    <w:rsid w:val="00EA7C8F"/>
    <w:rsid w:val="00EB14E4"/>
    <w:rsid w:val="00EB32A5"/>
    <w:rsid w:val="00EB34ED"/>
    <w:rsid w:val="00EB7BE0"/>
    <w:rsid w:val="00EC04C6"/>
    <w:rsid w:val="00EC055A"/>
    <w:rsid w:val="00EC315E"/>
    <w:rsid w:val="00EC65B4"/>
    <w:rsid w:val="00EC67E9"/>
    <w:rsid w:val="00EC6B1F"/>
    <w:rsid w:val="00EC7144"/>
    <w:rsid w:val="00EC7474"/>
    <w:rsid w:val="00ED077C"/>
    <w:rsid w:val="00ED1190"/>
    <w:rsid w:val="00ED11F6"/>
    <w:rsid w:val="00ED5985"/>
    <w:rsid w:val="00ED6544"/>
    <w:rsid w:val="00EE0277"/>
    <w:rsid w:val="00EE10DF"/>
    <w:rsid w:val="00EE1DA9"/>
    <w:rsid w:val="00EE2B1F"/>
    <w:rsid w:val="00EE3E00"/>
    <w:rsid w:val="00EE5121"/>
    <w:rsid w:val="00EE5DD2"/>
    <w:rsid w:val="00EE616A"/>
    <w:rsid w:val="00EE75F3"/>
    <w:rsid w:val="00EE7B79"/>
    <w:rsid w:val="00EF400F"/>
    <w:rsid w:val="00EF41F1"/>
    <w:rsid w:val="00EF4492"/>
    <w:rsid w:val="00EF4F08"/>
    <w:rsid w:val="00EF5DFE"/>
    <w:rsid w:val="00EF616E"/>
    <w:rsid w:val="00F00A79"/>
    <w:rsid w:val="00F00E86"/>
    <w:rsid w:val="00F046A0"/>
    <w:rsid w:val="00F05542"/>
    <w:rsid w:val="00F06AA1"/>
    <w:rsid w:val="00F077CA"/>
    <w:rsid w:val="00F07903"/>
    <w:rsid w:val="00F07C1E"/>
    <w:rsid w:val="00F105DB"/>
    <w:rsid w:val="00F11237"/>
    <w:rsid w:val="00F12954"/>
    <w:rsid w:val="00F12BE2"/>
    <w:rsid w:val="00F12EA7"/>
    <w:rsid w:val="00F13070"/>
    <w:rsid w:val="00F132BC"/>
    <w:rsid w:val="00F13D80"/>
    <w:rsid w:val="00F15946"/>
    <w:rsid w:val="00F16AAA"/>
    <w:rsid w:val="00F21161"/>
    <w:rsid w:val="00F218EF"/>
    <w:rsid w:val="00F21BC7"/>
    <w:rsid w:val="00F266A2"/>
    <w:rsid w:val="00F27578"/>
    <w:rsid w:val="00F27DB2"/>
    <w:rsid w:val="00F305C7"/>
    <w:rsid w:val="00F31725"/>
    <w:rsid w:val="00F32269"/>
    <w:rsid w:val="00F328B2"/>
    <w:rsid w:val="00F375F0"/>
    <w:rsid w:val="00F541CE"/>
    <w:rsid w:val="00F56A6F"/>
    <w:rsid w:val="00F5709C"/>
    <w:rsid w:val="00F6138A"/>
    <w:rsid w:val="00F625F8"/>
    <w:rsid w:val="00F64EF1"/>
    <w:rsid w:val="00F67A0A"/>
    <w:rsid w:val="00F70C98"/>
    <w:rsid w:val="00F71465"/>
    <w:rsid w:val="00F8288E"/>
    <w:rsid w:val="00F8765F"/>
    <w:rsid w:val="00F87D13"/>
    <w:rsid w:val="00F90767"/>
    <w:rsid w:val="00F9189D"/>
    <w:rsid w:val="00F91FD6"/>
    <w:rsid w:val="00F92024"/>
    <w:rsid w:val="00F92A51"/>
    <w:rsid w:val="00F94A98"/>
    <w:rsid w:val="00F9688F"/>
    <w:rsid w:val="00F9721F"/>
    <w:rsid w:val="00FA0A9E"/>
    <w:rsid w:val="00FA0D71"/>
    <w:rsid w:val="00FA3BF5"/>
    <w:rsid w:val="00FA685B"/>
    <w:rsid w:val="00FA6E73"/>
    <w:rsid w:val="00FB0C01"/>
    <w:rsid w:val="00FB1985"/>
    <w:rsid w:val="00FB2D6D"/>
    <w:rsid w:val="00FB5992"/>
    <w:rsid w:val="00FB5AF6"/>
    <w:rsid w:val="00FC0500"/>
    <w:rsid w:val="00FC18F2"/>
    <w:rsid w:val="00FC39E5"/>
    <w:rsid w:val="00FC3A78"/>
    <w:rsid w:val="00FC3FF0"/>
    <w:rsid w:val="00FC5FFE"/>
    <w:rsid w:val="00FC7EF0"/>
    <w:rsid w:val="00FD1005"/>
    <w:rsid w:val="00FD3180"/>
    <w:rsid w:val="00FD437C"/>
    <w:rsid w:val="00FD67A6"/>
    <w:rsid w:val="00FD6A4E"/>
    <w:rsid w:val="00FD6C02"/>
    <w:rsid w:val="00FD6C75"/>
    <w:rsid w:val="00FE0E27"/>
    <w:rsid w:val="00FE71B3"/>
    <w:rsid w:val="00FF0847"/>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31573"/>
    <w:pPr>
      <w:jc w:val="both"/>
    </w:pPr>
    <w:rPr>
      <w:rFonts w:eastAsiaTheme="minorEastAsia"/>
      <w:sz w:val="24"/>
    </w:rPr>
  </w:style>
  <w:style w:type="paragraph" w:styleId="Heading1">
    <w:name w:val="heading 1"/>
    <w:basedOn w:val="Normal"/>
    <w:next w:val="Normal"/>
    <w:link w:val="Heading1Char"/>
    <w:uiPriority w:val="99"/>
    <w:semiHidden/>
    <w:rsid w:val="0083157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3157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3157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3157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31573"/>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83157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31573"/>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83157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3157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1573"/>
    <w:rPr>
      <w:rFonts w:ascii="Tahoma" w:hAnsi="Tahoma" w:cs="Tahoma"/>
      <w:sz w:val="16"/>
      <w:szCs w:val="16"/>
    </w:rPr>
  </w:style>
  <w:style w:type="character" w:customStyle="1" w:styleId="BalloonTextChar">
    <w:name w:val="Balloon Text Char"/>
    <w:basedOn w:val="DefaultParagraphFont"/>
    <w:link w:val="BalloonText"/>
    <w:uiPriority w:val="99"/>
    <w:semiHidden/>
    <w:rsid w:val="00831573"/>
    <w:rPr>
      <w:rFonts w:ascii="Tahoma" w:eastAsiaTheme="minorEastAsia" w:hAnsi="Tahoma" w:cs="Tahoma"/>
      <w:sz w:val="16"/>
      <w:szCs w:val="16"/>
    </w:rPr>
  </w:style>
  <w:style w:type="character" w:styleId="BookTitle">
    <w:name w:val="Book Title"/>
    <w:uiPriority w:val="99"/>
    <w:semiHidden/>
    <w:qFormat/>
    <w:rsid w:val="00831573"/>
    <w:rPr>
      <w:i/>
      <w:iCs/>
      <w:smallCaps/>
      <w:spacing w:val="5"/>
    </w:rPr>
  </w:style>
  <w:style w:type="paragraph" w:customStyle="1" w:styleId="ECHRHeader">
    <w:name w:val="ECHR_Header"/>
    <w:aliases w:val="Ju_Header"/>
    <w:basedOn w:val="Header"/>
    <w:uiPriority w:val="4"/>
    <w:qFormat/>
    <w:rsid w:val="0083157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31573"/>
    <w:pPr>
      <w:jc w:val="left"/>
    </w:pPr>
    <w:rPr>
      <w:sz w:val="8"/>
    </w:rPr>
  </w:style>
  <w:style w:type="character" w:styleId="Strong">
    <w:name w:val="Strong"/>
    <w:uiPriority w:val="99"/>
    <w:semiHidden/>
    <w:qFormat/>
    <w:rsid w:val="00831573"/>
    <w:rPr>
      <w:b/>
      <w:bCs/>
    </w:rPr>
  </w:style>
  <w:style w:type="paragraph" w:styleId="NoSpacing">
    <w:name w:val="No Spacing"/>
    <w:basedOn w:val="Normal"/>
    <w:link w:val="NoSpacingChar"/>
    <w:semiHidden/>
    <w:qFormat/>
    <w:rsid w:val="00831573"/>
  </w:style>
  <w:style w:type="character" w:customStyle="1" w:styleId="NoSpacingChar">
    <w:name w:val="No Spacing Char"/>
    <w:basedOn w:val="DefaultParagraphFont"/>
    <w:link w:val="NoSpacing"/>
    <w:semiHidden/>
    <w:rsid w:val="00831573"/>
    <w:rPr>
      <w:rFonts w:eastAsiaTheme="minorEastAsia"/>
      <w:sz w:val="24"/>
    </w:rPr>
  </w:style>
  <w:style w:type="paragraph" w:customStyle="1" w:styleId="ECHRFooterLine">
    <w:name w:val="ECHR_Footer_Line"/>
    <w:aliases w:val="Footer_Line"/>
    <w:basedOn w:val="Normal"/>
    <w:next w:val="ECHRFooter"/>
    <w:uiPriority w:val="57"/>
    <w:semiHidden/>
    <w:rsid w:val="0083157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831573"/>
    <w:pPr>
      <w:numPr>
        <w:numId w:val="14"/>
      </w:numPr>
      <w:jc w:val="left"/>
    </w:pPr>
    <w:rPr>
      <w:b/>
    </w:rPr>
  </w:style>
  <w:style w:type="paragraph" w:customStyle="1" w:styleId="OpiPara">
    <w:name w:val="Opi_Para"/>
    <w:basedOn w:val="ECHRPara"/>
    <w:uiPriority w:val="46"/>
    <w:qFormat/>
    <w:rsid w:val="00831573"/>
  </w:style>
  <w:style w:type="paragraph" w:customStyle="1" w:styleId="JuParaSub">
    <w:name w:val="Ju_Para_Sub"/>
    <w:basedOn w:val="ECHRPara"/>
    <w:uiPriority w:val="13"/>
    <w:qFormat/>
    <w:rsid w:val="00831573"/>
    <w:pPr>
      <w:ind w:left="284"/>
    </w:pPr>
  </w:style>
  <w:style w:type="paragraph" w:customStyle="1" w:styleId="ECHRTitleCentre3">
    <w:name w:val="ECHR_Title_Centre_3"/>
    <w:aliases w:val="Ju_H_Article"/>
    <w:basedOn w:val="Normal"/>
    <w:next w:val="ECHRParaQuote"/>
    <w:uiPriority w:val="27"/>
    <w:qFormat/>
    <w:rsid w:val="0083157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3157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831573"/>
  </w:style>
  <w:style w:type="paragraph" w:customStyle="1" w:styleId="OpiQuot">
    <w:name w:val="Opi_Quot"/>
    <w:basedOn w:val="ECHRParaQuote"/>
    <w:uiPriority w:val="48"/>
    <w:qFormat/>
    <w:rsid w:val="00831573"/>
  </w:style>
  <w:style w:type="paragraph" w:customStyle="1" w:styleId="OpiQuotSub">
    <w:name w:val="Opi_Quot_Sub"/>
    <w:basedOn w:val="JuQuotSub"/>
    <w:uiPriority w:val="49"/>
    <w:semiHidden/>
    <w:qFormat/>
    <w:rsid w:val="00831573"/>
  </w:style>
  <w:style w:type="paragraph" w:customStyle="1" w:styleId="ECHRTitleCentre2">
    <w:name w:val="ECHR_Title_Centre_2"/>
    <w:aliases w:val="Dec_H_Case"/>
    <w:basedOn w:val="Normal"/>
    <w:next w:val="ECHRPara"/>
    <w:uiPriority w:val="8"/>
    <w:qFormat/>
    <w:rsid w:val="00831573"/>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831573"/>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83157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3157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83157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Head_4"/>
    <w:basedOn w:val="Heading4"/>
    <w:next w:val="ECHRPara"/>
    <w:uiPriority w:val="22"/>
    <w:qFormat/>
    <w:rsid w:val="0083157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3157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3157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831573"/>
    <w:pPr>
      <w:keepNext/>
      <w:keepLines/>
      <w:spacing w:before="240" w:after="120"/>
      <w:ind w:left="1236"/>
    </w:pPr>
    <w:rPr>
      <w:sz w:val="20"/>
    </w:rPr>
  </w:style>
  <w:style w:type="paragraph" w:customStyle="1" w:styleId="JuQuotSub">
    <w:name w:val="Ju_Quot_Sub"/>
    <w:basedOn w:val="ECHRParaQuote"/>
    <w:uiPriority w:val="15"/>
    <w:qFormat/>
    <w:rsid w:val="00831573"/>
    <w:pPr>
      <w:ind w:left="567"/>
    </w:pPr>
  </w:style>
  <w:style w:type="paragraph" w:customStyle="1" w:styleId="JuInitialled">
    <w:name w:val="Ju_Initialled"/>
    <w:basedOn w:val="Normal"/>
    <w:uiPriority w:val="31"/>
    <w:qFormat/>
    <w:rsid w:val="00831573"/>
    <w:pPr>
      <w:tabs>
        <w:tab w:val="center" w:pos="6407"/>
      </w:tabs>
      <w:spacing w:before="720"/>
      <w:jc w:val="right"/>
    </w:pPr>
  </w:style>
  <w:style w:type="paragraph" w:customStyle="1" w:styleId="OpiHA">
    <w:name w:val="Opi_H_A"/>
    <w:basedOn w:val="ECHRHeading1"/>
    <w:next w:val="OpiPara"/>
    <w:uiPriority w:val="41"/>
    <w:semiHidden/>
    <w:qFormat/>
    <w:rsid w:val="00831573"/>
    <w:pPr>
      <w:tabs>
        <w:tab w:val="clear" w:pos="357"/>
      </w:tabs>
      <w:outlineLvl w:val="1"/>
    </w:pPr>
    <w:rPr>
      <w:b/>
    </w:rPr>
  </w:style>
  <w:style w:type="paragraph" w:styleId="Header">
    <w:name w:val="header"/>
    <w:basedOn w:val="Normal"/>
    <w:link w:val="HeaderChar"/>
    <w:uiPriority w:val="57"/>
    <w:semiHidden/>
    <w:rsid w:val="0083157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31573"/>
    <w:rPr>
      <w:sz w:val="24"/>
    </w:rPr>
  </w:style>
  <w:style w:type="character" w:customStyle="1" w:styleId="Heading1Char">
    <w:name w:val="Heading 1 Char"/>
    <w:basedOn w:val="DefaultParagraphFont"/>
    <w:link w:val="Heading1"/>
    <w:uiPriority w:val="99"/>
    <w:semiHidden/>
    <w:rsid w:val="0083157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83157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3157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31573"/>
    <w:rPr>
      <w:rFonts w:asciiTheme="majorHAnsi" w:eastAsiaTheme="majorEastAsia" w:hAnsiTheme="majorHAnsi" w:cstheme="majorBidi"/>
      <w:b/>
      <w:bCs/>
      <w:color w:val="4D4D4D"/>
      <w:sz w:val="26"/>
      <w:szCs w:val="26"/>
    </w:rPr>
  </w:style>
  <w:style w:type="character" w:customStyle="1" w:styleId="JUNAMES">
    <w:name w:val="JU_NAMES"/>
    <w:uiPriority w:val="17"/>
    <w:qFormat/>
    <w:rsid w:val="00831573"/>
    <w:rPr>
      <w:caps w:val="0"/>
      <w:smallCaps/>
    </w:rPr>
  </w:style>
  <w:style w:type="paragraph" w:customStyle="1" w:styleId="JuCase">
    <w:name w:val="Ju_Case"/>
    <w:basedOn w:val="Normal"/>
    <w:next w:val="ECHRPara"/>
    <w:uiPriority w:val="10"/>
    <w:rsid w:val="00831573"/>
    <w:pPr>
      <w:ind w:firstLine="284"/>
    </w:pPr>
    <w:rPr>
      <w:b/>
    </w:rPr>
  </w:style>
  <w:style w:type="character" w:customStyle="1" w:styleId="Heading3Char">
    <w:name w:val="Heading 3 Char"/>
    <w:basedOn w:val="DefaultParagraphFont"/>
    <w:link w:val="Heading3"/>
    <w:uiPriority w:val="99"/>
    <w:semiHidden/>
    <w:rsid w:val="0083157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83157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831573"/>
    <w:rPr>
      <w:rFonts w:asciiTheme="majorHAnsi" w:eastAsiaTheme="majorEastAsia" w:hAnsiTheme="majorHAnsi" w:cstheme="majorBidi"/>
      <w:b/>
      <w:bCs/>
      <w:color w:val="808080"/>
      <w:sz w:val="24"/>
    </w:rPr>
  </w:style>
  <w:style w:type="character" w:styleId="SubtleEmphasis">
    <w:name w:val="Subtle Emphasis"/>
    <w:uiPriority w:val="99"/>
    <w:semiHidden/>
    <w:qFormat/>
    <w:rsid w:val="0083157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31573"/>
    <w:pPr>
      <w:keepNext/>
      <w:keepLines/>
      <w:spacing w:before="720" w:after="240"/>
      <w:outlineLvl w:val="0"/>
    </w:pPr>
    <w:rPr>
      <w:rFonts w:asciiTheme="majorHAnsi" w:hAnsiTheme="majorHAnsi"/>
      <w:sz w:val="28"/>
    </w:rPr>
  </w:style>
  <w:style w:type="character" w:styleId="Emphasis">
    <w:name w:val="Emphasis"/>
    <w:uiPriority w:val="99"/>
    <w:semiHidden/>
    <w:qFormat/>
    <w:rsid w:val="00831573"/>
    <w:rPr>
      <w:b/>
      <w:bCs/>
      <w:i/>
      <w:iCs/>
      <w:spacing w:val="10"/>
      <w:bdr w:val="none" w:sz="0" w:space="0" w:color="auto"/>
      <w:shd w:val="clear" w:color="auto" w:fill="auto"/>
    </w:rPr>
  </w:style>
  <w:style w:type="paragraph" w:styleId="Footer">
    <w:name w:val="footer"/>
    <w:basedOn w:val="Normal"/>
    <w:link w:val="FooterChar"/>
    <w:uiPriority w:val="57"/>
    <w:semiHidden/>
    <w:rsid w:val="0083157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31573"/>
    <w:rPr>
      <w:sz w:val="24"/>
    </w:rPr>
  </w:style>
  <w:style w:type="character" w:styleId="FootnoteReference">
    <w:name w:val="footnote reference"/>
    <w:basedOn w:val="DefaultParagraphFont"/>
    <w:uiPriority w:val="99"/>
    <w:semiHidden/>
    <w:rsid w:val="00831573"/>
    <w:rPr>
      <w:vertAlign w:val="superscript"/>
    </w:rPr>
  </w:style>
  <w:style w:type="paragraph" w:styleId="FootnoteText">
    <w:name w:val="footnote text"/>
    <w:basedOn w:val="Normal"/>
    <w:link w:val="FootnoteTextChar"/>
    <w:uiPriority w:val="99"/>
    <w:semiHidden/>
    <w:rsid w:val="00831573"/>
    <w:rPr>
      <w:sz w:val="20"/>
      <w:szCs w:val="20"/>
    </w:rPr>
  </w:style>
  <w:style w:type="character" w:customStyle="1" w:styleId="FootnoteTextChar">
    <w:name w:val="Footnote Text Char"/>
    <w:basedOn w:val="DefaultParagraphFont"/>
    <w:link w:val="FootnoteText"/>
    <w:uiPriority w:val="99"/>
    <w:semiHidden/>
    <w:rsid w:val="00831573"/>
    <w:rPr>
      <w:rFonts w:eastAsiaTheme="minorEastAsia"/>
      <w:sz w:val="20"/>
      <w:szCs w:val="20"/>
    </w:rPr>
  </w:style>
  <w:style w:type="character" w:customStyle="1" w:styleId="Heading6Char">
    <w:name w:val="Heading 6 Char"/>
    <w:basedOn w:val="DefaultParagraphFont"/>
    <w:link w:val="Heading6"/>
    <w:uiPriority w:val="99"/>
    <w:semiHidden/>
    <w:rsid w:val="0083157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831573"/>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8315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3157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831573"/>
    <w:rPr>
      <w:color w:val="0072BC" w:themeColor="hyperlink"/>
      <w:u w:val="single"/>
    </w:rPr>
  </w:style>
  <w:style w:type="character" w:styleId="IntenseEmphasis">
    <w:name w:val="Intense Emphasis"/>
    <w:uiPriority w:val="99"/>
    <w:semiHidden/>
    <w:qFormat/>
    <w:rsid w:val="00831573"/>
    <w:rPr>
      <w:b/>
      <w:bCs/>
    </w:rPr>
  </w:style>
  <w:style w:type="paragraph" w:styleId="IntenseQuote">
    <w:name w:val="Intense Quote"/>
    <w:basedOn w:val="Normal"/>
    <w:next w:val="Normal"/>
    <w:link w:val="IntenseQuoteChar"/>
    <w:uiPriority w:val="99"/>
    <w:semiHidden/>
    <w:qFormat/>
    <w:rsid w:val="0083157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831573"/>
    <w:rPr>
      <w:rFonts w:eastAsiaTheme="minorEastAsia"/>
      <w:b/>
      <w:bCs/>
      <w:i/>
      <w:iCs/>
      <w:sz w:val="24"/>
      <w:lang w:bidi="en-US"/>
    </w:rPr>
  </w:style>
  <w:style w:type="character" w:styleId="IntenseReference">
    <w:name w:val="Intense Reference"/>
    <w:uiPriority w:val="99"/>
    <w:semiHidden/>
    <w:qFormat/>
    <w:rsid w:val="00831573"/>
    <w:rPr>
      <w:smallCaps/>
      <w:spacing w:val="5"/>
      <w:u w:val="single"/>
    </w:rPr>
  </w:style>
  <w:style w:type="paragraph" w:styleId="ListParagraph">
    <w:name w:val="List Paragraph"/>
    <w:basedOn w:val="Normal"/>
    <w:uiPriority w:val="99"/>
    <w:semiHidden/>
    <w:qFormat/>
    <w:rsid w:val="0083157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31573"/>
    <w:pPr>
      <w:spacing w:before="200"/>
      <w:ind w:left="360" w:right="360"/>
    </w:pPr>
    <w:rPr>
      <w:i/>
      <w:iCs/>
      <w:lang w:bidi="en-US"/>
    </w:rPr>
  </w:style>
  <w:style w:type="character" w:customStyle="1" w:styleId="QuoteChar">
    <w:name w:val="Quote Char"/>
    <w:basedOn w:val="DefaultParagraphFont"/>
    <w:link w:val="Quote"/>
    <w:uiPriority w:val="99"/>
    <w:semiHidden/>
    <w:rsid w:val="00831573"/>
    <w:rPr>
      <w:rFonts w:eastAsiaTheme="minorEastAsia"/>
      <w:i/>
      <w:iCs/>
      <w:sz w:val="24"/>
      <w:lang w:bidi="en-US"/>
    </w:rPr>
  </w:style>
  <w:style w:type="character" w:styleId="SubtleReference">
    <w:name w:val="Subtle Reference"/>
    <w:uiPriority w:val="99"/>
    <w:semiHidden/>
    <w:qFormat/>
    <w:rsid w:val="00831573"/>
    <w:rPr>
      <w:smallCaps/>
    </w:rPr>
  </w:style>
  <w:style w:type="table" w:styleId="TableGrid">
    <w:name w:val="Table Grid"/>
    <w:basedOn w:val="TableNormal"/>
    <w:uiPriority w:val="59"/>
    <w:rsid w:val="0083157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3157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31573"/>
    <w:pPr>
      <w:spacing w:after="60"/>
      <w:ind w:left="680" w:right="340" w:hanging="340"/>
    </w:pPr>
  </w:style>
  <w:style w:type="paragraph" w:styleId="TOC3">
    <w:name w:val="toc 3"/>
    <w:basedOn w:val="Normal"/>
    <w:next w:val="Normal"/>
    <w:autoRedefine/>
    <w:uiPriority w:val="99"/>
    <w:semiHidden/>
    <w:rsid w:val="00831573"/>
    <w:pPr>
      <w:spacing w:after="60"/>
      <w:ind w:left="1020" w:right="340" w:hanging="340"/>
    </w:pPr>
  </w:style>
  <w:style w:type="paragraph" w:styleId="TOC4">
    <w:name w:val="toc 4"/>
    <w:basedOn w:val="Normal"/>
    <w:next w:val="Normal"/>
    <w:autoRedefine/>
    <w:uiPriority w:val="99"/>
    <w:semiHidden/>
    <w:rsid w:val="00831573"/>
    <w:pPr>
      <w:tabs>
        <w:tab w:val="right" w:leader="dot" w:pos="9017"/>
      </w:tabs>
      <w:spacing w:after="60"/>
      <w:ind w:left="1361" w:right="340" w:hanging="340"/>
    </w:pPr>
  </w:style>
  <w:style w:type="paragraph" w:styleId="TOC5">
    <w:name w:val="toc 5"/>
    <w:basedOn w:val="Normal"/>
    <w:next w:val="Normal"/>
    <w:autoRedefine/>
    <w:uiPriority w:val="99"/>
    <w:semiHidden/>
    <w:rsid w:val="00831573"/>
    <w:pPr>
      <w:spacing w:after="60"/>
      <w:ind w:left="1701" w:right="340" w:hanging="340"/>
    </w:pPr>
  </w:style>
  <w:style w:type="paragraph" w:styleId="TOCHeading">
    <w:name w:val="TOC Heading"/>
    <w:basedOn w:val="Heading1"/>
    <w:next w:val="Normal"/>
    <w:uiPriority w:val="99"/>
    <w:semiHidden/>
    <w:qFormat/>
    <w:rsid w:val="0083157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3157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link w:val="JuQuotChar"/>
    <w:uiPriority w:val="14"/>
    <w:qFormat/>
    <w:rsid w:val="00831573"/>
    <w:pPr>
      <w:spacing w:before="120" w:after="120"/>
      <w:ind w:left="425" w:firstLine="142"/>
    </w:pPr>
    <w:rPr>
      <w:sz w:val="20"/>
    </w:rPr>
  </w:style>
  <w:style w:type="paragraph" w:customStyle="1" w:styleId="ECHRPara">
    <w:name w:val="ECHR_Para"/>
    <w:aliases w:val="Ju_Para"/>
    <w:basedOn w:val="Normal"/>
    <w:link w:val="ECHRParaChar"/>
    <w:uiPriority w:val="12"/>
    <w:qFormat/>
    <w:rsid w:val="00831573"/>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3157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83157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831573"/>
    <w:pPr>
      <w:ind w:left="340" w:hanging="340"/>
    </w:pPr>
  </w:style>
  <w:style w:type="paragraph" w:customStyle="1" w:styleId="JuSigned">
    <w:name w:val="Ju_Signed"/>
    <w:basedOn w:val="Normal"/>
    <w:next w:val="JuParaLast"/>
    <w:uiPriority w:val="32"/>
    <w:qFormat/>
    <w:rsid w:val="00831573"/>
    <w:pPr>
      <w:tabs>
        <w:tab w:val="center" w:pos="851"/>
        <w:tab w:val="center" w:pos="6407"/>
      </w:tabs>
      <w:spacing w:before="720"/>
      <w:jc w:val="left"/>
    </w:pPr>
  </w:style>
  <w:style w:type="paragraph" w:customStyle="1" w:styleId="JuParaLast">
    <w:name w:val="Ju_Para_Last"/>
    <w:basedOn w:val="Normal"/>
    <w:next w:val="ECHRPara"/>
    <w:uiPriority w:val="30"/>
    <w:qFormat/>
    <w:rsid w:val="00831573"/>
    <w:pPr>
      <w:keepNext/>
      <w:keepLines/>
      <w:spacing w:before="240"/>
      <w:ind w:firstLine="284"/>
    </w:pPr>
  </w:style>
  <w:style w:type="character" w:customStyle="1" w:styleId="JuITMark">
    <w:name w:val="Ju_ITMark"/>
    <w:basedOn w:val="DefaultParagraphFont"/>
    <w:uiPriority w:val="38"/>
    <w:qFormat/>
    <w:rsid w:val="00831573"/>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831573"/>
    <w:pPr>
      <w:ind w:left="346" w:firstLine="0"/>
    </w:pPr>
  </w:style>
  <w:style w:type="paragraph" w:customStyle="1" w:styleId="JuListi">
    <w:name w:val="Ju_List_i"/>
    <w:basedOn w:val="Normal"/>
    <w:next w:val="JuLista"/>
    <w:uiPriority w:val="28"/>
    <w:qFormat/>
    <w:rsid w:val="00831573"/>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831573"/>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831573"/>
  </w:style>
  <w:style w:type="paragraph" w:styleId="Subtitle">
    <w:name w:val="Subtitle"/>
    <w:basedOn w:val="Normal"/>
    <w:next w:val="Normal"/>
    <w:link w:val="SubtitleChar"/>
    <w:uiPriority w:val="99"/>
    <w:semiHidden/>
    <w:qFormat/>
    <w:rsid w:val="0083157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3157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831573"/>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831573"/>
    <w:pPr>
      <w:spacing w:before="240"/>
      <w:ind w:left="284"/>
    </w:pPr>
  </w:style>
  <w:style w:type="paragraph" w:customStyle="1" w:styleId="OpiH1">
    <w:name w:val="Opi_H_1"/>
    <w:basedOn w:val="ECHRHeading2"/>
    <w:uiPriority w:val="42"/>
    <w:semiHidden/>
    <w:qFormat/>
    <w:rsid w:val="00831573"/>
    <w:pPr>
      <w:ind w:left="635" w:hanging="357"/>
      <w:outlineLvl w:val="2"/>
    </w:pPr>
  </w:style>
  <w:style w:type="paragraph" w:customStyle="1" w:styleId="OpiHa0">
    <w:name w:val="Opi_H_a"/>
    <w:basedOn w:val="ECHRHeading3"/>
    <w:uiPriority w:val="43"/>
    <w:semiHidden/>
    <w:qFormat/>
    <w:rsid w:val="00831573"/>
    <w:pPr>
      <w:ind w:left="833" w:hanging="357"/>
      <w:outlineLvl w:val="3"/>
    </w:pPr>
    <w:rPr>
      <w:b/>
      <w:i w:val="0"/>
      <w:sz w:val="20"/>
    </w:rPr>
  </w:style>
  <w:style w:type="paragraph" w:customStyle="1" w:styleId="OpiHi">
    <w:name w:val="Opi_H_i"/>
    <w:basedOn w:val="ECHRHeading4"/>
    <w:uiPriority w:val="44"/>
    <w:semiHidden/>
    <w:qFormat/>
    <w:rsid w:val="00831573"/>
    <w:pPr>
      <w:ind w:left="1037" w:hanging="357"/>
      <w:outlineLvl w:val="4"/>
    </w:pPr>
    <w:rPr>
      <w:b w:val="0"/>
      <w:i/>
    </w:rPr>
  </w:style>
  <w:style w:type="paragraph" w:customStyle="1" w:styleId="DummyStyle">
    <w:name w:val="Dummy_Style"/>
    <w:basedOn w:val="Normal"/>
    <w:semiHidden/>
    <w:qFormat/>
    <w:rsid w:val="00831573"/>
    <w:rPr>
      <w:color w:val="00B050"/>
      <w:lang w:bidi="en-US"/>
    </w:rPr>
  </w:style>
  <w:style w:type="character" w:customStyle="1" w:styleId="ECHRParaChar">
    <w:name w:val="ECHR_Para Char"/>
    <w:aliases w:val="Ju_Para Char"/>
    <w:basedOn w:val="DefaultParagraphFont"/>
    <w:link w:val="ECHRPara"/>
    <w:uiPriority w:val="12"/>
    <w:rsid w:val="00762B48"/>
    <w:rPr>
      <w:rFonts w:eastAsiaTheme="minorEastAsia"/>
      <w:sz w:val="24"/>
    </w:rPr>
  </w:style>
  <w:style w:type="character" w:customStyle="1" w:styleId="JuQuotChar">
    <w:name w:val="Ju_Quot Char"/>
    <w:basedOn w:val="ECHRParaChar"/>
    <w:link w:val="ECHRParaQuote"/>
    <w:uiPriority w:val="14"/>
    <w:rsid w:val="00762B48"/>
    <w:rPr>
      <w:rFonts w:eastAsiaTheme="minorEastAsia"/>
      <w:sz w:val="20"/>
    </w:rPr>
  </w:style>
  <w:style w:type="paragraph" w:styleId="Revision">
    <w:name w:val="Revision"/>
    <w:hidden/>
    <w:uiPriority w:val="99"/>
    <w:semiHidden/>
    <w:rsid w:val="006D28D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436">
      <w:bodyDiv w:val="1"/>
      <w:marLeft w:val="0"/>
      <w:marRight w:val="0"/>
      <w:marTop w:val="0"/>
      <w:marBottom w:val="0"/>
      <w:divBdr>
        <w:top w:val="none" w:sz="0" w:space="0" w:color="auto"/>
        <w:left w:val="none" w:sz="0" w:space="0" w:color="auto"/>
        <w:bottom w:val="none" w:sz="0" w:space="0" w:color="auto"/>
        <w:right w:val="none" w:sz="0" w:space="0" w:color="auto"/>
      </w:divBdr>
      <w:divsChild>
        <w:div w:id="970135414">
          <w:marLeft w:val="0"/>
          <w:marRight w:val="0"/>
          <w:marTop w:val="0"/>
          <w:marBottom w:val="0"/>
          <w:divBdr>
            <w:top w:val="none" w:sz="0" w:space="0" w:color="auto"/>
            <w:left w:val="none" w:sz="0" w:space="0" w:color="auto"/>
            <w:bottom w:val="none" w:sz="0" w:space="0" w:color="auto"/>
            <w:right w:val="none" w:sz="0" w:space="0" w:color="auto"/>
          </w:divBdr>
          <w:divsChild>
            <w:div w:id="617183766">
              <w:marLeft w:val="0"/>
              <w:marRight w:val="0"/>
              <w:marTop w:val="0"/>
              <w:marBottom w:val="0"/>
              <w:divBdr>
                <w:top w:val="none" w:sz="0" w:space="0" w:color="auto"/>
                <w:left w:val="none" w:sz="0" w:space="0" w:color="auto"/>
                <w:bottom w:val="none" w:sz="0" w:space="0" w:color="auto"/>
                <w:right w:val="none" w:sz="0" w:space="0" w:color="auto"/>
              </w:divBdr>
              <w:divsChild>
                <w:div w:id="981884872">
                  <w:marLeft w:val="0"/>
                  <w:marRight w:val="0"/>
                  <w:marTop w:val="0"/>
                  <w:marBottom w:val="0"/>
                  <w:divBdr>
                    <w:top w:val="none" w:sz="0" w:space="0" w:color="auto"/>
                    <w:left w:val="none" w:sz="0" w:space="0" w:color="auto"/>
                    <w:bottom w:val="none" w:sz="0" w:space="0" w:color="auto"/>
                    <w:right w:val="none" w:sz="0" w:space="0" w:color="auto"/>
                  </w:divBdr>
                  <w:divsChild>
                    <w:div w:id="1603143305">
                      <w:marLeft w:val="0"/>
                      <w:marRight w:val="0"/>
                      <w:marTop w:val="0"/>
                      <w:marBottom w:val="0"/>
                      <w:divBdr>
                        <w:top w:val="none" w:sz="0" w:space="0" w:color="auto"/>
                        <w:left w:val="none" w:sz="0" w:space="0" w:color="auto"/>
                        <w:bottom w:val="none" w:sz="0" w:space="0" w:color="auto"/>
                        <w:right w:val="none" w:sz="0" w:space="0" w:color="auto"/>
                      </w:divBdr>
                      <w:divsChild>
                        <w:div w:id="1708095632">
                          <w:marLeft w:val="0"/>
                          <w:marRight w:val="0"/>
                          <w:marTop w:val="0"/>
                          <w:marBottom w:val="0"/>
                          <w:divBdr>
                            <w:top w:val="none" w:sz="0" w:space="0" w:color="auto"/>
                            <w:left w:val="none" w:sz="0" w:space="0" w:color="auto"/>
                            <w:bottom w:val="none" w:sz="0" w:space="0" w:color="auto"/>
                            <w:right w:val="none" w:sz="0" w:space="0" w:color="auto"/>
                          </w:divBdr>
                          <w:divsChild>
                            <w:div w:id="4130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076">
      <w:bodyDiv w:val="1"/>
      <w:marLeft w:val="0"/>
      <w:marRight w:val="0"/>
      <w:marTop w:val="0"/>
      <w:marBottom w:val="0"/>
      <w:divBdr>
        <w:top w:val="none" w:sz="0" w:space="0" w:color="auto"/>
        <w:left w:val="none" w:sz="0" w:space="0" w:color="auto"/>
        <w:bottom w:val="none" w:sz="0" w:space="0" w:color="auto"/>
        <w:right w:val="none" w:sz="0" w:space="0" w:color="auto"/>
      </w:divBdr>
    </w:div>
    <w:div w:id="232351608">
      <w:bodyDiv w:val="1"/>
      <w:marLeft w:val="0"/>
      <w:marRight w:val="0"/>
      <w:marTop w:val="0"/>
      <w:marBottom w:val="0"/>
      <w:divBdr>
        <w:top w:val="none" w:sz="0" w:space="0" w:color="auto"/>
        <w:left w:val="none" w:sz="0" w:space="0" w:color="auto"/>
        <w:bottom w:val="none" w:sz="0" w:space="0" w:color="auto"/>
        <w:right w:val="none" w:sz="0" w:space="0" w:color="auto"/>
      </w:divBdr>
      <w:divsChild>
        <w:div w:id="1762412663">
          <w:marLeft w:val="0"/>
          <w:marRight w:val="0"/>
          <w:marTop w:val="0"/>
          <w:marBottom w:val="0"/>
          <w:divBdr>
            <w:top w:val="none" w:sz="0" w:space="0" w:color="auto"/>
            <w:left w:val="none" w:sz="0" w:space="0" w:color="auto"/>
            <w:bottom w:val="none" w:sz="0" w:space="0" w:color="auto"/>
            <w:right w:val="none" w:sz="0" w:space="0" w:color="auto"/>
          </w:divBdr>
          <w:divsChild>
            <w:div w:id="1248920809">
              <w:marLeft w:val="0"/>
              <w:marRight w:val="0"/>
              <w:marTop w:val="0"/>
              <w:marBottom w:val="0"/>
              <w:divBdr>
                <w:top w:val="none" w:sz="0" w:space="0" w:color="auto"/>
                <w:left w:val="none" w:sz="0" w:space="0" w:color="auto"/>
                <w:bottom w:val="none" w:sz="0" w:space="0" w:color="auto"/>
                <w:right w:val="none" w:sz="0" w:space="0" w:color="auto"/>
              </w:divBdr>
              <w:divsChild>
                <w:div w:id="1492671980">
                  <w:marLeft w:val="0"/>
                  <w:marRight w:val="0"/>
                  <w:marTop w:val="0"/>
                  <w:marBottom w:val="0"/>
                  <w:divBdr>
                    <w:top w:val="none" w:sz="0" w:space="0" w:color="auto"/>
                    <w:left w:val="none" w:sz="0" w:space="0" w:color="auto"/>
                    <w:bottom w:val="none" w:sz="0" w:space="0" w:color="auto"/>
                    <w:right w:val="none" w:sz="0" w:space="0" w:color="auto"/>
                  </w:divBdr>
                  <w:divsChild>
                    <w:div w:id="1025181278">
                      <w:marLeft w:val="0"/>
                      <w:marRight w:val="0"/>
                      <w:marTop w:val="0"/>
                      <w:marBottom w:val="0"/>
                      <w:divBdr>
                        <w:top w:val="none" w:sz="0" w:space="0" w:color="auto"/>
                        <w:left w:val="none" w:sz="0" w:space="0" w:color="auto"/>
                        <w:bottom w:val="none" w:sz="0" w:space="0" w:color="auto"/>
                        <w:right w:val="none" w:sz="0" w:space="0" w:color="auto"/>
                      </w:divBdr>
                      <w:divsChild>
                        <w:div w:id="946695347">
                          <w:marLeft w:val="0"/>
                          <w:marRight w:val="0"/>
                          <w:marTop w:val="0"/>
                          <w:marBottom w:val="0"/>
                          <w:divBdr>
                            <w:top w:val="none" w:sz="0" w:space="0" w:color="auto"/>
                            <w:left w:val="none" w:sz="0" w:space="0" w:color="auto"/>
                            <w:bottom w:val="none" w:sz="0" w:space="0" w:color="auto"/>
                            <w:right w:val="none" w:sz="0" w:space="0" w:color="auto"/>
                          </w:divBdr>
                          <w:divsChild>
                            <w:div w:id="2053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4151">
      <w:bodyDiv w:val="1"/>
      <w:marLeft w:val="30"/>
      <w:marRight w:val="30"/>
      <w:marTop w:val="30"/>
      <w:marBottom w:val="30"/>
      <w:divBdr>
        <w:top w:val="none" w:sz="0" w:space="0" w:color="auto"/>
        <w:left w:val="none" w:sz="0" w:space="0" w:color="auto"/>
        <w:bottom w:val="none" w:sz="0" w:space="0" w:color="auto"/>
        <w:right w:val="none" w:sz="0" w:space="0" w:color="auto"/>
      </w:divBdr>
      <w:divsChild>
        <w:div w:id="21714814">
          <w:marLeft w:val="0"/>
          <w:marRight w:val="0"/>
          <w:marTop w:val="0"/>
          <w:marBottom w:val="0"/>
          <w:divBdr>
            <w:top w:val="none" w:sz="0" w:space="0" w:color="auto"/>
            <w:left w:val="none" w:sz="0" w:space="0" w:color="auto"/>
            <w:bottom w:val="none" w:sz="0" w:space="0" w:color="auto"/>
            <w:right w:val="none" w:sz="0" w:space="0" w:color="auto"/>
          </w:divBdr>
          <w:divsChild>
            <w:div w:id="1922133944">
              <w:marLeft w:val="45"/>
              <w:marRight w:val="45"/>
              <w:marTop w:val="45"/>
              <w:marBottom w:val="45"/>
              <w:divBdr>
                <w:top w:val="none" w:sz="0" w:space="0" w:color="auto"/>
                <w:left w:val="none" w:sz="0" w:space="0" w:color="auto"/>
                <w:bottom w:val="none" w:sz="0" w:space="0" w:color="auto"/>
                <w:right w:val="none" w:sz="0" w:space="0" w:color="auto"/>
              </w:divBdr>
              <w:divsChild>
                <w:div w:id="1384712099">
                  <w:marLeft w:val="0"/>
                  <w:marRight w:val="0"/>
                  <w:marTop w:val="0"/>
                  <w:marBottom w:val="0"/>
                  <w:divBdr>
                    <w:top w:val="none" w:sz="0" w:space="0" w:color="auto"/>
                    <w:left w:val="none" w:sz="0" w:space="0" w:color="auto"/>
                    <w:bottom w:val="none" w:sz="0" w:space="0" w:color="auto"/>
                    <w:right w:val="none" w:sz="0" w:space="0" w:color="auto"/>
                  </w:divBdr>
                  <w:divsChild>
                    <w:div w:id="1020862211">
                      <w:marLeft w:val="0"/>
                      <w:marRight w:val="0"/>
                      <w:marTop w:val="150"/>
                      <w:marBottom w:val="0"/>
                      <w:divBdr>
                        <w:top w:val="none" w:sz="0" w:space="0" w:color="auto"/>
                        <w:left w:val="none" w:sz="0" w:space="0" w:color="auto"/>
                        <w:bottom w:val="none" w:sz="0" w:space="0" w:color="auto"/>
                        <w:right w:val="none" w:sz="0" w:space="0" w:color="auto"/>
                      </w:divBdr>
                    </w:div>
                    <w:div w:id="1297560809">
                      <w:marLeft w:val="0"/>
                      <w:marRight w:val="0"/>
                      <w:marTop w:val="150"/>
                      <w:marBottom w:val="0"/>
                      <w:divBdr>
                        <w:top w:val="none" w:sz="0" w:space="0" w:color="auto"/>
                        <w:left w:val="none" w:sz="0" w:space="0" w:color="auto"/>
                        <w:bottom w:val="none" w:sz="0" w:space="0" w:color="auto"/>
                        <w:right w:val="none" w:sz="0" w:space="0" w:color="auto"/>
                      </w:divBdr>
                    </w:div>
                    <w:div w:id="1425801737">
                      <w:marLeft w:val="0"/>
                      <w:marRight w:val="0"/>
                      <w:marTop w:val="150"/>
                      <w:marBottom w:val="0"/>
                      <w:divBdr>
                        <w:top w:val="none" w:sz="0" w:space="0" w:color="auto"/>
                        <w:left w:val="none" w:sz="0" w:space="0" w:color="auto"/>
                        <w:bottom w:val="none" w:sz="0" w:space="0" w:color="auto"/>
                        <w:right w:val="none" w:sz="0" w:space="0" w:color="auto"/>
                      </w:divBdr>
                    </w:div>
                    <w:div w:id="1999527614">
                      <w:marLeft w:val="0"/>
                      <w:marRight w:val="0"/>
                      <w:marTop w:val="150"/>
                      <w:marBottom w:val="0"/>
                      <w:divBdr>
                        <w:top w:val="none" w:sz="0" w:space="0" w:color="auto"/>
                        <w:left w:val="none" w:sz="0" w:space="0" w:color="auto"/>
                        <w:bottom w:val="none" w:sz="0" w:space="0" w:color="auto"/>
                        <w:right w:val="none" w:sz="0" w:space="0" w:color="auto"/>
                      </w:divBdr>
                      <w:divsChild>
                        <w:div w:id="568350948">
                          <w:marLeft w:val="480"/>
                          <w:marRight w:val="0"/>
                          <w:marTop w:val="150"/>
                          <w:marBottom w:val="0"/>
                          <w:divBdr>
                            <w:top w:val="none" w:sz="0" w:space="0" w:color="auto"/>
                            <w:left w:val="none" w:sz="0" w:space="0" w:color="auto"/>
                            <w:bottom w:val="none" w:sz="0" w:space="0" w:color="auto"/>
                            <w:right w:val="none" w:sz="0" w:space="0" w:color="auto"/>
                          </w:divBdr>
                        </w:div>
                        <w:div w:id="1358890024">
                          <w:marLeft w:val="480"/>
                          <w:marRight w:val="0"/>
                          <w:marTop w:val="150"/>
                          <w:marBottom w:val="0"/>
                          <w:divBdr>
                            <w:top w:val="none" w:sz="0" w:space="0" w:color="auto"/>
                            <w:left w:val="none" w:sz="0" w:space="0" w:color="auto"/>
                            <w:bottom w:val="none" w:sz="0" w:space="0" w:color="auto"/>
                            <w:right w:val="none" w:sz="0" w:space="0" w:color="auto"/>
                          </w:divBdr>
                        </w:div>
                      </w:divsChild>
                    </w:div>
                    <w:div w:id="1754857993">
                      <w:marLeft w:val="0"/>
                      <w:marRight w:val="0"/>
                      <w:marTop w:val="150"/>
                      <w:marBottom w:val="0"/>
                      <w:divBdr>
                        <w:top w:val="none" w:sz="0" w:space="0" w:color="auto"/>
                        <w:left w:val="none" w:sz="0" w:space="0" w:color="auto"/>
                        <w:bottom w:val="none" w:sz="0" w:space="0" w:color="auto"/>
                        <w:right w:val="none" w:sz="0" w:space="0" w:color="auto"/>
                      </w:divBdr>
                      <w:divsChild>
                        <w:div w:id="1426152521">
                          <w:marLeft w:val="480"/>
                          <w:marRight w:val="0"/>
                          <w:marTop w:val="150"/>
                          <w:marBottom w:val="0"/>
                          <w:divBdr>
                            <w:top w:val="none" w:sz="0" w:space="0" w:color="auto"/>
                            <w:left w:val="none" w:sz="0" w:space="0" w:color="auto"/>
                            <w:bottom w:val="none" w:sz="0" w:space="0" w:color="auto"/>
                            <w:right w:val="none" w:sz="0" w:space="0" w:color="auto"/>
                          </w:divBdr>
                        </w:div>
                        <w:div w:id="1843474677">
                          <w:marLeft w:val="480"/>
                          <w:marRight w:val="0"/>
                          <w:marTop w:val="150"/>
                          <w:marBottom w:val="0"/>
                          <w:divBdr>
                            <w:top w:val="none" w:sz="0" w:space="0" w:color="auto"/>
                            <w:left w:val="none" w:sz="0" w:space="0" w:color="auto"/>
                            <w:bottom w:val="none" w:sz="0" w:space="0" w:color="auto"/>
                            <w:right w:val="none" w:sz="0" w:space="0" w:color="auto"/>
                          </w:divBdr>
                        </w:div>
                        <w:div w:id="1233855142">
                          <w:marLeft w:val="480"/>
                          <w:marRight w:val="0"/>
                          <w:marTop w:val="150"/>
                          <w:marBottom w:val="0"/>
                          <w:divBdr>
                            <w:top w:val="none" w:sz="0" w:space="0" w:color="auto"/>
                            <w:left w:val="none" w:sz="0" w:space="0" w:color="auto"/>
                            <w:bottom w:val="none" w:sz="0" w:space="0" w:color="auto"/>
                            <w:right w:val="none" w:sz="0" w:space="0" w:color="auto"/>
                          </w:divBdr>
                        </w:div>
                        <w:div w:id="1467817806">
                          <w:marLeft w:val="480"/>
                          <w:marRight w:val="0"/>
                          <w:marTop w:val="150"/>
                          <w:marBottom w:val="0"/>
                          <w:divBdr>
                            <w:top w:val="none" w:sz="0" w:space="0" w:color="auto"/>
                            <w:left w:val="none" w:sz="0" w:space="0" w:color="auto"/>
                            <w:bottom w:val="none" w:sz="0" w:space="0" w:color="auto"/>
                            <w:right w:val="none" w:sz="0" w:space="0" w:color="auto"/>
                          </w:divBdr>
                        </w:div>
                        <w:div w:id="342321354">
                          <w:marLeft w:val="480"/>
                          <w:marRight w:val="0"/>
                          <w:marTop w:val="150"/>
                          <w:marBottom w:val="0"/>
                          <w:divBdr>
                            <w:top w:val="none" w:sz="0" w:space="0" w:color="auto"/>
                            <w:left w:val="none" w:sz="0" w:space="0" w:color="auto"/>
                            <w:bottom w:val="none" w:sz="0" w:space="0" w:color="auto"/>
                            <w:right w:val="none" w:sz="0" w:space="0" w:color="auto"/>
                          </w:divBdr>
                        </w:div>
                        <w:div w:id="772211501">
                          <w:marLeft w:val="480"/>
                          <w:marRight w:val="0"/>
                          <w:marTop w:val="150"/>
                          <w:marBottom w:val="0"/>
                          <w:divBdr>
                            <w:top w:val="none" w:sz="0" w:space="0" w:color="auto"/>
                            <w:left w:val="none" w:sz="0" w:space="0" w:color="auto"/>
                            <w:bottom w:val="none" w:sz="0" w:space="0" w:color="auto"/>
                            <w:right w:val="none" w:sz="0" w:space="0" w:color="auto"/>
                          </w:divBdr>
                        </w:div>
                      </w:divsChild>
                    </w:div>
                    <w:div w:id="812914548">
                      <w:marLeft w:val="0"/>
                      <w:marRight w:val="0"/>
                      <w:marTop w:val="150"/>
                      <w:marBottom w:val="0"/>
                      <w:divBdr>
                        <w:top w:val="none" w:sz="0" w:space="0" w:color="auto"/>
                        <w:left w:val="none" w:sz="0" w:space="0" w:color="auto"/>
                        <w:bottom w:val="none" w:sz="0" w:space="0" w:color="auto"/>
                        <w:right w:val="none" w:sz="0" w:space="0" w:color="auto"/>
                      </w:divBdr>
                      <w:divsChild>
                        <w:div w:id="425004516">
                          <w:marLeft w:val="480"/>
                          <w:marRight w:val="0"/>
                          <w:marTop w:val="150"/>
                          <w:marBottom w:val="0"/>
                          <w:divBdr>
                            <w:top w:val="none" w:sz="0" w:space="0" w:color="auto"/>
                            <w:left w:val="none" w:sz="0" w:space="0" w:color="auto"/>
                            <w:bottom w:val="none" w:sz="0" w:space="0" w:color="auto"/>
                            <w:right w:val="none" w:sz="0" w:space="0" w:color="auto"/>
                          </w:divBdr>
                        </w:div>
                        <w:div w:id="1824735871">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2752">
      <w:bodyDiv w:val="1"/>
      <w:marLeft w:val="0"/>
      <w:marRight w:val="0"/>
      <w:marTop w:val="0"/>
      <w:marBottom w:val="0"/>
      <w:divBdr>
        <w:top w:val="none" w:sz="0" w:space="0" w:color="auto"/>
        <w:left w:val="none" w:sz="0" w:space="0" w:color="auto"/>
        <w:bottom w:val="none" w:sz="0" w:space="0" w:color="auto"/>
        <w:right w:val="none" w:sz="0" w:space="0" w:color="auto"/>
      </w:divBdr>
      <w:divsChild>
        <w:div w:id="1478380199">
          <w:marLeft w:val="0"/>
          <w:marRight w:val="0"/>
          <w:marTop w:val="0"/>
          <w:marBottom w:val="0"/>
          <w:divBdr>
            <w:top w:val="none" w:sz="0" w:space="0" w:color="auto"/>
            <w:left w:val="none" w:sz="0" w:space="0" w:color="auto"/>
            <w:bottom w:val="none" w:sz="0" w:space="0" w:color="auto"/>
            <w:right w:val="none" w:sz="0" w:space="0" w:color="auto"/>
          </w:divBdr>
          <w:divsChild>
            <w:div w:id="757483147">
              <w:marLeft w:val="0"/>
              <w:marRight w:val="0"/>
              <w:marTop w:val="0"/>
              <w:marBottom w:val="0"/>
              <w:divBdr>
                <w:top w:val="none" w:sz="0" w:space="0" w:color="auto"/>
                <w:left w:val="none" w:sz="0" w:space="0" w:color="auto"/>
                <w:bottom w:val="none" w:sz="0" w:space="0" w:color="auto"/>
                <w:right w:val="none" w:sz="0" w:space="0" w:color="auto"/>
              </w:divBdr>
              <w:divsChild>
                <w:div w:id="1879932284">
                  <w:marLeft w:val="0"/>
                  <w:marRight w:val="0"/>
                  <w:marTop w:val="0"/>
                  <w:marBottom w:val="0"/>
                  <w:divBdr>
                    <w:top w:val="none" w:sz="0" w:space="0" w:color="auto"/>
                    <w:left w:val="none" w:sz="0" w:space="0" w:color="auto"/>
                    <w:bottom w:val="none" w:sz="0" w:space="0" w:color="auto"/>
                    <w:right w:val="none" w:sz="0" w:space="0" w:color="auto"/>
                  </w:divBdr>
                  <w:divsChild>
                    <w:div w:id="858468398">
                      <w:marLeft w:val="0"/>
                      <w:marRight w:val="0"/>
                      <w:marTop w:val="0"/>
                      <w:marBottom w:val="0"/>
                      <w:divBdr>
                        <w:top w:val="none" w:sz="0" w:space="0" w:color="auto"/>
                        <w:left w:val="none" w:sz="0" w:space="0" w:color="auto"/>
                        <w:bottom w:val="none" w:sz="0" w:space="0" w:color="auto"/>
                        <w:right w:val="none" w:sz="0" w:space="0" w:color="auto"/>
                      </w:divBdr>
                      <w:divsChild>
                        <w:div w:id="2146390994">
                          <w:marLeft w:val="0"/>
                          <w:marRight w:val="0"/>
                          <w:marTop w:val="0"/>
                          <w:marBottom w:val="0"/>
                          <w:divBdr>
                            <w:top w:val="none" w:sz="0" w:space="0" w:color="auto"/>
                            <w:left w:val="none" w:sz="0" w:space="0" w:color="auto"/>
                            <w:bottom w:val="none" w:sz="0" w:space="0" w:color="auto"/>
                            <w:right w:val="none" w:sz="0" w:space="0" w:color="auto"/>
                          </w:divBdr>
                          <w:divsChild>
                            <w:div w:id="19174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82742">
      <w:bodyDiv w:val="1"/>
      <w:marLeft w:val="0"/>
      <w:marRight w:val="0"/>
      <w:marTop w:val="0"/>
      <w:marBottom w:val="0"/>
      <w:divBdr>
        <w:top w:val="none" w:sz="0" w:space="0" w:color="auto"/>
        <w:left w:val="none" w:sz="0" w:space="0" w:color="auto"/>
        <w:bottom w:val="none" w:sz="0" w:space="0" w:color="auto"/>
        <w:right w:val="none" w:sz="0" w:space="0" w:color="auto"/>
      </w:divBdr>
      <w:divsChild>
        <w:div w:id="515995644">
          <w:marLeft w:val="0"/>
          <w:marRight w:val="0"/>
          <w:marTop w:val="0"/>
          <w:marBottom w:val="0"/>
          <w:divBdr>
            <w:top w:val="none" w:sz="0" w:space="0" w:color="auto"/>
            <w:left w:val="none" w:sz="0" w:space="0" w:color="auto"/>
            <w:bottom w:val="none" w:sz="0" w:space="0" w:color="auto"/>
            <w:right w:val="none" w:sz="0" w:space="0" w:color="auto"/>
          </w:divBdr>
          <w:divsChild>
            <w:div w:id="1578661940">
              <w:marLeft w:val="0"/>
              <w:marRight w:val="0"/>
              <w:marTop w:val="0"/>
              <w:marBottom w:val="0"/>
              <w:divBdr>
                <w:top w:val="none" w:sz="0" w:space="0" w:color="auto"/>
                <w:left w:val="none" w:sz="0" w:space="0" w:color="auto"/>
                <w:bottom w:val="none" w:sz="0" w:space="0" w:color="auto"/>
                <w:right w:val="none" w:sz="0" w:space="0" w:color="auto"/>
              </w:divBdr>
              <w:divsChild>
                <w:div w:id="860491">
                  <w:marLeft w:val="0"/>
                  <w:marRight w:val="0"/>
                  <w:marTop w:val="0"/>
                  <w:marBottom w:val="0"/>
                  <w:divBdr>
                    <w:top w:val="none" w:sz="0" w:space="0" w:color="auto"/>
                    <w:left w:val="none" w:sz="0" w:space="0" w:color="auto"/>
                    <w:bottom w:val="none" w:sz="0" w:space="0" w:color="auto"/>
                    <w:right w:val="none" w:sz="0" w:space="0" w:color="auto"/>
                  </w:divBdr>
                  <w:divsChild>
                    <w:div w:id="1755321402">
                      <w:marLeft w:val="0"/>
                      <w:marRight w:val="0"/>
                      <w:marTop w:val="0"/>
                      <w:marBottom w:val="0"/>
                      <w:divBdr>
                        <w:top w:val="none" w:sz="0" w:space="0" w:color="auto"/>
                        <w:left w:val="none" w:sz="0" w:space="0" w:color="auto"/>
                        <w:bottom w:val="none" w:sz="0" w:space="0" w:color="auto"/>
                        <w:right w:val="none" w:sz="0" w:space="0" w:color="auto"/>
                      </w:divBdr>
                      <w:divsChild>
                        <w:div w:id="2056344034">
                          <w:marLeft w:val="0"/>
                          <w:marRight w:val="0"/>
                          <w:marTop w:val="0"/>
                          <w:marBottom w:val="0"/>
                          <w:divBdr>
                            <w:top w:val="none" w:sz="0" w:space="0" w:color="auto"/>
                            <w:left w:val="none" w:sz="0" w:space="0" w:color="auto"/>
                            <w:bottom w:val="none" w:sz="0" w:space="0" w:color="auto"/>
                            <w:right w:val="none" w:sz="0" w:space="0" w:color="auto"/>
                          </w:divBdr>
                          <w:divsChild>
                            <w:div w:id="12224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6174">
      <w:bodyDiv w:val="1"/>
      <w:marLeft w:val="0"/>
      <w:marRight w:val="0"/>
      <w:marTop w:val="0"/>
      <w:marBottom w:val="0"/>
      <w:divBdr>
        <w:top w:val="none" w:sz="0" w:space="0" w:color="auto"/>
        <w:left w:val="none" w:sz="0" w:space="0" w:color="auto"/>
        <w:bottom w:val="none" w:sz="0" w:space="0" w:color="auto"/>
        <w:right w:val="none" w:sz="0" w:space="0" w:color="auto"/>
      </w:divBdr>
      <w:divsChild>
        <w:div w:id="1579174898">
          <w:marLeft w:val="0"/>
          <w:marRight w:val="0"/>
          <w:marTop w:val="0"/>
          <w:marBottom w:val="0"/>
          <w:divBdr>
            <w:top w:val="none" w:sz="0" w:space="0" w:color="auto"/>
            <w:left w:val="none" w:sz="0" w:space="0" w:color="auto"/>
            <w:bottom w:val="none" w:sz="0" w:space="0" w:color="auto"/>
            <w:right w:val="none" w:sz="0" w:space="0" w:color="auto"/>
          </w:divBdr>
          <w:divsChild>
            <w:div w:id="1982730200">
              <w:marLeft w:val="0"/>
              <w:marRight w:val="0"/>
              <w:marTop w:val="0"/>
              <w:marBottom w:val="0"/>
              <w:divBdr>
                <w:top w:val="none" w:sz="0" w:space="0" w:color="auto"/>
                <w:left w:val="none" w:sz="0" w:space="0" w:color="auto"/>
                <w:bottom w:val="none" w:sz="0" w:space="0" w:color="auto"/>
                <w:right w:val="none" w:sz="0" w:space="0" w:color="auto"/>
              </w:divBdr>
              <w:divsChild>
                <w:div w:id="1224606880">
                  <w:marLeft w:val="0"/>
                  <w:marRight w:val="0"/>
                  <w:marTop w:val="0"/>
                  <w:marBottom w:val="0"/>
                  <w:divBdr>
                    <w:top w:val="none" w:sz="0" w:space="0" w:color="auto"/>
                    <w:left w:val="none" w:sz="0" w:space="0" w:color="auto"/>
                    <w:bottom w:val="none" w:sz="0" w:space="0" w:color="auto"/>
                    <w:right w:val="none" w:sz="0" w:space="0" w:color="auto"/>
                  </w:divBdr>
                  <w:divsChild>
                    <w:div w:id="1581059692">
                      <w:marLeft w:val="0"/>
                      <w:marRight w:val="0"/>
                      <w:marTop w:val="0"/>
                      <w:marBottom w:val="0"/>
                      <w:divBdr>
                        <w:top w:val="none" w:sz="0" w:space="0" w:color="auto"/>
                        <w:left w:val="none" w:sz="0" w:space="0" w:color="auto"/>
                        <w:bottom w:val="none" w:sz="0" w:space="0" w:color="auto"/>
                        <w:right w:val="none" w:sz="0" w:space="0" w:color="auto"/>
                      </w:divBdr>
                      <w:divsChild>
                        <w:div w:id="1045837483">
                          <w:marLeft w:val="0"/>
                          <w:marRight w:val="0"/>
                          <w:marTop w:val="0"/>
                          <w:marBottom w:val="0"/>
                          <w:divBdr>
                            <w:top w:val="none" w:sz="0" w:space="0" w:color="auto"/>
                            <w:left w:val="none" w:sz="0" w:space="0" w:color="auto"/>
                            <w:bottom w:val="none" w:sz="0" w:space="0" w:color="auto"/>
                            <w:right w:val="none" w:sz="0" w:space="0" w:color="auto"/>
                          </w:divBdr>
                          <w:divsChild>
                            <w:div w:id="19213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92014">
      <w:bodyDiv w:val="1"/>
      <w:marLeft w:val="0"/>
      <w:marRight w:val="0"/>
      <w:marTop w:val="0"/>
      <w:marBottom w:val="0"/>
      <w:divBdr>
        <w:top w:val="none" w:sz="0" w:space="0" w:color="auto"/>
        <w:left w:val="none" w:sz="0" w:space="0" w:color="auto"/>
        <w:bottom w:val="none" w:sz="0" w:space="0" w:color="auto"/>
        <w:right w:val="none" w:sz="0" w:space="0" w:color="auto"/>
      </w:divBdr>
      <w:divsChild>
        <w:div w:id="1009403887">
          <w:marLeft w:val="0"/>
          <w:marRight w:val="0"/>
          <w:marTop w:val="0"/>
          <w:marBottom w:val="0"/>
          <w:divBdr>
            <w:top w:val="none" w:sz="0" w:space="0" w:color="auto"/>
            <w:left w:val="none" w:sz="0" w:space="0" w:color="auto"/>
            <w:bottom w:val="none" w:sz="0" w:space="0" w:color="auto"/>
            <w:right w:val="none" w:sz="0" w:space="0" w:color="auto"/>
          </w:divBdr>
          <w:divsChild>
            <w:div w:id="1767772199">
              <w:marLeft w:val="0"/>
              <w:marRight w:val="0"/>
              <w:marTop w:val="0"/>
              <w:marBottom w:val="0"/>
              <w:divBdr>
                <w:top w:val="none" w:sz="0" w:space="0" w:color="auto"/>
                <w:left w:val="none" w:sz="0" w:space="0" w:color="auto"/>
                <w:bottom w:val="none" w:sz="0" w:space="0" w:color="auto"/>
                <w:right w:val="none" w:sz="0" w:space="0" w:color="auto"/>
              </w:divBdr>
              <w:divsChild>
                <w:div w:id="920330985">
                  <w:marLeft w:val="0"/>
                  <w:marRight w:val="0"/>
                  <w:marTop w:val="0"/>
                  <w:marBottom w:val="0"/>
                  <w:divBdr>
                    <w:top w:val="none" w:sz="0" w:space="0" w:color="auto"/>
                    <w:left w:val="none" w:sz="0" w:space="0" w:color="auto"/>
                    <w:bottom w:val="none" w:sz="0" w:space="0" w:color="auto"/>
                    <w:right w:val="none" w:sz="0" w:space="0" w:color="auto"/>
                  </w:divBdr>
                  <w:divsChild>
                    <w:div w:id="2065595562">
                      <w:marLeft w:val="0"/>
                      <w:marRight w:val="0"/>
                      <w:marTop w:val="0"/>
                      <w:marBottom w:val="0"/>
                      <w:divBdr>
                        <w:top w:val="none" w:sz="0" w:space="0" w:color="auto"/>
                        <w:left w:val="none" w:sz="0" w:space="0" w:color="auto"/>
                        <w:bottom w:val="none" w:sz="0" w:space="0" w:color="auto"/>
                        <w:right w:val="none" w:sz="0" w:space="0" w:color="auto"/>
                      </w:divBdr>
                      <w:divsChild>
                        <w:div w:id="1999110574">
                          <w:marLeft w:val="0"/>
                          <w:marRight w:val="0"/>
                          <w:marTop w:val="0"/>
                          <w:marBottom w:val="0"/>
                          <w:divBdr>
                            <w:top w:val="none" w:sz="0" w:space="0" w:color="auto"/>
                            <w:left w:val="none" w:sz="0" w:space="0" w:color="auto"/>
                            <w:bottom w:val="none" w:sz="0" w:space="0" w:color="auto"/>
                            <w:right w:val="none" w:sz="0" w:space="0" w:color="auto"/>
                          </w:divBdr>
                          <w:divsChild>
                            <w:div w:id="2028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14632">
      <w:bodyDiv w:val="1"/>
      <w:marLeft w:val="30"/>
      <w:marRight w:val="30"/>
      <w:marTop w:val="30"/>
      <w:marBottom w:val="30"/>
      <w:divBdr>
        <w:top w:val="none" w:sz="0" w:space="0" w:color="auto"/>
        <w:left w:val="none" w:sz="0" w:space="0" w:color="auto"/>
        <w:bottom w:val="none" w:sz="0" w:space="0" w:color="auto"/>
        <w:right w:val="none" w:sz="0" w:space="0" w:color="auto"/>
      </w:divBdr>
      <w:divsChild>
        <w:div w:id="676151906">
          <w:marLeft w:val="0"/>
          <w:marRight w:val="0"/>
          <w:marTop w:val="0"/>
          <w:marBottom w:val="0"/>
          <w:divBdr>
            <w:top w:val="none" w:sz="0" w:space="0" w:color="auto"/>
            <w:left w:val="none" w:sz="0" w:space="0" w:color="auto"/>
            <w:bottom w:val="none" w:sz="0" w:space="0" w:color="auto"/>
            <w:right w:val="none" w:sz="0" w:space="0" w:color="auto"/>
          </w:divBdr>
          <w:divsChild>
            <w:div w:id="789662036">
              <w:marLeft w:val="45"/>
              <w:marRight w:val="45"/>
              <w:marTop w:val="45"/>
              <w:marBottom w:val="45"/>
              <w:divBdr>
                <w:top w:val="none" w:sz="0" w:space="0" w:color="auto"/>
                <w:left w:val="none" w:sz="0" w:space="0" w:color="auto"/>
                <w:bottom w:val="none" w:sz="0" w:space="0" w:color="auto"/>
                <w:right w:val="none" w:sz="0" w:space="0" w:color="auto"/>
              </w:divBdr>
              <w:divsChild>
                <w:div w:id="1491091889">
                  <w:marLeft w:val="0"/>
                  <w:marRight w:val="0"/>
                  <w:marTop w:val="0"/>
                  <w:marBottom w:val="0"/>
                  <w:divBdr>
                    <w:top w:val="none" w:sz="0" w:space="0" w:color="auto"/>
                    <w:left w:val="none" w:sz="0" w:space="0" w:color="auto"/>
                    <w:bottom w:val="none" w:sz="0" w:space="0" w:color="auto"/>
                    <w:right w:val="none" w:sz="0" w:space="0" w:color="auto"/>
                  </w:divBdr>
                  <w:divsChild>
                    <w:div w:id="1187136085">
                      <w:marLeft w:val="0"/>
                      <w:marRight w:val="0"/>
                      <w:marTop w:val="150"/>
                      <w:marBottom w:val="0"/>
                      <w:divBdr>
                        <w:top w:val="none" w:sz="0" w:space="0" w:color="auto"/>
                        <w:left w:val="none" w:sz="0" w:space="0" w:color="auto"/>
                        <w:bottom w:val="none" w:sz="0" w:space="0" w:color="auto"/>
                        <w:right w:val="none" w:sz="0" w:space="0" w:color="auto"/>
                      </w:divBdr>
                      <w:divsChild>
                        <w:div w:id="454833173">
                          <w:marLeft w:val="480"/>
                          <w:marRight w:val="0"/>
                          <w:marTop w:val="150"/>
                          <w:marBottom w:val="0"/>
                          <w:divBdr>
                            <w:top w:val="none" w:sz="0" w:space="0" w:color="auto"/>
                            <w:left w:val="none" w:sz="0" w:space="0" w:color="auto"/>
                            <w:bottom w:val="none" w:sz="0" w:space="0" w:color="auto"/>
                            <w:right w:val="none" w:sz="0" w:space="0" w:color="auto"/>
                          </w:divBdr>
                        </w:div>
                        <w:div w:id="389233356">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459592">
      <w:bodyDiv w:val="1"/>
      <w:marLeft w:val="30"/>
      <w:marRight w:val="30"/>
      <w:marTop w:val="30"/>
      <w:marBottom w:val="30"/>
      <w:divBdr>
        <w:top w:val="none" w:sz="0" w:space="0" w:color="auto"/>
        <w:left w:val="none" w:sz="0" w:space="0" w:color="auto"/>
        <w:bottom w:val="none" w:sz="0" w:space="0" w:color="auto"/>
        <w:right w:val="none" w:sz="0" w:space="0" w:color="auto"/>
      </w:divBdr>
      <w:divsChild>
        <w:div w:id="787160975">
          <w:marLeft w:val="0"/>
          <w:marRight w:val="0"/>
          <w:marTop w:val="0"/>
          <w:marBottom w:val="0"/>
          <w:divBdr>
            <w:top w:val="none" w:sz="0" w:space="0" w:color="auto"/>
            <w:left w:val="none" w:sz="0" w:space="0" w:color="auto"/>
            <w:bottom w:val="none" w:sz="0" w:space="0" w:color="auto"/>
            <w:right w:val="none" w:sz="0" w:space="0" w:color="auto"/>
          </w:divBdr>
          <w:divsChild>
            <w:div w:id="2122145119">
              <w:marLeft w:val="45"/>
              <w:marRight w:val="45"/>
              <w:marTop w:val="45"/>
              <w:marBottom w:val="45"/>
              <w:divBdr>
                <w:top w:val="none" w:sz="0" w:space="0" w:color="auto"/>
                <w:left w:val="none" w:sz="0" w:space="0" w:color="auto"/>
                <w:bottom w:val="none" w:sz="0" w:space="0" w:color="auto"/>
                <w:right w:val="none" w:sz="0" w:space="0" w:color="auto"/>
              </w:divBdr>
              <w:divsChild>
                <w:div w:id="1288048811">
                  <w:marLeft w:val="0"/>
                  <w:marRight w:val="0"/>
                  <w:marTop w:val="0"/>
                  <w:marBottom w:val="0"/>
                  <w:divBdr>
                    <w:top w:val="none" w:sz="0" w:space="0" w:color="auto"/>
                    <w:left w:val="none" w:sz="0" w:space="0" w:color="auto"/>
                    <w:bottom w:val="none" w:sz="0" w:space="0" w:color="auto"/>
                    <w:right w:val="none" w:sz="0" w:space="0" w:color="auto"/>
                  </w:divBdr>
                  <w:divsChild>
                    <w:div w:id="202060982">
                      <w:marLeft w:val="0"/>
                      <w:marRight w:val="0"/>
                      <w:marTop w:val="150"/>
                      <w:marBottom w:val="0"/>
                      <w:divBdr>
                        <w:top w:val="none" w:sz="0" w:space="0" w:color="auto"/>
                        <w:left w:val="none" w:sz="0" w:space="0" w:color="auto"/>
                        <w:bottom w:val="none" w:sz="0" w:space="0" w:color="auto"/>
                        <w:right w:val="none" w:sz="0" w:space="0" w:color="auto"/>
                      </w:divBdr>
                      <w:divsChild>
                        <w:div w:id="827477222">
                          <w:marLeft w:val="480"/>
                          <w:marRight w:val="0"/>
                          <w:marTop w:val="150"/>
                          <w:marBottom w:val="0"/>
                          <w:divBdr>
                            <w:top w:val="none" w:sz="0" w:space="0" w:color="auto"/>
                            <w:left w:val="none" w:sz="0" w:space="0" w:color="auto"/>
                            <w:bottom w:val="none" w:sz="0" w:space="0" w:color="auto"/>
                            <w:right w:val="none" w:sz="0" w:space="0" w:color="auto"/>
                          </w:divBdr>
                        </w:div>
                        <w:div w:id="799959875">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1677">
      <w:bodyDiv w:val="1"/>
      <w:marLeft w:val="30"/>
      <w:marRight w:val="30"/>
      <w:marTop w:val="30"/>
      <w:marBottom w:val="30"/>
      <w:divBdr>
        <w:top w:val="none" w:sz="0" w:space="0" w:color="auto"/>
        <w:left w:val="none" w:sz="0" w:space="0" w:color="auto"/>
        <w:bottom w:val="none" w:sz="0" w:space="0" w:color="auto"/>
        <w:right w:val="none" w:sz="0" w:space="0" w:color="auto"/>
      </w:divBdr>
      <w:divsChild>
        <w:div w:id="930433434">
          <w:marLeft w:val="0"/>
          <w:marRight w:val="0"/>
          <w:marTop w:val="0"/>
          <w:marBottom w:val="0"/>
          <w:divBdr>
            <w:top w:val="none" w:sz="0" w:space="0" w:color="auto"/>
            <w:left w:val="none" w:sz="0" w:space="0" w:color="auto"/>
            <w:bottom w:val="none" w:sz="0" w:space="0" w:color="auto"/>
            <w:right w:val="none" w:sz="0" w:space="0" w:color="auto"/>
          </w:divBdr>
          <w:divsChild>
            <w:div w:id="1524510701">
              <w:marLeft w:val="45"/>
              <w:marRight w:val="45"/>
              <w:marTop w:val="45"/>
              <w:marBottom w:val="45"/>
              <w:divBdr>
                <w:top w:val="none" w:sz="0" w:space="0" w:color="auto"/>
                <w:left w:val="none" w:sz="0" w:space="0" w:color="auto"/>
                <w:bottom w:val="none" w:sz="0" w:space="0" w:color="auto"/>
                <w:right w:val="none" w:sz="0" w:space="0" w:color="auto"/>
              </w:divBdr>
              <w:divsChild>
                <w:div w:id="908536210">
                  <w:marLeft w:val="0"/>
                  <w:marRight w:val="0"/>
                  <w:marTop w:val="0"/>
                  <w:marBottom w:val="0"/>
                  <w:divBdr>
                    <w:top w:val="none" w:sz="0" w:space="0" w:color="auto"/>
                    <w:left w:val="none" w:sz="0" w:space="0" w:color="auto"/>
                    <w:bottom w:val="none" w:sz="0" w:space="0" w:color="auto"/>
                    <w:right w:val="none" w:sz="0" w:space="0" w:color="auto"/>
                  </w:divBdr>
                  <w:divsChild>
                    <w:div w:id="174964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5885846">
      <w:bodyDiv w:val="1"/>
      <w:marLeft w:val="30"/>
      <w:marRight w:val="30"/>
      <w:marTop w:val="30"/>
      <w:marBottom w:val="30"/>
      <w:divBdr>
        <w:top w:val="none" w:sz="0" w:space="0" w:color="auto"/>
        <w:left w:val="none" w:sz="0" w:space="0" w:color="auto"/>
        <w:bottom w:val="none" w:sz="0" w:space="0" w:color="auto"/>
        <w:right w:val="none" w:sz="0" w:space="0" w:color="auto"/>
      </w:divBdr>
      <w:divsChild>
        <w:div w:id="1374421991">
          <w:marLeft w:val="0"/>
          <w:marRight w:val="0"/>
          <w:marTop w:val="0"/>
          <w:marBottom w:val="0"/>
          <w:divBdr>
            <w:top w:val="none" w:sz="0" w:space="0" w:color="auto"/>
            <w:left w:val="none" w:sz="0" w:space="0" w:color="auto"/>
            <w:bottom w:val="none" w:sz="0" w:space="0" w:color="auto"/>
            <w:right w:val="none" w:sz="0" w:space="0" w:color="auto"/>
          </w:divBdr>
          <w:divsChild>
            <w:div w:id="1965112780">
              <w:marLeft w:val="45"/>
              <w:marRight w:val="45"/>
              <w:marTop w:val="45"/>
              <w:marBottom w:val="45"/>
              <w:divBdr>
                <w:top w:val="none" w:sz="0" w:space="0" w:color="auto"/>
                <w:left w:val="none" w:sz="0" w:space="0" w:color="auto"/>
                <w:bottom w:val="none" w:sz="0" w:space="0" w:color="auto"/>
                <w:right w:val="none" w:sz="0" w:space="0" w:color="auto"/>
              </w:divBdr>
              <w:divsChild>
                <w:div w:id="1848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8053">
      <w:bodyDiv w:val="1"/>
      <w:marLeft w:val="30"/>
      <w:marRight w:val="30"/>
      <w:marTop w:val="30"/>
      <w:marBottom w:val="30"/>
      <w:divBdr>
        <w:top w:val="none" w:sz="0" w:space="0" w:color="auto"/>
        <w:left w:val="none" w:sz="0" w:space="0" w:color="auto"/>
        <w:bottom w:val="none" w:sz="0" w:space="0" w:color="auto"/>
        <w:right w:val="none" w:sz="0" w:space="0" w:color="auto"/>
      </w:divBdr>
      <w:divsChild>
        <w:div w:id="1927958885">
          <w:marLeft w:val="0"/>
          <w:marRight w:val="0"/>
          <w:marTop w:val="0"/>
          <w:marBottom w:val="0"/>
          <w:divBdr>
            <w:top w:val="none" w:sz="0" w:space="0" w:color="auto"/>
            <w:left w:val="none" w:sz="0" w:space="0" w:color="auto"/>
            <w:bottom w:val="none" w:sz="0" w:space="0" w:color="auto"/>
            <w:right w:val="none" w:sz="0" w:space="0" w:color="auto"/>
          </w:divBdr>
          <w:divsChild>
            <w:div w:id="633213913">
              <w:marLeft w:val="45"/>
              <w:marRight w:val="45"/>
              <w:marTop w:val="45"/>
              <w:marBottom w:val="45"/>
              <w:divBdr>
                <w:top w:val="none" w:sz="0" w:space="0" w:color="auto"/>
                <w:left w:val="none" w:sz="0" w:space="0" w:color="auto"/>
                <w:bottom w:val="none" w:sz="0" w:space="0" w:color="auto"/>
                <w:right w:val="none" w:sz="0" w:space="0" w:color="auto"/>
              </w:divBdr>
              <w:divsChild>
                <w:div w:id="911885838">
                  <w:marLeft w:val="0"/>
                  <w:marRight w:val="0"/>
                  <w:marTop w:val="0"/>
                  <w:marBottom w:val="0"/>
                  <w:divBdr>
                    <w:top w:val="none" w:sz="0" w:space="0" w:color="auto"/>
                    <w:left w:val="none" w:sz="0" w:space="0" w:color="auto"/>
                    <w:bottom w:val="none" w:sz="0" w:space="0" w:color="auto"/>
                    <w:right w:val="none" w:sz="0" w:space="0" w:color="auto"/>
                  </w:divBdr>
                  <w:divsChild>
                    <w:div w:id="1800798773">
                      <w:marLeft w:val="0"/>
                      <w:marRight w:val="0"/>
                      <w:marTop w:val="150"/>
                      <w:marBottom w:val="0"/>
                      <w:divBdr>
                        <w:top w:val="none" w:sz="0" w:space="0" w:color="auto"/>
                        <w:left w:val="none" w:sz="0" w:space="0" w:color="auto"/>
                        <w:bottom w:val="none" w:sz="0" w:space="0" w:color="auto"/>
                        <w:right w:val="none" w:sz="0" w:space="0" w:color="auto"/>
                      </w:divBdr>
                      <w:divsChild>
                        <w:div w:id="1132479078">
                          <w:marLeft w:val="960"/>
                          <w:marRight w:val="0"/>
                          <w:marTop w:val="150"/>
                          <w:marBottom w:val="0"/>
                          <w:divBdr>
                            <w:top w:val="none" w:sz="0" w:space="0" w:color="auto"/>
                            <w:left w:val="none" w:sz="0" w:space="0" w:color="auto"/>
                            <w:bottom w:val="none" w:sz="0" w:space="0" w:color="auto"/>
                            <w:right w:val="none" w:sz="0" w:space="0" w:color="auto"/>
                          </w:divBdr>
                        </w:div>
                        <w:div w:id="1394818318">
                          <w:marLeft w:val="9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8805">
      <w:bodyDiv w:val="1"/>
      <w:marLeft w:val="0"/>
      <w:marRight w:val="0"/>
      <w:marTop w:val="0"/>
      <w:marBottom w:val="0"/>
      <w:divBdr>
        <w:top w:val="none" w:sz="0" w:space="0" w:color="auto"/>
        <w:left w:val="none" w:sz="0" w:space="0" w:color="auto"/>
        <w:bottom w:val="none" w:sz="0" w:space="0" w:color="auto"/>
        <w:right w:val="none" w:sz="0" w:space="0" w:color="auto"/>
      </w:divBdr>
    </w:div>
    <w:div w:id="1613054228">
      <w:bodyDiv w:val="1"/>
      <w:marLeft w:val="0"/>
      <w:marRight w:val="0"/>
      <w:marTop w:val="0"/>
      <w:marBottom w:val="0"/>
      <w:divBdr>
        <w:top w:val="none" w:sz="0" w:space="0" w:color="auto"/>
        <w:left w:val="none" w:sz="0" w:space="0" w:color="auto"/>
        <w:bottom w:val="none" w:sz="0" w:space="0" w:color="auto"/>
        <w:right w:val="none" w:sz="0" w:space="0" w:color="auto"/>
      </w:divBdr>
      <w:divsChild>
        <w:div w:id="845169131">
          <w:marLeft w:val="0"/>
          <w:marRight w:val="0"/>
          <w:marTop w:val="0"/>
          <w:marBottom w:val="0"/>
          <w:divBdr>
            <w:top w:val="none" w:sz="0" w:space="0" w:color="auto"/>
            <w:left w:val="none" w:sz="0" w:space="0" w:color="auto"/>
            <w:bottom w:val="none" w:sz="0" w:space="0" w:color="auto"/>
            <w:right w:val="none" w:sz="0" w:space="0" w:color="auto"/>
          </w:divBdr>
          <w:divsChild>
            <w:div w:id="1305430289">
              <w:marLeft w:val="0"/>
              <w:marRight w:val="0"/>
              <w:marTop w:val="0"/>
              <w:marBottom w:val="0"/>
              <w:divBdr>
                <w:top w:val="none" w:sz="0" w:space="0" w:color="auto"/>
                <w:left w:val="none" w:sz="0" w:space="0" w:color="auto"/>
                <w:bottom w:val="none" w:sz="0" w:space="0" w:color="auto"/>
                <w:right w:val="none" w:sz="0" w:space="0" w:color="auto"/>
              </w:divBdr>
              <w:divsChild>
                <w:div w:id="221984277">
                  <w:marLeft w:val="0"/>
                  <w:marRight w:val="0"/>
                  <w:marTop w:val="0"/>
                  <w:marBottom w:val="0"/>
                  <w:divBdr>
                    <w:top w:val="none" w:sz="0" w:space="0" w:color="auto"/>
                    <w:left w:val="none" w:sz="0" w:space="0" w:color="auto"/>
                    <w:bottom w:val="none" w:sz="0" w:space="0" w:color="auto"/>
                    <w:right w:val="none" w:sz="0" w:space="0" w:color="auto"/>
                  </w:divBdr>
                  <w:divsChild>
                    <w:div w:id="809790562">
                      <w:marLeft w:val="0"/>
                      <w:marRight w:val="0"/>
                      <w:marTop w:val="0"/>
                      <w:marBottom w:val="0"/>
                      <w:divBdr>
                        <w:top w:val="none" w:sz="0" w:space="0" w:color="auto"/>
                        <w:left w:val="none" w:sz="0" w:space="0" w:color="auto"/>
                        <w:bottom w:val="none" w:sz="0" w:space="0" w:color="auto"/>
                        <w:right w:val="none" w:sz="0" w:space="0" w:color="auto"/>
                      </w:divBdr>
                      <w:divsChild>
                        <w:div w:id="1310592105">
                          <w:marLeft w:val="0"/>
                          <w:marRight w:val="0"/>
                          <w:marTop w:val="0"/>
                          <w:marBottom w:val="0"/>
                          <w:divBdr>
                            <w:top w:val="none" w:sz="0" w:space="0" w:color="auto"/>
                            <w:left w:val="none" w:sz="0" w:space="0" w:color="auto"/>
                            <w:bottom w:val="none" w:sz="0" w:space="0" w:color="auto"/>
                            <w:right w:val="none" w:sz="0" w:space="0" w:color="auto"/>
                          </w:divBdr>
                          <w:divsChild>
                            <w:div w:id="2040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94068012">
      <w:bodyDiv w:val="1"/>
      <w:marLeft w:val="0"/>
      <w:marRight w:val="0"/>
      <w:marTop w:val="0"/>
      <w:marBottom w:val="0"/>
      <w:divBdr>
        <w:top w:val="none" w:sz="0" w:space="0" w:color="auto"/>
        <w:left w:val="none" w:sz="0" w:space="0" w:color="auto"/>
        <w:bottom w:val="none" w:sz="0" w:space="0" w:color="auto"/>
        <w:right w:val="none" w:sz="0" w:space="0" w:color="auto"/>
      </w:divBdr>
      <w:divsChild>
        <w:div w:id="768157631">
          <w:marLeft w:val="0"/>
          <w:marRight w:val="0"/>
          <w:marTop w:val="0"/>
          <w:marBottom w:val="0"/>
          <w:divBdr>
            <w:top w:val="none" w:sz="0" w:space="0" w:color="auto"/>
            <w:left w:val="none" w:sz="0" w:space="0" w:color="auto"/>
            <w:bottom w:val="none" w:sz="0" w:space="0" w:color="auto"/>
            <w:right w:val="none" w:sz="0" w:space="0" w:color="auto"/>
          </w:divBdr>
          <w:divsChild>
            <w:div w:id="1864858630">
              <w:marLeft w:val="0"/>
              <w:marRight w:val="0"/>
              <w:marTop w:val="0"/>
              <w:marBottom w:val="0"/>
              <w:divBdr>
                <w:top w:val="none" w:sz="0" w:space="0" w:color="auto"/>
                <w:left w:val="none" w:sz="0" w:space="0" w:color="auto"/>
                <w:bottom w:val="none" w:sz="0" w:space="0" w:color="auto"/>
                <w:right w:val="none" w:sz="0" w:space="0" w:color="auto"/>
              </w:divBdr>
              <w:divsChild>
                <w:div w:id="1154370084">
                  <w:marLeft w:val="0"/>
                  <w:marRight w:val="0"/>
                  <w:marTop w:val="0"/>
                  <w:marBottom w:val="0"/>
                  <w:divBdr>
                    <w:top w:val="none" w:sz="0" w:space="0" w:color="auto"/>
                    <w:left w:val="none" w:sz="0" w:space="0" w:color="auto"/>
                    <w:bottom w:val="none" w:sz="0" w:space="0" w:color="auto"/>
                    <w:right w:val="none" w:sz="0" w:space="0" w:color="auto"/>
                  </w:divBdr>
                  <w:divsChild>
                    <w:div w:id="1635594962">
                      <w:marLeft w:val="0"/>
                      <w:marRight w:val="0"/>
                      <w:marTop w:val="0"/>
                      <w:marBottom w:val="0"/>
                      <w:divBdr>
                        <w:top w:val="none" w:sz="0" w:space="0" w:color="auto"/>
                        <w:left w:val="none" w:sz="0" w:space="0" w:color="auto"/>
                        <w:bottom w:val="none" w:sz="0" w:space="0" w:color="auto"/>
                        <w:right w:val="none" w:sz="0" w:space="0" w:color="auto"/>
                      </w:divBdr>
                      <w:divsChild>
                        <w:div w:id="520557525">
                          <w:marLeft w:val="0"/>
                          <w:marRight w:val="0"/>
                          <w:marTop w:val="0"/>
                          <w:marBottom w:val="0"/>
                          <w:divBdr>
                            <w:top w:val="none" w:sz="0" w:space="0" w:color="auto"/>
                            <w:left w:val="none" w:sz="0" w:space="0" w:color="auto"/>
                            <w:bottom w:val="none" w:sz="0" w:space="0" w:color="auto"/>
                            <w:right w:val="none" w:sz="0" w:space="0" w:color="auto"/>
                          </w:divBdr>
                          <w:divsChild>
                            <w:div w:id="1532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1922">
      <w:bodyDiv w:val="1"/>
      <w:marLeft w:val="30"/>
      <w:marRight w:val="30"/>
      <w:marTop w:val="30"/>
      <w:marBottom w:val="30"/>
      <w:divBdr>
        <w:top w:val="none" w:sz="0" w:space="0" w:color="auto"/>
        <w:left w:val="none" w:sz="0" w:space="0" w:color="auto"/>
        <w:bottom w:val="none" w:sz="0" w:space="0" w:color="auto"/>
        <w:right w:val="none" w:sz="0" w:space="0" w:color="auto"/>
      </w:divBdr>
      <w:divsChild>
        <w:div w:id="1534146940">
          <w:marLeft w:val="0"/>
          <w:marRight w:val="0"/>
          <w:marTop w:val="0"/>
          <w:marBottom w:val="0"/>
          <w:divBdr>
            <w:top w:val="none" w:sz="0" w:space="0" w:color="auto"/>
            <w:left w:val="none" w:sz="0" w:space="0" w:color="auto"/>
            <w:bottom w:val="none" w:sz="0" w:space="0" w:color="auto"/>
            <w:right w:val="none" w:sz="0" w:space="0" w:color="auto"/>
          </w:divBdr>
          <w:divsChild>
            <w:div w:id="1857114333">
              <w:marLeft w:val="45"/>
              <w:marRight w:val="45"/>
              <w:marTop w:val="45"/>
              <w:marBottom w:val="45"/>
              <w:divBdr>
                <w:top w:val="none" w:sz="0" w:space="0" w:color="auto"/>
                <w:left w:val="none" w:sz="0" w:space="0" w:color="auto"/>
                <w:bottom w:val="none" w:sz="0" w:space="0" w:color="auto"/>
                <w:right w:val="none" w:sz="0" w:space="0" w:color="auto"/>
              </w:divBdr>
              <w:divsChild>
                <w:div w:id="6437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7296">
      <w:bodyDiv w:val="1"/>
      <w:marLeft w:val="30"/>
      <w:marRight w:val="30"/>
      <w:marTop w:val="30"/>
      <w:marBottom w:val="30"/>
      <w:divBdr>
        <w:top w:val="none" w:sz="0" w:space="0" w:color="auto"/>
        <w:left w:val="none" w:sz="0" w:space="0" w:color="auto"/>
        <w:bottom w:val="none" w:sz="0" w:space="0" w:color="auto"/>
        <w:right w:val="none" w:sz="0" w:space="0" w:color="auto"/>
      </w:divBdr>
      <w:divsChild>
        <w:div w:id="844709165">
          <w:marLeft w:val="0"/>
          <w:marRight w:val="0"/>
          <w:marTop w:val="0"/>
          <w:marBottom w:val="0"/>
          <w:divBdr>
            <w:top w:val="none" w:sz="0" w:space="0" w:color="auto"/>
            <w:left w:val="none" w:sz="0" w:space="0" w:color="auto"/>
            <w:bottom w:val="none" w:sz="0" w:space="0" w:color="auto"/>
            <w:right w:val="none" w:sz="0" w:space="0" w:color="auto"/>
          </w:divBdr>
          <w:divsChild>
            <w:div w:id="20670586">
              <w:marLeft w:val="45"/>
              <w:marRight w:val="45"/>
              <w:marTop w:val="45"/>
              <w:marBottom w:val="45"/>
              <w:divBdr>
                <w:top w:val="none" w:sz="0" w:space="0" w:color="auto"/>
                <w:left w:val="none" w:sz="0" w:space="0" w:color="auto"/>
                <w:bottom w:val="none" w:sz="0" w:space="0" w:color="auto"/>
                <w:right w:val="none" w:sz="0" w:space="0" w:color="auto"/>
              </w:divBdr>
              <w:divsChild>
                <w:div w:id="1378435120">
                  <w:marLeft w:val="0"/>
                  <w:marRight w:val="0"/>
                  <w:marTop w:val="0"/>
                  <w:marBottom w:val="0"/>
                  <w:divBdr>
                    <w:top w:val="none" w:sz="0" w:space="0" w:color="auto"/>
                    <w:left w:val="none" w:sz="0" w:space="0" w:color="auto"/>
                    <w:bottom w:val="none" w:sz="0" w:space="0" w:color="auto"/>
                    <w:right w:val="none" w:sz="0" w:space="0" w:color="auto"/>
                  </w:divBdr>
                  <w:divsChild>
                    <w:div w:id="217908733">
                      <w:marLeft w:val="0"/>
                      <w:marRight w:val="0"/>
                      <w:marTop w:val="150"/>
                      <w:marBottom w:val="0"/>
                      <w:divBdr>
                        <w:top w:val="none" w:sz="0" w:space="0" w:color="auto"/>
                        <w:left w:val="none" w:sz="0" w:space="0" w:color="auto"/>
                        <w:bottom w:val="none" w:sz="0" w:space="0" w:color="auto"/>
                        <w:right w:val="none" w:sz="0" w:space="0" w:color="auto"/>
                      </w:divBdr>
                      <w:divsChild>
                        <w:div w:id="1324234907">
                          <w:marLeft w:val="480"/>
                          <w:marRight w:val="0"/>
                          <w:marTop w:val="150"/>
                          <w:marBottom w:val="0"/>
                          <w:divBdr>
                            <w:top w:val="none" w:sz="0" w:space="0" w:color="auto"/>
                            <w:left w:val="none" w:sz="0" w:space="0" w:color="auto"/>
                            <w:bottom w:val="none" w:sz="0" w:space="0" w:color="auto"/>
                            <w:right w:val="none" w:sz="0" w:space="0" w:color="auto"/>
                          </w:divBdr>
                        </w:div>
                        <w:div w:id="915669763">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6458">
      <w:bodyDiv w:val="1"/>
      <w:marLeft w:val="0"/>
      <w:marRight w:val="0"/>
      <w:marTop w:val="0"/>
      <w:marBottom w:val="0"/>
      <w:divBdr>
        <w:top w:val="none" w:sz="0" w:space="0" w:color="auto"/>
        <w:left w:val="none" w:sz="0" w:space="0" w:color="auto"/>
        <w:bottom w:val="none" w:sz="0" w:space="0" w:color="auto"/>
        <w:right w:val="none" w:sz="0" w:space="0" w:color="auto"/>
      </w:divBdr>
      <w:divsChild>
        <w:div w:id="413207049">
          <w:marLeft w:val="0"/>
          <w:marRight w:val="0"/>
          <w:marTop w:val="0"/>
          <w:marBottom w:val="0"/>
          <w:divBdr>
            <w:top w:val="none" w:sz="0" w:space="0" w:color="auto"/>
            <w:left w:val="none" w:sz="0" w:space="0" w:color="auto"/>
            <w:bottom w:val="none" w:sz="0" w:space="0" w:color="auto"/>
            <w:right w:val="none" w:sz="0" w:space="0" w:color="auto"/>
          </w:divBdr>
          <w:divsChild>
            <w:div w:id="319164084">
              <w:marLeft w:val="0"/>
              <w:marRight w:val="0"/>
              <w:marTop w:val="0"/>
              <w:marBottom w:val="0"/>
              <w:divBdr>
                <w:top w:val="none" w:sz="0" w:space="0" w:color="auto"/>
                <w:left w:val="none" w:sz="0" w:space="0" w:color="auto"/>
                <w:bottom w:val="none" w:sz="0" w:space="0" w:color="auto"/>
                <w:right w:val="none" w:sz="0" w:space="0" w:color="auto"/>
              </w:divBdr>
              <w:divsChild>
                <w:div w:id="329256918">
                  <w:marLeft w:val="0"/>
                  <w:marRight w:val="0"/>
                  <w:marTop w:val="0"/>
                  <w:marBottom w:val="0"/>
                  <w:divBdr>
                    <w:top w:val="none" w:sz="0" w:space="0" w:color="auto"/>
                    <w:left w:val="none" w:sz="0" w:space="0" w:color="auto"/>
                    <w:bottom w:val="none" w:sz="0" w:space="0" w:color="auto"/>
                    <w:right w:val="none" w:sz="0" w:space="0" w:color="auto"/>
                  </w:divBdr>
                  <w:divsChild>
                    <w:div w:id="288633413">
                      <w:marLeft w:val="0"/>
                      <w:marRight w:val="0"/>
                      <w:marTop w:val="0"/>
                      <w:marBottom w:val="0"/>
                      <w:divBdr>
                        <w:top w:val="none" w:sz="0" w:space="0" w:color="auto"/>
                        <w:left w:val="none" w:sz="0" w:space="0" w:color="auto"/>
                        <w:bottom w:val="none" w:sz="0" w:space="0" w:color="auto"/>
                        <w:right w:val="none" w:sz="0" w:space="0" w:color="auto"/>
                      </w:divBdr>
                      <w:divsChild>
                        <w:div w:id="1784379638">
                          <w:marLeft w:val="0"/>
                          <w:marRight w:val="0"/>
                          <w:marTop w:val="0"/>
                          <w:marBottom w:val="0"/>
                          <w:divBdr>
                            <w:top w:val="none" w:sz="0" w:space="0" w:color="auto"/>
                            <w:left w:val="none" w:sz="0" w:space="0" w:color="auto"/>
                            <w:bottom w:val="none" w:sz="0" w:space="0" w:color="auto"/>
                            <w:right w:val="none" w:sz="0" w:space="0" w:color="auto"/>
                          </w:divBdr>
                          <w:divsChild>
                            <w:div w:id="2113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2978D-575E-45F0-BE5F-DBE38ACA5227}"/>
</file>

<file path=customXml/itemProps2.xml><?xml version="1.0" encoding="utf-8"?>
<ds:datastoreItem xmlns:ds="http://schemas.openxmlformats.org/officeDocument/2006/customXml" ds:itemID="{9B0B4B1B-8821-49B7-AA3C-E65C33C7DA07}"/>
</file>

<file path=customXml/itemProps3.xml><?xml version="1.0" encoding="utf-8"?>
<ds:datastoreItem xmlns:ds="http://schemas.openxmlformats.org/officeDocument/2006/customXml" ds:itemID="{F096C022-8D82-4481-B007-FDF9EC14A7CB}"/>
</file>

<file path=customXml/itemProps4.xml><?xml version="1.0" encoding="utf-8"?>
<ds:datastoreItem xmlns:ds="http://schemas.openxmlformats.org/officeDocument/2006/customXml" ds:itemID="{5418BA8D-9B3B-4255-A167-FDE613CC578D}"/>
</file>

<file path=docProps/app.xml><?xml version="1.0" encoding="utf-8"?>
<Properties xmlns="http://schemas.openxmlformats.org/officeDocument/2006/extended-properties" xmlns:vt="http://schemas.openxmlformats.org/officeDocument/2006/docPropsVTypes">
  <Template>Normal.dotm</Template>
  <TotalTime>0</TotalTime>
  <Pages>1</Pages>
  <Words>16043</Words>
  <Characters>91448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2016-03-17T15:40:00Z</dcterms:created>
  <dcterms:modified xsi:type="dcterms:W3CDTF">2016-03-17T15:40:00Z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