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6.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8A9" w:rsidRPr="00DA607A" w:rsidRDefault="002518A9" w:rsidP="00DA607A">
      <w:pPr>
        <w:jc w:val="center"/>
        <w:rPr>
          <w:lang w:val="en-GB"/>
        </w:rPr>
      </w:pPr>
      <w:bookmarkStart w:id="0" w:name="_GoBack"/>
      <w:bookmarkEnd w:id="0"/>
    </w:p>
    <w:p w:rsidR="000E58CF" w:rsidRPr="00DA607A" w:rsidRDefault="000E58CF" w:rsidP="00DA607A">
      <w:pPr>
        <w:jc w:val="center"/>
        <w:rPr>
          <w:lang w:val="en-GB"/>
        </w:rPr>
      </w:pPr>
    </w:p>
    <w:p w:rsidR="000E58CF" w:rsidRPr="00DA607A" w:rsidRDefault="000E58CF" w:rsidP="00DA607A">
      <w:pPr>
        <w:jc w:val="center"/>
        <w:rPr>
          <w:lang w:val="en-GB"/>
        </w:rPr>
      </w:pPr>
    </w:p>
    <w:p w:rsidR="00014566" w:rsidRPr="00DA607A" w:rsidRDefault="00D76D54" w:rsidP="00DA607A">
      <w:pPr>
        <w:jc w:val="center"/>
        <w:rPr>
          <w:lang w:val="en-GB"/>
        </w:rPr>
      </w:pPr>
      <w:r w:rsidRPr="00DA607A">
        <w:rPr>
          <w:lang w:val="en-GB"/>
        </w:rPr>
        <w:t>FOURTH SECTION</w:t>
      </w:r>
    </w:p>
    <w:p w:rsidR="000E58CF" w:rsidRPr="00DA607A" w:rsidRDefault="000E58CF" w:rsidP="00DA607A">
      <w:pPr>
        <w:jc w:val="center"/>
        <w:rPr>
          <w:b/>
          <w:lang w:val="en-GB"/>
        </w:rPr>
      </w:pPr>
      <w:bookmarkStart w:id="1" w:name="To"/>
    </w:p>
    <w:p w:rsidR="000E58CF" w:rsidRPr="00DA607A" w:rsidRDefault="000E58CF" w:rsidP="00DA607A">
      <w:pPr>
        <w:jc w:val="center"/>
        <w:rPr>
          <w:b/>
          <w:lang w:val="en-GB"/>
        </w:rPr>
      </w:pPr>
    </w:p>
    <w:p w:rsidR="000E58CF" w:rsidRPr="00DA607A" w:rsidRDefault="000E58CF" w:rsidP="00DA607A">
      <w:pPr>
        <w:jc w:val="center"/>
        <w:rPr>
          <w:b/>
          <w:lang w:val="en-GB"/>
        </w:rPr>
      </w:pPr>
    </w:p>
    <w:p w:rsidR="000E58CF" w:rsidRPr="00DA607A" w:rsidRDefault="000E58CF" w:rsidP="00DA607A">
      <w:pPr>
        <w:jc w:val="center"/>
        <w:rPr>
          <w:b/>
          <w:lang w:val="en-GB"/>
        </w:rPr>
      </w:pPr>
    </w:p>
    <w:p w:rsidR="000E58CF" w:rsidRPr="00DA607A" w:rsidRDefault="000E58CF" w:rsidP="00DA607A">
      <w:pPr>
        <w:jc w:val="center"/>
        <w:rPr>
          <w:b/>
          <w:lang w:val="en-GB"/>
        </w:rPr>
      </w:pPr>
    </w:p>
    <w:p w:rsidR="00301DF1" w:rsidRPr="00DA607A" w:rsidRDefault="00301DF1" w:rsidP="00DA607A">
      <w:pPr>
        <w:jc w:val="center"/>
        <w:rPr>
          <w:b/>
          <w:lang w:val="en-GB"/>
        </w:rPr>
      </w:pPr>
    </w:p>
    <w:p w:rsidR="00014566" w:rsidRPr="00DA607A" w:rsidRDefault="00014566" w:rsidP="00DA607A">
      <w:pPr>
        <w:jc w:val="center"/>
        <w:rPr>
          <w:b/>
          <w:lang w:val="en-GB"/>
        </w:rPr>
      </w:pPr>
      <w:r w:rsidRPr="00DA607A">
        <w:rPr>
          <w:b/>
          <w:lang w:val="en-GB"/>
        </w:rPr>
        <w:t xml:space="preserve">CASE OF </w:t>
      </w:r>
      <w:bookmarkEnd w:id="1"/>
      <w:r w:rsidR="001D1EB9" w:rsidRPr="00DA607A">
        <w:rPr>
          <w:b/>
          <w:lang w:val="en-GB"/>
        </w:rPr>
        <w:t>G.</w:t>
      </w:r>
      <w:r w:rsidR="00D76D54" w:rsidRPr="00DA607A">
        <w:rPr>
          <w:b/>
          <w:lang w:val="en-GB"/>
        </w:rPr>
        <w:t>N</w:t>
      </w:r>
      <w:r w:rsidR="001D1EB9" w:rsidRPr="00DA607A">
        <w:rPr>
          <w:b/>
          <w:lang w:val="en-GB"/>
        </w:rPr>
        <w:t>.</w:t>
      </w:r>
      <w:r w:rsidR="00D76D54" w:rsidRPr="00DA607A">
        <w:rPr>
          <w:b/>
          <w:lang w:val="en-GB"/>
        </w:rPr>
        <w:t xml:space="preserve"> v. POLAND</w:t>
      </w:r>
    </w:p>
    <w:p w:rsidR="00014566" w:rsidRPr="00DA607A" w:rsidRDefault="00014566" w:rsidP="00DA607A">
      <w:pPr>
        <w:jc w:val="center"/>
        <w:rPr>
          <w:lang w:val="en-GB"/>
        </w:rPr>
      </w:pPr>
    </w:p>
    <w:p w:rsidR="00014566" w:rsidRPr="00DA607A" w:rsidRDefault="00014566" w:rsidP="00DA607A">
      <w:pPr>
        <w:jc w:val="center"/>
        <w:rPr>
          <w:i/>
          <w:lang w:val="en-GB"/>
        </w:rPr>
      </w:pPr>
      <w:r w:rsidRPr="00DA607A">
        <w:rPr>
          <w:i/>
          <w:lang w:val="en-GB"/>
        </w:rPr>
        <w:t>(</w:t>
      </w:r>
      <w:r w:rsidR="00D76D54" w:rsidRPr="00DA607A">
        <w:rPr>
          <w:i/>
          <w:lang w:val="en-GB"/>
        </w:rPr>
        <w:t>Application no. 2171/14</w:t>
      </w:r>
      <w:r w:rsidRPr="00DA607A">
        <w:rPr>
          <w:i/>
          <w:lang w:val="en-GB"/>
        </w:rPr>
        <w:t>)</w:t>
      </w:r>
    </w:p>
    <w:p w:rsidR="00014566" w:rsidRPr="00DA607A" w:rsidRDefault="00014566" w:rsidP="00DA607A">
      <w:pPr>
        <w:jc w:val="center"/>
        <w:rPr>
          <w:lang w:val="en-GB"/>
        </w:rPr>
      </w:pPr>
    </w:p>
    <w:p w:rsidR="00014566" w:rsidRPr="00DA607A" w:rsidRDefault="00014566" w:rsidP="00DA607A">
      <w:pPr>
        <w:jc w:val="center"/>
        <w:rPr>
          <w:lang w:val="en-GB"/>
        </w:rPr>
      </w:pPr>
    </w:p>
    <w:p w:rsidR="008A14DD" w:rsidRPr="00DA607A" w:rsidRDefault="008A14DD" w:rsidP="00DA607A">
      <w:pPr>
        <w:jc w:val="center"/>
        <w:rPr>
          <w:lang w:val="en-GB"/>
        </w:rPr>
      </w:pPr>
    </w:p>
    <w:p w:rsidR="008A14DD" w:rsidRPr="00DA607A" w:rsidRDefault="008A14DD" w:rsidP="00DA607A">
      <w:pPr>
        <w:jc w:val="center"/>
        <w:rPr>
          <w:lang w:val="en-GB"/>
        </w:rPr>
      </w:pPr>
    </w:p>
    <w:p w:rsidR="00301DF1" w:rsidRPr="00DA607A" w:rsidRDefault="00301DF1" w:rsidP="00DA607A">
      <w:pPr>
        <w:jc w:val="center"/>
        <w:rPr>
          <w:lang w:val="en-GB"/>
        </w:rPr>
      </w:pPr>
    </w:p>
    <w:p w:rsidR="00301DF1" w:rsidRPr="00DA607A" w:rsidRDefault="00301DF1" w:rsidP="00DA607A">
      <w:pPr>
        <w:jc w:val="center"/>
        <w:rPr>
          <w:lang w:val="en-GB"/>
        </w:rPr>
      </w:pPr>
    </w:p>
    <w:p w:rsidR="00301DF1" w:rsidRPr="00DA607A" w:rsidRDefault="00301DF1" w:rsidP="00DA607A">
      <w:pPr>
        <w:jc w:val="center"/>
        <w:rPr>
          <w:lang w:val="en-GB"/>
        </w:rPr>
      </w:pPr>
    </w:p>
    <w:p w:rsidR="00301DF1" w:rsidRPr="00DA607A" w:rsidRDefault="00301DF1" w:rsidP="00DA607A">
      <w:pPr>
        <w:jc w:val="center"/>
        <w:rPr>
          <w:lang w:val="en-GB"/>
        </w:rPr>
      </w:pPr>
    </w:p>
    <w:p w:rsidR="008A14DD" w:rsidRPr="00DA607A" w:rsidRDefault="008A14DD" w:rsidP="00DA607A">
      <w:pPr>
        <w:jc w:val="center"/>
        <w:rPr>
          <w:lang w:val="en-GB"/>
        </w:rPr>
      </w:pPr>
    </w:p>
    <w:p w:rsidR="00014566" w:rsidRPr="00DA607A" w:rsidRDefault="000E58CF" w:rsidP="00DA607A">
      <w:pPr>
        <w:jc w:val="center"/>
        <w:rPr>
          <w:szCs w:val="24"/>
          <w:lang w:val="en-GB"/>
        </w:rPr>
      </w:pPr>
      <w:r w:rsidRPr="00DA607A">
        <w:rPr>
          <w:szCs w:val="24"/>
          <w:lang w:val="en-GB"/>
        </w:rPr>
        <w:t>JUDGMENT</w:t>
      </w:r>
    </w:p>
    <w:p w:rsidR="000E58CF" w:rsidRPr="00DA607A" w:rsidRDefault="000E58CF" w:rsidP="00DA607A">
      <w:pPr>
        <w:pStyle w:val="JuCase"/>
        <w:ind w:firstLine="0"/>
        <w:jc w:val="center"/>
        <w:rPr>
          <w:b w:val="0"/>
          <w:lang w:val="en-GB"/>
        </w:rPr>
      </w:pPr>
    </w:p>
    <w:p w:rsidR="000E58CF" w:rsidRPr="00DA607A" w:rsidRDefault="000E58CF" w:rsidP="00DA607A">
      <w:pPr>
        <w:pStyle w:val="JuCase"/>
        <w:ind w:firstLine="0"/>
        <w:jc w:val="center"/>
        <w:rPr>
          <w:b w:val="0"/>
          <w:lang w:val="en-GB"/>
        </w:rPr>
      </w:pPr>
    </w:p>
    <w:p w:rsidR="000E58CF" w:rsidRPr="00DA607A" w:rsidRDefault="000E58CF" w:rsidP="00DA607A">
      <w:pPr>
        <w:pStyle w:val="JuCase"/>
        <w:ind w:firstLine="0"/>
        <w:jc w:val="center"/>
        <w:rPr>
          <w:b w:val="0"/>
          <w:lang w:val="en-GB"/>
        </w:rPr>
      </w:pPr>
      <w:r w:rsidRPr="00DA607A">
        <w:rPr>
          <w:b w:val="0"/>
          <w:lang w:val="en-GB"/>
        </w:rPr>
        <w:t>STRASBOURG</w:t>
      </w:r>
    </w:p>
    <w:p w:rsidR="000E58CF" w:rsidRPr="00DA607A" w:rsidRDefault="000E58CF" w:rsidP="00DA607A">
      <w:pPr>
        <w:pStyle w:val="JuCase"/>
        <w:ind w:firstLine="0"/>
        <w:jc w:val="center"/>
        <w:rPr>
          <w:b w:val="0"/>
          <w:lang w:val="en-GB"/>
        </w:rPr>
      </w:pPr>
    </w:p>
    <w:p w:rsidR="000E58CF" w:rsidRPr="00DA607A" w:rsidRDefault="000E58CF" w:rsidP="00DA607A">
      <w:pPr>
        <w:pStyle w:val="JuCase"/>
        <w:ind w:firstLine="0"/>
        <w:jc w:val="center"/>
        <w:rPr>
          <w:b w:val="0"/>
          <w:lang w:val="en-GB"/>
        </w:rPr>
      </w:pPr>
      <w:r w:rsidRPr="00DA607A">
        <w:rPr>
          <w:b w:val="0"/>
          <w:lang w:val="en-GB"/>
        </w:rPr>
        <w:t>19 July 2016</w:t>
      </w:r>
    </w:p>
    <w:p w:rsidR="000E58CF" w:rsidRPr="00DA607A" w:rsidRDefault="000E58CF" w:rsidP="00DA607A">
      <w:pPr>
        <w:pStyle w:val="JuCase"/>
        <w:ind w:firstLine="0"/>
        <w:jc w:val="center"/>
        <w:rPr>
          <w:b w:val="0"/>
          <w:lang w:val="en-GB"/>
        </w:rPr>
      </w:pPr>
    </w:p>
    <w:p w:rsidR="000E58CF" w:rsidRPr="00DA607A" w:rsidRDefault="000E58CF" w:rsidP="00DA607A">
      <w:pPr>
        <w:pStyle w:val="JuCase"/>
        <w:ind w:firstLine="0"/>
        <w:jc w:val="center"/>
        <w:rPr>
          <w:b w:val="0"/>
          <w:lang w:val="en-GB"/>
        </w:rPr>
      </w:pPr>
    </w:p>
    <w:p w:rsidR="000E58CF" w:rsidRPr="00DA607A" w:rsidRDefault="000E58CF" w:rsidP="00DA607A">
      <w:pPr>
        <w:pStyle w:val="ECHRPara"/>
        <w:ind w:firstLine="0"/>
        <w:jc w:val="center"/>
        <w:rPr>
          <w:lang w:val="en-GB"/>
        </w:rPr>
      </w:pPr>
    </w:p>
    <w:p w:rsidR="000E58CF" w:rsidRPr="00DA607A" w:rsidRDefault="000E58CF" w:rsidP="00DA607A">
      <w:pPr>
        <w:pStyle w:val="ECHRPara"/>
        <w:ind w:firstLine="0"/>
        <w:jc w:val="center"/>
        <w:rPr>
          <w:lang w:val="en-GB"/>
        </w:rPr>
      </w:pPr>
    </w:p>
    <w:p w:rsidR="000E58CF" w:rsidRPr="00DA607A" w:rsidRDefault="000E58CF" w:rsidP="00DA607A">
      <w:pPr>
        <w:pStyle w:val="ECHRPara"/>
        <w:ind w:firstLine="0"/>
        <w:jc w:val="center"/>
        <w:rPr>
          <w:lang w:val="en-GB"/>
        </w:rPr>
      </w:pPr>
    </w:p>
    <w:p w:rsidR="000E58CF" w:rsidRPr="00DA607A" w:rsidRDefault="000E58CF" w:rsidP="00DA607A">
      <w:pPr>
        <w:pStyle w:val="JuCase"/>
        <w:ind w:firstLine="0"/>
        <w:rPr>
          <w:b w:val="0"/>
          <w:i/>
          <w:sz w:val="22"/>
          <w:lang w:val="en-GB"/>
        </w:rPr>
      </w:pPr>
      <w:r w:rsidRPr="00DA607A">
        <w:rPr>
          <w:b w:val="0"/>
          <w:i/>
          <w:sz w:val="22"/>
          <w:lang w:val="en-GB"/>
        </w:rPr>
        <w:t>This judgment will become final in the circumstances set out in Article 44 § 2 of the Convention. It may be subject to editorial revision.</w:t>
      </w:r>
    </w:p>
    <w:p w:rsidR="000E58CF" w:rsidRPr="00DA607A" w:rsidRDefault="000E58CF" w:rsidP="00DA607A">
      <w:pPr>
        <w:pStyle w:val="ECHRPara"/>
        <w:rPr>
          <w:lang w:val="en-GB"/>
        </w:rPr>
        <w:sectPr w:rsidR="000E58CF" w:rsidRPr="00DA607A" w:rsidSect="000E58CF">
          <w:headerReference w:type="default" r:id="rId8"/>
          <w:headerReference w:type="first" r:id="rId9"/>
          <w:footerReference w:type="first" r:id="rId10"/>
          <w:footnotePr>
            <w:numRestart w:val="eachSect"/>
          </w:footnotePr>
          <w:pgSz w:w="11906" w:h="16838" w:code="9"/>
          <w:pgMar w:top="2274" w:right="2274" w:bottom="2274" w:left="2274" w:header="1701" w:footer="720" w:gutter="0"/>
          <w:pgNumType w:start="1"/>
          <w:cols w:space="720"/>
          <w:titlePg/>
          <w:docGrid w:linePitch="326"/>
        </w:sectPr>
      </w:pPr>
    </w:p>
    <w:p w:rsidR="00014566" w:rsidRPr="00DA607A" w:rsidRDefault="00014566" w:rsidP="00DA607A">
      <w:pPr>
        <w:pStyle w:val="JuCase"/>
        <w:rPr>
          <w:bCs/>
          <w:lang w:val="en-GB"/>
        </w:rPr>
      </w:pPr>
      <w:r w:rsidRPr="00DA607A">
        <w:rPr>
          <w:lang w:val="en-GB"/>
        </w:rPr>
        <w:t xml:space="preserve">In the case of </w:t>
      </w:r>
      <w:r w:rsidR="001D1EB9" w:rsidRPr="00DA607A">
        <w:rPr>
          <w:lang w:val="en-GB"/>
        </w:rPr>
        <w:t>G.N.</w:t>
      </w:r>
      <w:r w:rsidR="00D76D54" w:rsidRPr="00DA607A">
        <w:rPr>
          <w:lang w:val="en-GB"/>
        </w:rPr>
        <w:t xml:space="preserve"> v. Poland</w:t>
      </w:r>
      <w:r w:rsidRPr="00DA607A">
        <w:rPr>
          <w:lang w:val="en-GB"/>
        </w:rPr>
        <w:t>,</w:t>
      </w:r>
    </w:p>
    <w:p w:rsidR="00014566" w:rsidRPr="00DA607A" w:rsidRDefault="00014566" w:rsidP="00DA607A">
      <w:pPr>
        <w:pStyle w:val="ECHRPara"/>
        <w:rPr>
          <w:lang w:val="en-GB"/>
        </w:rPr>
      </w:pPr>
      <w:r w:rsidRPr="00DA607A">
        <w:rPr>
          <w:lang w:val="en-GB"/>
        </w:rPr>
        <w:t>The European Court of Human Rights (</w:t>
      </w:r>
      <w:r w:rsidR="00D76D54" w:rsidRPr="00DA607A">
        <w:rPr>
          <w:lang w:val="en-GB"/>
        </w:rPr>
        <w:t>Fourth Section</w:t>
      </w:r>
      <w:r w:rsidRPr="00DA607A">
        <w:rPr>
          <w:lang w:val="en-GB"/>
        </w:rPr>
        <w:t xml:space="preserve">), sitting as a </w:t>
      </w:r>
      <w:r w:rsidR="00D76D54" w:rsidRPr="00DA607A">
        <w:rPr>
          <w:lang w:val="en-GB"/>
        </w:rPr>
        <w:t>Chamber</w:t>
      </w:r>
      <w:r w:rsidRPr="00DA607A">
        <w:rPr>
          <w:lang w:val="en-GB"/>
        </w:rPr>
        <w:t xml:space="preserve"> composed of:</w:t>
      </w:r>
    </w:p>
    <w:p w:rsidR="00014566" w:rsidRPr="00DA607A" w:rsidRDefault="000E58CF" w:rsidP="00DA607A">
      <w:pPr>
        <w:pStyle w:val="ECHRDecisionBody"/>
      </w:pPr>
      <w:r w:rsidRPr="00DA607A">
        <w:tab/>
        <w:t>András Sajó,</w:t>
      </w:r>
      <w:r w:rsidRPr="00DA607A">
        <w:rPr>
          <w:i/>
        </w:rPr>
        <w:t xml:space="preserve"> President,</w:t>
      </w:r>
      <w:r w:rsidRPr="00DA607A">
        <w:rPr>
          <w:i/>
        </w:rPr>
        <w:br/>
      </w:r>
      <w:r w:rsidRPr="00DA607A">
        <w:tab/>
        <w:t>Nona Tsotsoria,</w:t>
      </w:r>
      <w:r w:rsidRPr="00DA607A">
        <w:rPr>
          <w:i/>
        </w:rPr>
        <w:br/>
      </w:r>
      <w:r w:rsidRPr="00DA607A">
        <w:tab/>
        <w:t>Paulo Pinto de Albuquerque,</w:t>
      </w:r>
      <w:r w:rsidRPr="00DA607A">
        <w:rPr>
          <w:i/>
        </w:rPr>
        <w:br/>
      </w:r>
      <w:r w:rsidRPr="00DA607A">
        <w:tab/>
        <w:t>Krzysztof Wojtyczek,</w:t>
      </w:r>
      <w:r w:rsidRPr="00DA607A">
        <w:rPr>
          <w:i/>
        </w:rPr>
        <w:br/>
      </w:r>
      <w:r w:rsidRPr="00DA607A">
        <w:tab/>
        <w:t>Egidijus Kūris,</w:t>
      </w:r>
      <w:r w:rsidRPr="00DA607A">
        <w:rPr>
          <w:i/>
        </w:rPr>
        <w:br/>
      </w:r>
      <w:r w:rsidRPr="00DA607A">
        <w:tab/>
        <w:t>Iulia Motoc,</w:t>
      </w:r>
      <w:r w:rsidRPr="00DA607A">
        <w:rPr>
          <w:i/>
        </w:rPr>
        <w:br/>
      </w:r>
      <w:r w:rsidRPr="00DA607A">
        <w:tab/>
        <w:t>Gabriele Kucsko-Stadlmayer,</w:t>
      </w:r>
      <w:r w:rsidRPr="00DA607A">
        <w:rPr>
          <w:i/>
        </w:rPr>
        <w:t xml:space="preserve"> judges,</w:t>
      </w:r>
      <w:r w:rsidRPr="00DA607A">
        <w:rPr>
          <w:i/>
        </w:rPr>
        <w:br/>
      </w:r>
      <w:r w:rsidR="00014566" w:rsidRPr="00DA607A">
        <w:t xml:space="preserve">and </w:t>
      </w:r>
      <w:r w:rsidR="00267A3C" w:rsidRPr="00DA607A">
        <w:t>Andrea Tamietti</w:t>
      </w:r>
      <w:r w:rsidR="00014566" w:rsidRPr="00DA607A">
        <w:t xml:space="preserve">, </w:t>
      </w:r>
      <w:r w:rsidR="00267A3C" w:rsidRPr="00DA607A">
        <w:rPr>
          <w:i/>
        </w:rPr>
        <w:t>Deputy</w:t>
      </w:r>
      <w:r w:rsidR="00267A3C" w:rsidRPr="00DA607A">
        <w:t xml:space="preserve"> </w:t>
      </w:r>
      <w:r w:rsidR="00D76D54" w:rsidRPr="00DA607A">
        <w:rPr>
          <w:i/>
        </w:rPr>
        <w:t xml:space="preserve">Section </w:t>
      </w:r>
      <w:r w:rsidR="00D76D54" w:rsidRPr="00DA607A">
        <w:rPr>
          <w:i/>
          <w:iCs/>
        </w:rPr>
        <w:t>Registrar</w:t>
      </w:r>
      <w:r w:rsidR="00014566" w:rsidRPr="00DA607A">
        <w:rPr>
          <w:i/>
        </w:rPr>
        <w:t>,</w:t>
      </w:r>
    </w:p>
    <w:p w:rsidR="00014566" w:rsidRPr="00DA607A" w:rsidRDefault="00014566" w:rsidP="00DA607A">
      <w:pPr>
        <w:pStyle w:val="ECHRPara"/>
        <w:rPr>
          <w:lang w:val="en-GB"/>
        </w:rPr>
      </w:pPr>
      <w:r w:rsidRPr="00DA607A">
        <w:rPr>
          <w:lang w:val="en-GB"/>
        </w:rPr>
        <w:t xml:space="preserve">Having deliberated in private on </w:t>
      </w:r>
      <w:r w:rsidR="000E58CF" w:rsidRPr="00DA607A">
        <w:rPr>
          <w:lang w:val="en-GB"/>
        </w:rPr>
        <w:t>21 June 2016</w:t>
      </w:r>
      <w:r w:rsidRPr="00DA607A">
        <w:rPr>
          <w:lang w:val="en-GB"/>
        </w:rPr>
        <w:t>,</w:t>
      </w:r>
    </w:p>
    <w:p w:rsidR="00014566" w:rsidRPr="00DA607A" w:rsidRDefault="00014566" w:rsidP="00DA607A">
      <w:pPr>
        <w:pStyle w:val="ECHRPara"/>
        <w:rPr>
          <w:lang w:val="en-GB"/>
        </w:rPr>
      </w:pPr>
      <w:r w:rsidRPr="00DA607A">
        <w:rPr>
          <w:lang w:val="en-GB"/>
        </w:rPr>
        <w:t>Delivers the following judgment, which was adopted on that date:</w:t>
      </w:r>
    </w:p>
    <w:p w:rsidR="00014566" w:rsidRPr="00DA607A" w:rsidRDefault="00014566" w:rsidP="00DA607A">
      <w:pPr>
        <w:pStyle w:val="ECHRTitle1"/>
        <w:rPr>
          <w:lang w:val="en-GB"/>
        </w:rPr>
      </w:pPr>
      <w:r w:rsidRPr="00DA607A">
        <w:rPr>
          <w:lang w:val="en-GB"/>
        </w:rPr>
        <w:t>PROCEDURE</w:t>
      </w:r>
    </w:p>
    <w:p w:rsidR="00D76D54" w:rsidRPr="00DA607A" w:rsidRDefault="00EE0166" w:rsidP="00DA607A">
      <w:pPr>
        <w:pStyle w:val="ECHRPara"/>
      </w:pPr>
      <w:r>
        <w:fldChar w:fldCharType="begin"/>
      </w:r>
      <w:r>
        <w:instrText xml:space="preserve"> SEQ level0 \*arabic </w:instrText>
      </w:r>
      <w:r>
        <w:fldChar w:fldCharType="separate"/>
      </w:r>
      <w:r w:rsidR="00DA607A" w:rsidRPr="00DA607A">
        <w:rPr>
          <w:noProof/>
        </w:rPr>
        <w:t>1</w:t>
      </w:r>
      <w:r>
        <w:rPr>
          <w:noProof/>
        </w:rPr>
        <w:fldChar w:fldCharType="end"/>
      </w:r>
      <w:r w:rsidR="00014566" w:rsidRPr="00DA607A">
        <w:t xml:space="preserve">.  The case originated in </w:t>
      </w:r>
      <w:r w:rsidR="00D76D54" w:rsidRPr="00DA607A">
        <w:t>an application (no. 2171/14)</w:t>
      </w:r>
      <w:r w:rsidR="00014566" w:rsidRPr="00DA607A">
        <w:t xml:space="preserve"> against </w:t>
      </w:r>
      <w:r w:rsidR="00D76D54" w:rsidRPr="00DA607A">
        <w:t>the Republic of Poland</w:t>
      </w:r>
      <w:r w:rsidR="00014566" w:rsidRPr="00DA607A">
        <w:t xml:space="preserve"> lodged with the </w:t>
      </w:r>
      <w:r w:rsidR="00D76D54" w:rsidRPr="00DA607A">
        <w:t>Court under Article 34</w:t>
      </w:r>
      <w:r w:rsidR="00014566" w:rsidRPr="00DA607A">
        <w:t xml:space="preserve"> of the Convention for the Protection of Human Rights and Fundamental Freedoms (“the Convention”) by</w:t>
      </w:r>
      <w:r w:rsidR="00D76D54" w:rsidRPr="00DA607A">
        <w:t xml:space="preserve"> Mr G</w:t>
      </w:r>
      <w:r w:rsidR="001D1EB9" w:rsidRPr="00DA607A">
        <w:t>.</w:t>
      </w:r>
      <w:r w:rsidR="00D76D54" w:rsidRPr="00DA607A">
        <w:t>N</w:t>
      </w:r>
      <w:r w:rsidR="001D1EB9" w:rsidRPr="00DA607A">
        <w:t>.</w:t>
      </w:r>
      <w:r w:rsidR="00D76D54" w:rsidRPr="00DA607A">
        <w:t xml:space="preserve"> (“the applicant”)</w:t>
      </w:r>
      <w:r w:rsidR="007943A5" w:rsidRPr="00DA607A">
        <w:t xml:space="preserve"> who holds Polish and Canadian nationality</w:t>
      </w:r>
      <w:r w:rsidR="00D76D54" w:rsidRPr="00DA607A">
        <w:t>, on 23 December 2013</w:t>
      </w:r>
      <w:r w:rsidR="00014566" w:rsidRPr="00DA607A">
        <w:t>.</w:t>
      </w:r>
    </w:p>
    <w:p w:rsidR="00D76D54" w:rsidRPr="00DA607A" w:rsidRDefault="00EE0166" w:rsidP="00DA607A">
      <w:pPr>
        <w:pStyle w:val="ECHRPara"/>
      </w:pPr>
      <w:r>
        <w:fldChar w:fldCharType="begin"/>
      </w:r>
      <w:r>
        <w:instrText xml:space="preserve"> SEQ level0 \*arabic </w:instrText>
      </w:r>
      <w:r>
        <w:fldChar w:fldCharType="separate"/>
      </w:r>
      <w:r w:rsidR="00DA607A" w:rsidRPr="00DA607A">
        <w:rPr>
          <w:noProof/>
        </w:rPr>
        <w:t>2</w:t>
      </w:r>
      <w:r>
        <w:rPr>
          <w:noProof/>
        </w:rPr>
        <w:fldChar w:fldCharType="end"/>
      </w:r>
      <w:r w:rsidR="00014566" w:rsidRPr="00DA607A">
        <w:t>.  </w:t>
      </w:r>
      <w:r w:rsidR="00D76D54" w:rsidRPr="00DA607A">
        <w:t xml:space="preserve">The applicant was represented by </w:t>
      </w:r>
      <w:r w:rsidR="007943A5" w:rsidRPr="00DA607A">
        <w:t>Mr</w:t>
      </w:r>
      <w:r w:rsidR="00D76D54" w:rsidRPr="00DA607A">
        <w:t xml:space="preserve"> G. Thuan Dit Dieudonné, a lawyer practising in Strasbourg. </w:t>
      </w:r>
      <w:r w:rsidR="00014566" w:rsidRPr="00DA607A">
        <w:t xml:space="preserve">The </w:t>
      </w:r>
      <w:r w:rsidR="00D76D54" w:rsidRPr="00DA607A">
        <w:t>Polish</w:t>
      </w:r>
      <w:r w:rsidR="00014566" w:rsidRPr="00DA607A">
        <w:t xml:space="preserve"> Government (“the Government”) wer</w:t>
      </w:r>
      <w:r w:rsidR="007943A5" w:rsidRPr="00DA607A">
        <w:t>e represented by their Agent, M</w:t>
      </w:r>
      <w:r w:rsidR="00014566" w:rsidRPr="00DA607A">
        <w:t xml:space="preserve">s </w:t>
      </w:r>
      <w:r w:rsidR="007943A5" w:rsidRPr="00DA607A">
        <w:t>J. Chrzanowska of the Ministry of Foreign Affairs.</w:t>
      </w:r>
    </w:p>
    <w:p w:rsidR="007943A5" w:rsidRPr="00DA607A" w:rsidRDefault="00EE0166" w:rsidP="00DA607A">
      <w:pPr>
        <w:pStyle w:val="ECHRPara"/>
      </w:pPr>
      <w:r>
        <w:fldChar w:fldCharType="begin"/>
      </w:r>
      <w:r>
        <w:instrText xml:space="preserve"> SEQ level0 \*arabic </w:instrText>
      </w:r>
      <w:r>
        <w:fldChar w:fldCharType="separate"/>
      </w:r>
      <w:r w:rsidR="00DA607A" w:rsidRPr="00DA607A">
        <w:rPr>
          <w:noProof/>
        </w:rPr>
        <w:t>3</w:t>
      </w:r>
      <w:r>
        <w:rPr>
          <w:noProof/>
        </w:rPr>
        <w:fldChar w:fldCharType="end"/>
      </w:r>
      <w:r w:rsidR="00D76D54" w:rsidRPr="00DA607A">
        <w:t>.  </w:t>
      </w:r>
      <w:r w:rsidR="000E3931" w:rsidRPr="00DA607A">
        <w:t xml:space="preserve">The applicant alleged that the refusal of the </w:t>
      </w:r>
      <w:r w:rsidR="006A66AF" w:rsidRPr="00DA607A">
        <w:t>domestic court</w:t>
      </w:r>
      <w:r w:rsidR="000410DD" w:rsidRPr="00DA607A">
        <w:t xml:space="preserve"> </w:t>
      </w:r>
      <w:r w:rsidR="000E3931" w:rsidRPr="00DA607A">
        <w:t>to</w:t>
      </w:r>
      <w:r w:rsidR="000410DD" w:rsidRPr="00DA607A">
        <w:t xml:space="preserve"> apply the Hague Convention of 25 October 1980 on the Civil Aspects of International Child Abduction </w:t>
      </w:r>
      <w:r w:rsidR="00990314" w:rsidRPr="00DA607A">
        <w:t xml:space="preserve">(“the Hague Convention”) </w:t>
      </w:r>
      <w:r w:rsidR="000410DD" w:rsidRPr="00DA607A">
        <w:t>and</w:t>
      </w:r>
      <w:r w:rsidR="000E3931" w:rsidRPr="00DA607A">
        <w:t xml:space="preserve"> order the return of his child constituted a violation of his right </w:t>
      </w:r>
      <w:r w:rsidR="00DA234B" w:rsidRPr="00DA607A">
        <w:t xml:space="preserve">to </w:t>
      </w:r>
      <w:r w:rsidR="000E3931" w:rsidRPr="00DA607A">
        <w:t xml:space="preserve">respect </w:t>
      </w:r>
      <w:r w:rsidR="00DA234B" w:rsidRPr="00DA607A">
        <w:t xml:space="preserve">for </w:t>
      </w:r>
      <w:r w:rsidR="000E3931" w:rsidRPr="00DA607A">
        <w:t>his family life and a breach of Article 8 of the Convention.</w:t>
      </w:r>
    </w:p>
    <w:p w:rsidR="00014566" w:rsidRPr="00DA607A" w:rsidRDefault="00EE0166" w:rsidP="00DA607A">
      <w:pPr>
        <w:pStyle w:val="ECHRPara"/>
      </w:pPr>
      <w:r>
        <w:fldChar w:fldCharType="begin"/>
      </w:r>
      <w:r>
        <w:instrText xml:space="preserve"> SEQ level0 \*arabic </w:instrText>
      </w:r>
      <w:r>
        <w:fldChar w:fldCharType="separate"/>
      </w:r>
      <w:r w:rsidR="00DA607A" w:rsidRPr="00DA607A">
        <w:rPr>
          <w:noProof/>
        </w:rPr>
        <w:t>4</w:t>
      </w:r>
      <w:r>
        <w:rPr>
          <w:noProof/>
        </w:rPr>
        <w:fldChar w:fldCharType="end"/>
      </w:r>
      <w:r w:rsidR="00014566" w:rsidRPr="00DA607A">
        <w:t>.  </w:t>
      </w:r>
      <w:r w:rsidR="00D76D54" w:rsidRPr="00DA607A">
        <w:t>On 15 September 2014</w:t>
      </w:r>
      <w:r w:rsidR="00014566" w:rsidRPr="00DA607A">
        <w:t xml:space="preserve"> the </w:t>
      </w:r>
      <w:r w:rsidR="00D76D54" w:rsidRPr="00DA607A">
        <w:t>application was communicated to the Government</w:t>
      </w:r>
      <w:r w:rsidR="00014566" w:rsidRPr="00DA607A">
        <w:t>.</w:t>
      </w:r>
      <w:r w:rsidR="00251D4E" w:rsidRPr="00DA607A">
        <w:t xml:space="preserve"> On 5 April 2016, pursuant to Rule 47 § 4 of the Rules of the Court, the Court decided of its own motion to grant anonymity to the applicant.</w:t>
      </w:r>
    </w:p>
    <w:p w:rsidR="00014566" w:rsidRPr="00DA607A" w:rsidRDefault="00014566" w:rsidP="00DA607A">
      <w:pPr>
        <w:pStyle w:val="ECHRTitle1"/>
        <w:rPr>
          <w:lang w:val="en-GB"/>
        </w:rPr>
      </w:pPr>
      <w:r w:rsidRPr="00DA607A">
        <w:rPr>
          <w:lang w:val="en-GB"/>
        </w:rPr>
        <w:t>THE FACTS</w:t>
      </w:r>
    </w:p>
    <w:p w:rsidR="00014566" w:rsidRPr="00DA607A" w:rsidRDefault="00014566" w:rsidP="00DA607A">
      <w:pPr>
        <w:pStyle w:val="ECHRHeading1"/>
        <w:rPr>
          <w:lang w:val="en-GB"/>
        </w:rPr>
      </w:pPr>
      <w:r w:rsidRPr="00DA607A">
        <w:rPr>
          <w:lang w:val="en-GB"/>
        </w:rPr>
        <w:t>I.  THE CIRCUMSTANCES OF THE CASE</w:t>
      </w:r>
    </w:p>
    <w:p w:rsidR="00014566" w:rsidRPr="00DA607A" w:rsidRDefault="00D76D54"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5</w:t>
      </w:r>
      <w:r w:rsidRPr="00DA607A">
        <w:rPr>
          <w:lang w:val="en-GB"/>
        </w:rPr>
        <w:fldChar w:fldCharType="end"/>
      </w:r>
      <w:r w:rsidR="00014566" w:rsidRPr="00DA607A">
        <w:rPr>
          <w:lang w:val="en-GB"/>
        </w:rPr>
        <w:t xml:space="preserve">.  The </w:t>
      </w:r>
      <w:r w:rsidRPr="00DA607A">
        <w:rPr>
          <w:lang w:val="en-GB"/>
        </w:rPr>
        <w:t>applicant was born in 1961 and lives</w:t>
      </w:r>
      <w:r w:rsidR="00014566" w:rsidRPr="00DA607A">
        <w:rPr>
          <w:lang w:val="en-GB"/>
        </w:rPr>
        <w:t xml:space="preserve"> in </w:t>
      </w:r>
      <w:r w:rsidRPr="00DA607A">
        <w:rPr>
          <w:lang w:val="en-GB"/>
        </w:rPr>
        <w:t>Mississauga</w:t>
      </w:r>
      <w:r w:rsidR="000E3931" w:rsidRPr="00DA607A">
        <w:rPr>
          <w:lang w:val="en-GB"/>
        </w:rPr>
        <w:t>, Canada</w:t>
      </w:r>
      <w:r w:rsidR="00014566" w:rsidRPr="00DA607A">
        <w:rPr>
          <w:lang w:val="en-GB"/>
        </w:rPr>
        <w:t>.</w:t>
      </w:r>
    </w:p>
    <w:p w:rsidR="00A06729" w:rsidRPr="00DA607A" w:rsidRDefault="00483780" w:rsidP="00DA607A">
      <w:pPr>
        <w:pStyle w:val="ECHRHeading2"/>
      </w:pPr>
      <w:r w:rsidRPr="00DA607A">
        <w:t>A</w:t>
      </w:r>
      <w:r w:rsidR="000E3931" w:rsidRPr="00DA607A">
        <w:t>.  Background</w:t>
      </w:r>
    </w:p>
    <w:p w:rsidR="000E3931" w:rsidRPr="00DA607A" w:rsidRDefault="000E3931"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6</w:t>
      </w:r>
      <w:r w:rsidRPr="00DA607A">
        <w:rPr>
          <w:lang w:val="en-GB"/>
        </w:rPr>
        <w:fldChar w:fldCharType="end"/>
      </w:r>
      <w:r w:rsidRPr="00DA607A">
        <w:rPr>
          <w:lang w:val="en-GB"/>
        </w:rPr>
        <w:t>.  In 2009</w:t>
      </w:r>
      <w:r w:rsidRPr="00DA607A">
        <w:t xml:space="preserve"> </w:t>
      </w:r>
      <w:r w:rsidRPr="00DA607A">
        <w:rPr>
          <w:lang w:val="en-GB"/>
        </w:rPr>
        <w:t>the applicant got married in Canada</w:t>
      </w:r>
      <w:r w:rsidRPr="00DA607A">
        <w:t xml:space="preserve"> </w:t>
      </w:r>
      <w:r w:rsidRPr="00DA607A">
        <w:rPr>
          <w:lang w:val="en-GB"/>
        </w:rPr>
        <w:t>to</w:t>
      </w:r>
      <w:r w:rsidR="005652AF" w:rsidRPr="00DA607A">
        <w:rPr>
          <w:lang w:val="en-GB"/>
        </w:rPr>
        <w:t xml:space="preserve"> E.N</w:t>
      </w:r>
      <w:r w:rsidRPr="00DA607A">
        <w:rPr>
          <w:lang w:val="en-GB"/>
        </w:rPr>
        <w:t>., a Polish national. They continued living in Canada and their son was born there in September 2010.</w:t>
      </w:r>
      <w:r w:rsidR="005D2862" w:rsidRPr="00DA607A">
        <w:rPr>
          <w:lang w:val="en-GB"/>
        </w:rPr>
        <w:t xml:space="preserve"> </w:t>
      </w:r>
      <w:r w:rsidR="0040777C" w:rsidRPr="00DA607A">
        <w:rPr>
          <w:lang w:val="en-GB"/>
        </w:rPr>
        <w:t xml:space="preserve">The child obtained Canadian nationality at birth. It is unknown to the Court whether he also holds Polish nationality. </w:t>
      </w:r>
      <w:r w:rsidR="005D2862" w:rsidRPr="00DA607A">
        <w:rPr>
          <w:lang w:val="en-GB"/>
        </w:rPr>
        <w:t>The family lived in the applicant</w:t>
      </w:r>
      <w:r w:rsidR="00DA607A" w:rsidRPr="00DA607A">
        <w:rPr>
          <w:lang w:val="en-GB"/>
        </w:rPr>
        <w:t>’</w:t>
      </w:r>
      <w:r w:rsidR="005D2862" w:rsidRPr="00DA607A">
        <w:rPr>
          <w:lang w:val="en-GB"/>
        </w:rPr>
        <w:t>s apartment. The applicant worked full</w:t>
      </w:r>
      <w:r w:rsidR="00861B19" w:rsidRPr="00DA607A">
        <w:rPr>
          <w:lang w:val="en-GB"/>
        </w:rPr>
        <w:t xml:space="preserve"> </w:t>
      </w:r>
      <w:r w:rsidR="005D2862" w:rsidRPr="00DA607A">
        <w:rPr>
          <w:lang w:val="en-GB"/>
        </w:rPr>
        <w:t>time and was the sole financial provider for the family.</w:t>
      </w:r>
      <w:r w:rsidR="002C5435" w:rsidRPr="00DA607A">
        <w:rPr>
          <w:lang w:val="en-GB"/>
        </w:rPr>
        <w:t xml:space="preserve"> In February 2011 he took </w:t>
      </w:r>
      <w:r w:rsidR="000410DD" w:rsidRPr="00DA607A">
        <w:rPr>
          <w:lang w:val="en-GB"/>
        </w:rPr>
        <w:t>thirty-three weeks</w:t>
      </w:r>
      <w:r w:rsidR="00DA607A" w:rsidRPr="00DA607A">
        <w:rPr>
          <w:lang w:val="en-GB"/>
        </w:rPr>
        <w:t>’</w:t>
      </w:r>
      <w:r w:rsidR="000410DD" w:rsidRPr="00DA607A" w:rsidDel="000410DD">
        <w:rPr>
          <w:lang w:val="en-GB"/>
        </w:rPr>
        <w:t xml:space="preserve"> </w:t>
      </w:r>
      <w:r w:rsidR="002C5435" w:rsidRPr="00DA607A">
        <w:rPr>
          <w:lang w:val="en-GB"/>
        </w:rPr>
        <w:t>parental leave.</w:t>
      </w:r>
    </w:p>
    <w:p w:rsidR="00A06729" w:rsidRPr="00DA607A" w:rsidRDefault="000E3931"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7</w:t>
      </w:r>
      <w:r w:rsidRPr="00DA607A">
        <w:rPr>
          <w:lang w:val="en-GB"/>
        </w:rPr>
        <w:fldChar w:fldCharType="end"/>
      </w:r>
      <w:r w:rsidRPr="00DA607A">
        <w:rPr>
          <w:lang w:val="en-GB"/>
        </w:rPr>
        <w:t>. </w:t>
      </w:r>
      <w:r w:rsidR="00267A3C" w:rsidRPr="00DA607A">
        <w:rPr>
          <w:lang w:val="en-GB"/>
        </w:rPr>
        <w:t> </w:t>
      </w:r>
      <w:r w:rsidRPr="00DA607A">
        <w:rPr>
          <w:lang w:val="en-GB"/>
        </w:rPr>
        <w:t xml:space="preserve">In April 2011 the family went to Poland on holiday. They agreed to return to Canada in July 2011 and </w:t>
      </w:r>
      <w:r w:rsidR="002C5D25" w:rsidRPr="00DA607A">
        <w:rPr>
          <w:lang w:val="en-GB"/>
        </w:rPr>
        <w:t xml:space="preserve">aeroplane </w:t>
      </w:r>
      <w:r w:rsidRPr="00DA607A">
        <w:rPr>
          <w:lang w:val="en-GB"/>
        </w:rPr>
        <w:t xml:space="preserve">tickets </w:t>
      </w:r>
      <w:r w:rsidR="001D1EB9" w:rsidRPr="00DA607A">
        <w:rPr>
          <w:lang w:val="en-GB"/>
        </w:rPr>
        <w:t>were</w:t>
      </w:r>
      <w:r w:rsidRPr="00DA607A">
        <w:rPr>
          <w:lang w:val="en-GB"/>
        </w:rPr>
        <w:t xml:space="preserve"> purchased to th</w:t>
      </w:r>
      <w:r w:rsidR="00E054A9" w:rsidRPr="00DA607A">
        <w:rPr>
          <w:lang w:val="en-GB"/>
        </w:rPr>
        <w:t>is</w:t>
      </w:r>
      <w:r w:rsidRPr="00DA607A">
        <w:rPr>
          <w:lang w:val="en-GB"/>
        </w:rPr>
        <w:t xml:space="preserve"> e</w:t>
      </w:r>
      <w:r w:rsidR="00E054A9" w:rsidRPr="00DA607A">
        <w:rPr>
          <w:lang w:val="en-GB"/>
        </w:rPr>
        <w:t>nd</w:t>
      </w:r>
      <w:r w:rsidRPr="00DA607A">
        <w:rPr>
          <w:lang w:val="en-GB"/>
        </w:rPr>
        <w:t>.</w:t>
      </w:r>
    </w:p>
    <w:p w:rsidR="000E3931" w:rsidRPr="00DA607A" w:rsidRDefault="000E3931" w:rsidP="00DA607A">
      <w:pPr>
        <w:pStyle w:val="ECHRPara"/>
        <w:rPr>
          <w:lang w:val="en-GB"/>
        </w:rPr>
      </w:pPr>
      <w:r w:rsidRPr="00DA607A">
        <w:rPr>
          <w:lang w:val="en-GB"/>
        </w:rPr>
        <w:t xml:space="preserve">The couple split up in May 2011 and </w:t>
      </w:r>
      <w:r w:rsidR="005652AF" w:rsidRPr="00DA607A">
        <w:rPr>
          <w:lang w:val="en-GB"/>
        </w:rPr>
        <w:t>E.N</w:t>
      </w:r>
      <w:r w:rsidRPr="00DA607A">
        <w:rPr>
          <w:lang w:val="en-GB"/>
        </w:rPr>
        <w:t>. refused to return to Canada with the child. Soon afterwards the applicant went back to Canada alone. He briefly returned to Poland in July 2011 when his son underwent emergency surgery.</w:t>
      </w:r>
    </w:p>
    <w:p w:rsidR="00A06729" w:rsidRPr="00DA607A" w:rsidRDefault="00483780" w:rsidP="00DA607A">
      <w:pPr>
        <w:pStyle w:val="ECHRHeading2"/>
      </w:pPr>
      <w:r w:rsidRPr="00DA607A">
        <w:t>B. </w:t>
      </w:r>
      <w:r w:rsidR="000E3931" w:rsidRPr="00DA607A">
        <w:t> Proceedings under the Hague Convention</w:t>
      </w:r>
    </w:p>
    <w:p w:rsidR="00A06729" w:rsidRPr="00DA607A" w:rsidRDefault="000E3931" w:rsidP="00DA607A">
      <w:pPr>
        <w:pStyle w:val="ECHRPara"/>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8</w:t>
      </w:r>
      <w:r w:rsidRPr="00DA607A">
        <w:rPr>
          <w:lang w:val="en-GB"/>
        </w:rPr>
        <w:fldChar w:fldCharType="end"/>
      </w:r>
      <w:r w:rsidRPr="00DA607A">
        <w:rPr>
          <w:lang w:val="en-GB"/>
        </w:rPr>
        <w:t xml:space="preserve">.  On 31 October 2011 the applicant </w:t>
      </w:r>
      <w:r w:rsidR="002C5D25" w:rsidRPr="00DA607A">
        <w:rPr>
          <w:lang w:val="en-GB"/>
        </w:rPr>
        <w:t xml:space="preserve">lodged an application to have </w:t>
      </w:r>
      <w:r w:rsidR="007B6339" w:rsidRPr="00DA607A">
        <w:rPr>
          <w:lang w:val="en-GB"/>
        </w:rPr>
        <w:t>his</w:t>
      </w:r>
      <w:r w:rsidRPr="00DA607A">
        <w:rPr>
          <w:lang w:val="en-GB"/>
        </w:rPr>
        <w:t xml:space="preserve"> child </w:t>
      </w:r>
      <w:r w:rsidR="002C5D25" w:rsidRPr="00DA607A">
        <w:rPr>
          <w:lang w:val="en-GB"/>
        </w:rPr>
        <w:t xml:space="preserve">returned </w:t>
      </w:r>
      <w:r w:rsidRPr="00DA607A">
        <w:rPr>
          <w:lang w:val="en-GB"/>
        </w:rPr>
        <w:t xml:space="preserve">under the Hague Convention. </w:t>
      </w:r>
      <w:r w:rsidR="00331B35" w:rsidRPr="00DA607A">
        <w:rPr>
          <w:lang w:val="en-GB"/>
        </w:rPr>
        <w:t>T</w:t>
      </w:r>
      <w:r w:rsidRPr="00DA607A">
        <w:rPr>
          <w:lang w:val="en-GB"/>
        </w:rPr>
        <w:t xml:space="preserve">his </w:t>
      </w:r>
      <w:r w:rsidR="002C5D25" w:rsidRPr="00DA607A">
        <w:rPr>
          <w:lang w:val="en-GB"/>
        </w:rPr>
        <w:t xml:space="preserve">application </w:t>
      </w:r>
      <w:r w:rsidRPr="00DA607A">
        <w:rPr>
          <w:lang w:val="en-GB"/>
        </w:rPr>
        <w:t xml:space="preserve">was registered </w:t>
      </w:r>
      <w:r w:rsidR="00331B35" w:rsidRPr="00DA607A">
        <w:rPr>
          <w:lang w:val="en-GB"/>
        </w:rPr>
        <w:t>with the Kielce District Court o</w:t>
      </w:r>
      <w:r w:rsidRPr="00DA607A">
        <w:rPr>
          <w:lang w:val="en-GB"/>
        </w:rPr>
        <w:t xml:space="preserve">n </w:t>
      </w:r>
      <w:r w:rsidR="00331B35" w:rsidRPr="00DA607A">
        <w:rPr>
          <w:lang w:val="en-GB"/>
        </w:rPr>
        <w:t>23</w:t>
      </w:r>
      <w:r w:rsidR="009C5446" w:rsidRPr="00DA607A">
        <w:rPr>
          <w:lang w:val="en-GB"/>
        </w:rPr>
        <w:t xml:space="preserve"> </w:t>
      </w:r>
      <w:r w:rsidRPr="00DA607A">
        <w:rPr>
          <w:lang w:val="en-GB"/>
        </w:rPr>
        <w:t>January 2012.</w:t>
      </w:r>
    </w:p>
    <w:p w:rsidR="00252C06" w:rsidRPr="00DA607A" w:rsidRDefault="00EE0166" w:rsidP="00DA607A">
      <w:pPr>
        <w:pStyle w:val="ECHRPara"/>
        <w:rPr>
          <w:lang w:val="en-GB"/>
        </w:rPr>
      </w:pPr>
      <w:r>
        <w:fldChar w:fldCharType="begin"/>
      </w:r>
      <w:r>
        <w:instrText xml:space="preserve"> SEQ level0 \*arabic </w:instrText>
      </w:r>
      <w:r>
        <w:fldChar w:fldCharType="separate"/>
      </w:r>
      <w:r w:rsidR="00DA607A" w:rsidRPr="00DA607A">
        <w:rPr>
          <w:noProof/>
        </w:rPr>
        <w:t>9</w:t>
      </w:r>
      <w:r>
        <w:rPr>
          <w:noProof/>
        </w:rPr>
        <w:fldChar w:fldCharType="end"/>
      </w:r>
      <w:r w:rsidR="00252C06" w:rsidRPr="00DA607A">
        <w:t>. On</w:t>
      </w:r>
      <w:r w:rsidR="00252C06" w:rsidRPr="00DA607A">
        <w:rPr>
          <w:lang w:val="en-GB"/>
        </w:rPr>
        <w:t xml:space="preserve"> 27 November 2012 the Kielce District Court decided to obtain an expert report from the Family Consultation Centre (</w:t>
      </w:r>
      <w:r w:rsidR="00252C06" w:rsidRPr="00DA607A">
        <w:rPr>
          <w:i/>
          <w:lang w:val="en-GB"/>
        </w:rPr>
        <w:t>Rodzinny Ośrodek Diagnostyczno-Konsultacyjny</w:t>
      </w:r>
      <w:r w:rsidR="00252C06" w:rsidRPr="00DA607A">
        <w:rPr>
          <w:lang w:val="en-GB"/>
        </w:rPr>
        <w:t xml:space="preserve"> “</w:t>
      </w:r>
      <w:r w:rsidR="002C5D25" w:rsidRPr="00DA607A">
        <w:rPr>
          <w:lang w:val="en-GB"/>
        </w:rPr>
        <w:t xml:space="preserve">the </w:t>
      </w:r>
      <w:r w:rsidR="00252C06" w:rsidRPr="00DA607A">
        <w:rPr>
          <w:lang w:val="en-GB"/>
        </w:rPr>
        <w:t xml:space="preserve">RODK”). The experts were ordered to assess whether </w:t>
      </w:r>
      <w:r w:rsidR="007B6339" w:rsidRPr="00DA607A">
        <w:rPr>
          <w:lang w:val="en-GB"/>
        </w:rPr>
        <w:t>there was a grave risk</w:t>
      </w:r>
      <w:r w:rsidR="00252C06" w:rsidRPr="00DA607A">
        <w:rPr>
          <w:lang w:val="en-GB"/>
        </w:rPr>
        <w:t xml:space="preserve"> that the boy</w:t>
      </w:r>
      <w:r w:rsidR="00DA607A" w:rsidRPr="00DA607A">
        <w:rPr>
          <w:lang w:val="en-GB"/>
        </w:rPr>
        <w:t>’</w:t>
      </w:r>
      <w:r w:rsidR="00252C06" w:rsidRPr="00DA607A">
        <w:rPr>
          <w:lang w:val="en-GB"/>
        </w:rPr>
        <w:t xml:space="preserve">s return abroad would expose him to physical or psychological harm or otherwise place him in an intolerable situation. </w:t>
      </w:r>
      <w:r w:rsidR="00526B21" w:rsidRPr="00DA607A">
        <w:rPr>
          <w:lang w:val="en-GB"/>
        </w:rPr>
        <w:t xml:space="preserve">A </w:t>
      </w:r>
      <w:r w:rsidR="00252C06" w:rsidRPr="00DA607A">
        <w:rPr>
          <w:lang w:val="en-GB"/>
        </w:rPr>
        <w:t>copy of this decision has not been submitted to the Court.</w:t>
      </w:r>
    </w:p>
    <w:p w:rsidR="00252C06" w:rsidRPr="00DA607A" w:rsidRDefault="00252C06"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10</w:t>
      </w:r>
      <w:r w:rsidRPr="00DA607A">
        <w:rPr>
          <w:lang w:val="en-GB"/>
        </w:rPr>
        <w:fldChar w:fldCharType="end"/>
      </w:r>
      <w:r w:rsidRPr="00DA607A">
        <w:rPr>
          <w:lang w:val="en-GB"/>
        </w:rPr>
        <w:t xml:space="preserve">.  The applicant and E.N. were </w:t>
      </w:r>
      <w:r w:rsidR="00CE71D1" w:rsidRPr="00DA607A">
        <w:rPr>
          <w:lang w:val="en-GB"/>
        </w:rPr>
        <w:t>invited to appear</w:t>
      </w:r>
      <w:r w:rsidR="00526B21" w:rsidRPr="00DA607A">
        <w:rPr>
          <w:lang w:val="en-GB"/>
        </w:rPr>
        <w:t xml:space="preserve"> at </w:t>
      </w:r>
      <w:r w:rsidR="00861B19" w:rsidRPr="00DA607A">
        <w:rPr>
          <w:lang w:val="en-GB"/>
        </w:rPr>
        <w:t>an</w:t>
      </w:r>
      <w:r w:rsidRPr="00DA607A">
        <w:rPr>
          <w:lang w:val="en-GB"/>
        </w:rPr>
        <w:t xml:space="preserve"> </w:t>
      </w:r>
      <w:r w:rsidR="00CE71D1" w:rsidRPr="00DA607A">
        <w:rPr>
          <w:lang w:val="en-GB"/>
        </w:rPr>
        <w:t xml:space="preserve">interview </w:t>
      </w:r>
      <w:r w:rsidRPr="00DA607A">
        <w:rPr>
          <w:lang w:val="en-GB"/>
        </w:rPr>
        <w:t>at the RODK which was scheduled for 30 November 2012. It appears that the domestic court</w:t>
      </w:r>
      <w:r w:rsidR="00DA607A" w:rsidRPr="00DA607A">
        <w:rPr>
          <w:lang w:val="en-GB"/>
        </w:rPr>
        <w:t>’</w:t>
      </w:r>
      <w:r w:rsidRPr="00DA607A">
        <w:rPr>
          <w:lang w:val="en-GB"/>
        </w:rPr>
        <w:t>s</w:t>
      </w:r>
      <w:r w:rsidR="006A66AF" w:rsidRPr="00DA607A">
        <w:rPr>
          <w:lang w:val="en-GB"/>
        </w:rPr>
        <w:t xml:space="preserve"> </w:t>
      </w:r>
      <w:r w:rsidRPr="00DA607A">
        <w:rPr>
          <w:lang w:val="en-GB"/>
        </w:rPr>
        <w:t>decision to order the RODK report contained</w:t>
      </w:r>
      <w:r w:rsidR="00526B21" w:rsidRPr="00DA607A">
        <w:rPr>
          <w:lang w:val="en-GB"/>
        </w:rPr>
        <w:t xml:space="preserve"> an</w:t>
      </w:r>
      <w:r w:rsidRPr="00DA607A">
        <w:rPr>
          <w:lang w:val="en-GB"/>
        </w:rPr>
        <w:t xml:space="preserve"> instruction that the examination should go ahead whether or not the applicant was present. The applicant did not come to the appointment at the RODK. </w:t>
      </w:r>
      <w:r w:rsidR="00526B21" w:rsidRPr="00DA607A">
        <w:rPr>
          <w:lang w:val="en-GB"/>
        </w:rPr>
        <w:t xml:space="preserve">As a </w:t>
      </w:r>
      <w:r w:rsidRPr="00DA607A">
        <w:rPr>
          <w:lang w:val="en-GB"/>
        </w:rPr>
        <w:t>result, the report</w:t>
      </w:r>
      <w:r w:rsidRPr="00DA607A">
        <w:t xml:space="preserve"> </w:t>
      </w:r>
      <w:r w:rsidRPr="00DA607A">
        <w:rPr>
          <w:lang w:val="en-GB"/>
        </w:rPr>
        <w:t>was based</w:t>
      </w:r>
      <w:r w:rsidR="00861B19" w:rsidRPr="00DA607A">
        <w:rPr>
          <w:lang w:val="en-GB"/>
        </w:rPr>
        <w:t xml:space="preserve"> only</w:t>
      </w:r>
      <w:r w:rsidRPr="00DA607A">
        <w:rPr>
          <w:lang w:val="en-GB"/>
        </w:rPr>
        <w:t xml:space="preserve"> on the </w:t>
      </w:r>
      <w:r w:rsidR="00526B21" w:rsidRPr="00DA607A">
        <w:rPr>
          <w:lang w:val="en-GB"/>
        </w:rPr>
        <w:t xml:space="preserve">statements </w:t>
      </w:r>
      <w:r w:rsidRPr="00DA607A">
        <w:rPr>
          <w:lang w:val="en-GB"/>
        </w:rPr>
        <w:t>of the child and his mother</w:t>
      </w:r>
      <w:r w:rsidR="00BA33FF" w:rsidRPr="00DA607A">
        <w:rPr>
          <w:lang w:val="en-GB"/>
        </w:rPr>
        <w:t xml:space="preserve"> </w:t>
      </w:r>
      <w:r w:rsidR="00963EDA" w:rsidRPr="00DA607A">
        <w:t xml:space="preserve">and on </w:t>
      </w:r>
      <w:r w:rsidR="00963EDA" w:rsidRPr="00DA607A">
        <w:rPr>
          <w:lang w:val="en-GB"/>
        </w:rPr>
        <w:t xml:space="preserve">four volumes of the </w:t>
      </w:r>
      <w:r w:rsidR="006A66AF" w:rsidRPr="00DA607A">
        <w:rPr>
          <w:lang w:val="en-GB"/>
        </w:rPr>
        <w:t>domestic c</w:t>
      </w:r>
      <w:r w:rsidR="00526B21" w:rsidRPr="00DA607A">
        <w:rPr>
          <w:lang w:val="en-GB"/>
        </w:rPr>
        <w:t>ourt</w:t>
      </w:r>
      <w:r w:rsidR="00DA607A" w:rsidRPr="00DA607A">
        <w:rPr>
          <w:lang w:val="en-GB"/>
        </w:rPr>
        <w:t>’</w:t>
      </w:r>
      <w:r w:rsidR="00526B21" w:rsidRPr="00DA607A">
        <w:rPr>
          <w:lang w:val="en-GB"/>
        </w:rPr>
        <w:t xml:space="preserve">s </w:t>
      </w:r>
      <w:r w:rsidR="00963EDA" w:rsidRPr="00DA607A">
        <w:rPr>
          <w:lang w:val="en-GB"/>
        </w:rPr>
        <w:t>case</w:t>
      </w:r>
      <w:r w:rsidR="00526B21" w:rsidRPr="00DA607A">
        <w:rPr>
          <w:lang w:val="en-GB"/>
        </w:rPr>
        <w:t xml:space="preserve"> </w:t>
      </w:r>
      <w:r w:rsidR="00963EDA" w:rsidRPr="00DA607A">
        <w:rPr>
          <w:lang w:val="en-GB"/>
        </w:rPr>
        <w:t>file</w:t>
      </w:r>
      <w:r w:rsidRPr="00DA607A">
        <w:rPr>
          <w:lang w:val="en-GB"/>
        </w:rPr>
        <w:t>. It was prepared by two experts in psychology</w:t>
      </w:r>
      <w:r w:rsidR="00082BF5" w:rsidRPr="00DA607A">
        <w:t xml:space="preserve"> </w:t>
      </w:r>
      <w:r w:rsidR="00963EDA" w:rsidRPr="00DA607A">
        <w:t>and</w:t>
      </w:r>
      <w:r w:rsidR="00082BF5" w:rsidRPr="00DA607A">
        <w:rPr>
          <w:lang w:val="en-GB"/>
        </w:rPr>
        <w:t xml:space="preserve"> was</w:t>
      </w:r>
      <w:r w:rsidRPr="00DA607A">
        <w:rPr>
          <w:lang w:val="en-GB"/>
        </w:rPr>
        <w:t xml:space="preserve"> issued on 7 December 2012.</w:t>
      </w:r>
    </w:p>
    <w:p w:rsidR="00252C06" w:rsidRPr="00DA607A" w:rsidRDefault="00252C06"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11</w:t>
      </w:r>
      <w:r w:rsidRPr="00DA607A">
        <w:rPr>
          <w:lang w:val="en-GB"/>
        </w:rPr>
        <w:fldChar w:fldCharType="end"/>
      </w:r>
      <w:r w:rsidRPr="00DA607A">
        <w:rPr>
          <w:lang w:val="en-GB"/>
        </w:rPr>
        <w:t>.  In their report, t</w:t>
      </w:r>
      <w:r w:rsidR="00D15313" w:rsidRPr="00DA607A">
        <w:rPr>
          <w:lang w:val="en-GB"/>
        </w:rPr>
        <w:t>he RODK</w:t>
      </w:r>
      <w:r w:rsidRPr="00DA607A">
        <w:rPr>
          <w:lang w:val="en-GB"/>
        </w:rPr>
        <w:t xml:space="preserve"> experts took n</w:t>
      </w:r>
      <w:r w:rsidR="00D15313" w:rsidRPr="00DA607A">
        <w:rPr>
          <w:lang w:val="en-GB"/>
        </w:rPr>
        <w:t>otice of t</w:t>
      </w:r>
      <w:r w:rsidR="00BA33FF" w:rsidRPr="00DA607A">
        <w:rPr>
          <w:lang w:val="en-GB"/>
        </w:rPr>
        <w:t>he fact that for the p</w:t>
      </w:r>
      <w:r w:rsidRPr="00DA607A">
        <w:rPr>
          <w:lang w:val="en-GB"/>
        </w:rPr>
        <w:t>ast year and a half the child (who was two years old at the time of the</w:t>
      </w:r>
      <w:r w:rsidR="00D875E4" w:rsidRPr="00DA607A">
        <w:rPr>
          <w:lang w:val="en-GB"/>
        </w:rPr>
        <w:t xml:space="preserve"> psychological examination</w:t>
      </w:r>
      <w:r w:rsidRPr="00DA607A">
        <w:rPr>
          <w:lang w:val="en-GB"/>
        </w:rPr>
        <w:t xml:space="preserve">) had lived away from and almost without any contact with his father. </w:t>
      </w:r>
      <w:r w:rsidR="00252292" w:rsidRPr="00DA607A">
        <w:rPr>
          <w:lang w:val="en-GB"/>
        </w:rPr>
        <w:t>They</w:t>
      </w:r>
      <w:r w:rsidRPr="00DA607A">
        <w:rPr>
          <w:lang w:val="en-GB"/>
        </w:rPr>
        <w:t xml:space="preserve"> </w:t>
      </w:r>
      <w:r w:rsidR="00252292" w:rsidRPr="00DA607A">
        <w:rPr>
          <w:lang w:val="en-GB"/>
        </w:rPr>
        <w:t xml:space="preserve">also </w:t>
      </w:r>
      <w:r w:rsidRPr="00DA607A">
        <w:rPr>
          <w:lang w:val="en-GB"/>
        </w:rPr>
        <w:t>observed that the child had a strong emotional bond with his</w:t>
      </w:r>
      <w:r w:rsidR="00D15313" w:rsidRPr="00DA607A">
        <w:rPr>
          <w:lang w:val="en-GB"/>
        </w:rPr>
        <w:t xml:space="preserve"> mother; he was developing well and</w:t>
      </w:r>
      <w:r w:rsidRPr="00DA607A">
        <w:rPr>
          <w:lang w:val="en-GB"/>
        </w:rPr>
        <w:t xml:space="preserve"> spoke Polish</w:t>
      </w:r>
      <w:r w:rsidR="00D15313" w:rsidRPr="00DA607A">
        <w:rPr>
          <w:lang w:val="en-GB"/>
        </w:rPr>
        <w:t>;</w:t>
      </w:r>
      <w:r w:rsidRPr="00DA607A">
        <w:rPr>
          <w:lang w:val="en-GB"/>
        </w:rPr>
        <w:t xml:space="preserve"> and that E.N. </w:t>
      </w:r>
      <w:r w:rsidR="00526B21" w:rsidRPr="00DA607A">
        <w:rPr>
          <w:lang w:val="en-GB"/>
        </w:rPr>
        <w:t xml:space="preserve">had </w:t>
      </w:r>
      <w:r w:rsidRPr="00DA607A">
        <w:rPr>
          <w:lang w:val="en-GB"/>
        </w:rPr>
        <w:t>ensured the child</w:t>
      </w:r>
      <w:r w:rsidR="00DA607A" w:rsidRPr="00DA607A">
        <w:rPr>
          <w:lang w:val="en-GB"/>
        </w:rPr>
        <w:t>’</w:t>
      </w:r>
      <w:r w:rsidRPr="00DA607A">
        <w:rPr>
          <w:lang w:val="en-GB"/>
        </w:rPr>
        <w:t>s security, well-being and development.</w:t>
      </w:r>
    </w:p>
    <w:p w:rsidR="00252C06" w:rsidRPr="00DA607A" w:rsidRDefault="00D15313"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12</w:t>
      </w:r>
      <w:r w:rsidRPr="00DA607A">
        <w:rPr>
          <w:lang w:val="en-GB"/>
        </w:rPr>
        <w:fldChar w:fldCharType="end"/>
      </w:r>
      <w:r w:rsidRPr="00DA607A">
        <w:rPr>
          <w:lang w:val="en-GB"/>
        </w:rPr>
        <w:t>.  </w:t>
      </w:r>
      <w:r w:rsidR="00252C06" w:rsidRPr="00DA607A">
        <w:rPr>
          <w:lang w:val="en-GB"/>
        </w:rPr>
        <w:t>The experts concluded that “the child</w:t>
      </w:r>
      <w:r w:rsidR="00DA607A" w:rsidRPr="00DA607A">
        <w:rPr>
          <w:lang w:val="en-GB"/>
        </w:rPr>
        <w:t>’</w:t>
      </w:r>
      <w:r w:rsidR="00252C06" w:rsidRPr="00DA607A">
        <w:rPr>
          <w:lang w:val="en-GB"/>
        </w:rPr>
        <w:t xml:space="preserve">s separation from </w:t>
      </w:r>
      <w:r w:rsidR="00526B21" w:rsidRPr="00DA607A">
        <w:rPr>
          <w:lang w:val="en-GB"/>
        </w:rPr>
        <w:t xml:space="preserve">his </w:t>
      </w:r>
      <w:r w:rsidR="00252C06" w:rsidRPr="00DA607A">
        <w:rPr>
          <w:lang w:val="en-GB"/>
        </w:rPr>
        <w:t xml:space="preserve">mother would disturb his sense of security, belonging and stability, and [that] it would be adverse </w:t>
      </w:r>
      <w:r w:rsidR="00526B21" w:rsidRPr="00DA607A">
        <w:rPr>
          <w:lang w:val="en-GB"/>
        </w:rPr>
        <w:t xml:space="preserve">to </w:t>
      </w:r>
      <w:r w:rsidR="00252C06" w:rsidRPr="00DA607A">
        <w:rPr>
          <w:lang w:val="en-GB"/>
        </w:rPr>
        <w:t>his development – in particular, psychological [development]</w:t>
      </w:r>
      <w:r w:rsidR="00526B21" w:rsidRPr="00DA607A">
        <w:rPr>
          <w:lang w:val="en-GB"/>
        </w:rPr>
        <w:t xml:space="preserve"> –</w:t>
      </w:r>
      <w:r w:rsidR="00252C06" w:rsidRPr="00DA607A">
        <w:rPr>
          <w:lang w:val="en-GB"/>
        </w:rPr>
        <w:t xml:space="preserve"> [an</w:t>
      </w:r>
      <w:r w:rsidR="00861B19" w:rsidRPr="00DA607A">
        <w:rPr>
          <w:lang w:val="en-GB"/>
        </w:rPr>
        <w:t>d] it would be against his best</w:t>
      </w:r>
      <w:r w:rsidR="00252C06" w:rsidRPr="00DA607A">
        <w:rPr>
          <w:lang w:val="en-GB"/>
        </w:rPr>
        <w:t xml:space="preserve"> interests. In view of the above, moving the child </w:t>
      </w:r>
      <w:r w:rsidR="009E7798" w:rsidRPr="00DA607A">
        <w:rPr>
          <w:lang w:val="en-GB"/>
        </w:rPr>
        <w:t xml:space="preserve">to </w:t>
      </w:r>
      <w:r w:rsidR="00252C06" w:rsidRPr="00DA607A">
        <w:rPr>
          <w:lang w:val="en-GB"/>
        </w:rPr>
        <w:t>his father</w:t>
      </w:r>
      <w:r w:rsidR="00DA607A" w:rsidRPr="00DA607A">
        <w:rPr>
          <w:lang w:val="en-GB"/>
        </w:rPr>
        <w:t>’</w:t>
      </w:r>
      <w:r w:rsidR="00252C06" w:rsidRPr="00DA607A">
        <w:rPr>
          <w:lang w:val="en-GB"/>
        </w:rPr>
        <w:t xml:space="preserve">s care </w:t>
      </w:r>
      <w:r w:rsidR="007B6339" w:rsidRPr="00DA607A">
        <w:rPr>
          <w:lang w:val="en-GB"/>
        </w:rPr>
        <w:t xml:space="preserve">[posed] </w:t>
      </w:r>
      <w:r w:rsidR="00252C06" w:rsidRPr="00DA607A">
        <w:rPr>
          <w:lang w:val="en-GB"/>
        </w:rPr>
        <w:t xml:space="preserve">a grave risk to his emotional [and] social development, [and] could cause a situation [which] </w:t>
      </w:r>
      <w:r w:rsidR="009E7798" w:rsidRPr="00DA607A">
        <w:rPr>
          <w:lang w:val="en-GB"/>
        </w:rPr>
        <w:t xml:space="preserve">for </w:t>
      </w:r>
      <w:r w:rsidR="00861B19" w:rsidRPr="00DA607A">
        <w:rPr>
          <w:lang w:val="en-GB"/>
        </w:rPr>
        <w:t>a two-year-</w:t>
      </w:r>
      <w:r w:rsidR="00252C06" w:rsidRPr="00DA607A">
        <w:rPr>
          <w:lang w:val="en-GB"/>
        </w:rPr>
        <w:t>old child [would be] difficult to bear.”</w:t>
      </w:r>
    </w:p>
    <w:p w:rsidR="00252292" w:rsidRPr="00DA607A" w:rsidRDefault="00252292"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13</w:t>
      </w:r>
      <w:r w:rsidRPr="00DA607A">
        <w:rPr>
          <w:lang w:val="en-GB"/>
        </w:rPr>
        <w:fldChar w:fldCharType="end"/>
      </w:r>
      <w:r w:rsidRPr="00DA607A">
        <w:rPr>
          <w:lang w:val="en-GB"/>
        </w:rPr>
        <w:t xml:space="preserve">.  Apart from the RODK report, the domestic court obtained the following evidence: testimony </w:t>
      </w:r>
      <w:r w:rsidR="009E7798" w:rsidRPr="00DA607A">
        <w:rPr>
          <w:lang w:val="en-GB"/>
        </w:rPr>
        <w:t xml:space="preserve">from </w:t>
      </w:r>
      <w:r w:rsidRPr="00DA607A">
        <w:rPr>
          <w:lang w:val="en-GB"/>
        </w:rPr>
        <w:t>the applicant, E.N. and the members of both families and medical reports.</w:t>
      </w:r>
    </w:p>
    <w:p w:rsidR="00A06729" w:rsidRPr="00DA607A" w:rsidRDefault="009C5446"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14</w:t>
      </w:r>
      <w:r w:rsidRPr="00DA607A">
        <w:rPr>
          <w:lang w:val="en-GB"/>
        </w:rPr>
        <w:fldChar w:fldCharType="end"/>
      </w:r>
      <w:r w:rsidRPr="00DA607A">
        <w:rPr>
          <w:lang w:val="en-GB"/>
        </w:rPr>
        <w:t>.  </w:t>
      </w:r>
      <w:r w:rsidR="000E3931" w:rsidRPr="00DA607A">
        <w:rPr>
          <w:lang w:val="en-GB"/>
        </w:rPr>
        <w:t>On 2 January 2013 the Kielce District Cour</w:t>
      </w:r>
      <w:r w:rsidR="006A66AF" w:rsidRPr="00DA607A">
        <w:rPr>
          <w:lang w:val="en-GB"/>
        </w:rPr>
        <w:t>t</w:t>
      </w:r>
      <w:r w:rsidR="00357D0E" w:rsidRPr="00DA607A">
        <w:rPr>
          <w:lang w:val="en-GB"/>
        </w:rPr>
        <w:t>, with</w:t>
      </w:r>
      <w:r w:rsidR="00357D0E" w:rsidRPr="00DA607A">
        <w:t xml:space="preserve"> </w:t>
      </w:r>
      <w:r w:rsidR="009E7798" w:rsidRPr="00DA607A">
        <w:rPr>
          <w:lang w:val="en-GB"/>
        </w:rPr>
        <w:t xml:space="preserve">Judge </w:t>
      </w:r>
      <w:r w:rsidR="00357D0E" w:rsidRPr="00DA607A">
        <w:rPr>
          <w:lang w:val="en-GB"/>
        </w:rPr>
        <w:t>I.G. presiding,</w:t>
      </w:r>
      <w:r w:rsidR="000E3931" w:rsidRPr="00DA607A">
        <w:rPr>
          <w:lang w:val="en-GB"/>
        </w:rPr>
        <w:t xml:space="preserve"> dismissed the </w:t>
      </w:r>
      <w:r w:rsidR="00D15313" w:rsidRPr="00DA607A">
        <w:rPr>
          <w:lang w:val="en-GB"/>
        </w:rPr>
        <w:t>applicant</w:t>
      </w:r>
      <w:r w:rsidR="00DA607A" w:rsidRPr="00DA607A">
        <w:rPr>
          <w:lang w:val="en-GB"/>
        </w:rPr>
        <w:t>’</w:t>
      </w:r>
      <w:r w:rsidR="00D15313" w:rsidRPr="00DA607A">
        <w:rPr>
          <w:lang w:val="en-GB"/>
        </w:rPr>
        <w:t xml:space="preserve">s Hague Convention </w:t>
      </w:r>
      <w:r w:rsidR="009E7798" w:rsidRPr="00DA607A">
        <w:rPr>
          <w:lang w:val="en-GB"/>
        </w:rPr>
        <w:t xml:space="preserve">application </w:t>
      </w:r>
      <w:r w:rsidR="000E3931" w:rsidRPr="00DA607A">
        <w:rPr>
          <w:lang w:val="en-GB"/>
        </w:rPr>
        <w:t>(IIRNsm</w:t>
      </w:r>
      <w:r w:rsidR="00D15313" w:rsidRPr="00DA607A">
        <w:rPr>
          <w:lang w:val="en-GB"/>
        </w:rPr>
        <w:t> </w:t>
      </w:r>
      <w:r w:rsidR="000E3931" w:rsidRPr="00DA607A">
        <w:rPr>
          <w:lang w:val="en-GB"/>
        </w:rPr>
        <w:t>87/12).</w:t>
      </w:r>
    </w:p>
    <w:p w:rsidR="008F50C6" w:rsidRPr="00DA607A" w:rsidRDefault="00331B35"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15</w:t>
      </w:r>
      <w:r w:rsidRPr="00DA607A">
        <w:rPr>
          <w:lang w:val="en-GB"/>
        </w:rPr>
        <w:fldChar w:fldCharType="end"/>
      </w:r>
      <w:r w:rsidRPr="00DA607A">
        <w:rPr>
          <w:lang w:val="en-GB"/>
        </w:rPr>
        <w:t>.  </w:t>
      </w:r>
      <w:r w:rsidR="008F50C6" w:rsidRPr="00DA607A">
        <w:rPr>
          <w:lang w:val="en-GB"/>
        </w:rPr>
        <w:t xml:space="preserve">The first-instance court held that the child had been wrongfully retained in Poland by </w:t>
      </w:r>
      <w:r w:rsidR="009F6EAB" w:rsidRPr="00DA607A">
        <w:rPr>
          <w:lang w:val="en-GB"/>
        </w:rPr>
        <w:t xml:space="preserve">his </w:t>
      </w:r>
      <w:r w:rsidR="008F50C6" w:rsidRPr="00DA607A">
        <w:rPr>
          <w:lang w:val="en-GB"/>
        </w:rPr>
        <w:t xml:space="preserve">mother within the meaning of the Hague Convention. It also considered that, in line with Article 17 of the Hague Convention, the interim orders concerning the </w:t>
      </w:r>
      <w:r w:rsidR="00761AFE" w:rsidRPr="00DA607A">
        <w:rPr>
          <w:lang w:val="en-GB"/>
        </w:rPr>
        <w:t>issues of custody over the child and his</w:t>
      </w:r>
      <w:r w:rsidR="008F50C6" w:rsidRPr="00DA607A">
        <w:rPr>
          <w:lang w:val="en-GB"/>
        </w:rPr>
        <w:t xml:space="preserve"> residence which had been </w:t>
      </w:r>
      <w:r w:rsidR="00252292" w:rsidRPr="00DA607A">
        <w:rPr>
          <w:lang w:val="en-GB"/>
        </w:rPr>
        <w:t>granted</w:t>
      </w:r>
      <w:r w:rsidR="008F50C6" w:rsidRPr="00DA607A">
        <w:rPr>
          <w:lang w:val="en-GB"/>
        </w:rPr>
        <w:t xml:space="preserve"> by the Canadian and </w:t>
      </w:r>
      <w:r w:rsidR="00761AFE" w:rsidRPr="00DA607A">
        <w:rPr>
          <w:lang w:val="en-GB"/>
        </w:rPr>
        <w:t>Polish</w:t>
      </w:r>
      <w:r w:rsidR="008F50C6" w:rsidRPr="00DA607A">
        <w:rPr>
          <w:lang w:val="en-GB"/>
        </w:rPr>
        <w:t xml:space="preserve"> family courts</w:t>
      </w:r>
      <w:r w:rsidR="00252292" w:rsidRPr="00DA607A">
        <w:rPr>
          <w:lang w:val="en-GB"/>
        </w:rPr>
        <w:t xml:space="preserve"> (see paragraphs </w:t>
      </w:r>
      <w:r w:rsidR="00963EDA" w:rsidRPr="00DA607A">
        <w:rPr>
          <w:lang w:val="en-GB"/>
        </w:rPr>
        <w:t xml:space="preserve">33, 34 and </w:t>
      </w:r>
      <w:r w:rsidR="00A51A1E" w:rsidRPr="00DA607A">
        <w:rPr>
          <w:lang w:val="en-GB"/>
        </w:rPr>
        <w:t>3</w:t>
      </w:r>
      <w:r w:rsidR="00963EDA" w:rsidRPr="00DA607A">
        <w:rPr>
          <w:lang w:val="en-GB"/>
        </w:rPr>
        <w:t>6</w:t>
      </w:r>
      <w:r w:rsidR="00252292" w:rsidRPr="00DA607A">
        <w:rPr>
          <w:lang w:val="en-GB"/>
        </w:rPr>
        <w:t xml:space="preserve"> below)</w:t>
      </w:r>
      <w:r w:rsidR="008F50C6" w:rsidRPr="00DA607A">
        <w:rPr>
          <w:lang w:val="en-GB"/>
        </w:rPr>
        <w:t xml:space="preserve"> were </w:t>
      </w:r>
      <w:r w:rsidR="0011592A" w:rsidRPr="00DA607A">
        <w:rPr>
          <w:lang w:val="en-GB"/>
        </w:rPr>
        <w:t xml:space="preserve">viewed as </w:t>
      </w:r>
      <w:r w:rsidR="008F50C6" w:rsidRPr="00DA607A">
        <w:rPr>
          <w:lang w:val="en-GB"/>
        </w:rPr>
        <w:t xml:space="preserve">irrelevant </w:t>
      </w:r>
      <w:r w:rsidR="00791C1B" w:rsidRPr="00DA607A">
        <w:rPr>
          <w:lang w:val="en-GB"/>
        </w:rPr>
        <w:t xml:space="preserve">to </w:t>
      </w:r>
      <w:r w:rsidR="008F50C6" w:rsidRPr="00DA607A">
        <w:rPr>
          <w:lang w:val="en-GB"/>
        </w:rPr>
        <w:t>the</w:t>
      </w:r>
      <w:r w:rsidR="00761AFE" w:rsidRPr="00DA607A">
        <w:rPr>
          <w:lang w:val="en-GB"/>
        </w:rPr>
        <w:t xml:space="preserve"> case at hand.</w:t>
      </w:r>
    </w:p>
    <w:p w:rsidR="000E3931" w:rsidRPr="00DA607A" w:rsidRDefault="008F50C6"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16</w:t>
      </w:r>
      <w:r w:rsidRPr="00DA607A">
        <w:rPr>
          <w:lang w:val="en-GB"/>
        </w:rPr>
        <w:fldChar w:fldCharType="end"/>
      </w:r>
      <w:r w:rsidRPr="00DA607A">
        <w:rPr>
          <w:lang w:val="en-GB"/>
        </w:rPr>
        <w:t>.  </w:t>
      </w:r>
      <w:r w:rsidR="000E3931" w:rsidRPr="00DA607A">
        <w:rPr>
          <w:lang w:val="en-GB"/>
        </w:rPr>
        <w:t>The</w:t>
      </w:r>
      <w:r w:rsidRPr="00DA607A">
        <w:rPr>
          <w:lang w:val="en-GB"/>
        </w:rPr>
        <w:t xml:space="preserve"> </w:t>
      </w:r>
      <w:r w:rsidR="006A66AF" w:rsidRPr="00DA607A">
        <w:rPr>
          <w:lang w:val="en-GB"/>
        </w:rPr>
        <w:t xml:space="preserve">district </w:t>
      </w:r>
      <w:r w:rsidRPr="00DA607A">
        <w:rPr>
          <w:lang w:val="en-GB"/>
        </w:rPr>
        <w:t>court</w:t>
      </w:r>
      <w:r w:rsidR="000E3931" w:rsidRPr="00DA607A">
        <w:rPr>
          <w:lang w:val="en-GB"/>
        </w:rPr>
        <w:t xml:space="preserve"> </w:t>
      </w:r>
      <w:r w:rsidR="00761AFE" w:rsidRPr="00DA607A">
        <w:rPr>
          <w:lang w:val="en-GB"/>
        </w:rPr>
        <w:t xml:space="preserve">also </w:t>
      </w:r>
      <w:r w:rsidR="000E3931" w:rsidRPr="00DA607A">
        <w:rPr>
          <w:lang w:val="en-GB"/>
        </w:rPr>
        <w:t xml:space="preserve">considered that the RODK report was thorough, clear and of a high evidentiary value. Relying on the report and </w:t>
      </w:r>
      <w:r w:rsidR="00252292" w:rsidRPr="00DA607A">
        <w:rPr>
          <w:lang w:val="en-GB"/>
        </w:rPr>
        <w:t>the remaining</w:t>
      </w:r>
      <w:r w:rsidR="000E3931" w:rsidRPr="00DA607A">
        <w:rPr>
          <w:lang w:val="en-GB"/>
        </w:rPr>
        <w:t xml:space="preserve"> evidence, the </w:t>
      </w:r>
      <w:r w:rsidR="00A73DB8" w:rsidRPr="00DA607A">
        <w:rPr>
          <w:lang w:val="en-GB"/>
        </w:rPr>
        <w:t>family</w:t>
      </w:r>
      <w:r w:rsidR="00E27103" w:rsidRPr="00DA607A">
        <w:rPr>
          <w:lang w:val="en-GB"/>
        </w:rPr>
        <w:t xml:space="preserve"> </w:t>
      </w:r>
      <w:r w:rsidR="000E3931" w:rsidRPr="00DA607A">
        <w:rPr>
          <w:lang w:val="en-GB"/>
        </w:rPr>
        <w:t xml:space="preserve">court established that since his birth the child had been under the constant good care of his mother (who </w:t>
      </w:r>
      <w:r w:rsidR="00252292" w:rsidRPr="00DA607A">
        <w:rPr>
          <w:lang w:val="en-GB"/>
        </w:rPr>
        <w:t>had</w:t>
      </w:r>
      <w:r w:rsidR="000E3931" w:rsidRPr="00DA607A">
        <w:rPr>
          <w:lang w:val="en-GB"/>
        </w:rPr>
        <w:t xml:space="preserve"> not work</w:t>
      </w:r>
      <w:r w:rsidR="00252292" w:rsidRPr="00DA607A">
        <w:rPr>
          <w:lang w:val="en-GB"/>
        </w:rPr>
        <w:t>ed</w:t>
      </w:r>
      <w:r w:rsidR="000E3931" w:rsidRPr="00DA607A">
        <w:rPr>
          <w:lang w:val="en-GB"/>
        </w:rPr>
        <w:t xml:space="preserve"> in Canada). The child </w:t>
      </w:r>
      <w:r w:rsidR="00791C1B" w:rsidRPr="00DA607A">
        <w:rPr>
          <w:lang w:val="en-GB"/>
        </w:rPr>
        <w:t xml:space="preserve">had </w:t>
      </w:r>
      <w:r w:rsidR="000E3931" w:rsidRPr="00DA607A">
        <w:rPr>
          <w:lang w:val="en-GB"/>
        </w:rPr>
        <w:t xml:space="preserve">a strong emotional bond with the mother, </w:t>
      </w:r>
      <w:r w:rsidR="00791C1B" w:rsidRPr="00DA607A">
        <w:rPr>
          <w:lang w:val="en-GB"/>
        </w:rPr>
        <w:t xml:space="preserve">did </w:t>
      </w:r>
      <w:r w:rsidR="000E3931" w:rsidRPr="00DA607A">
        <w:rPr>
          <w:lang w:val="en-GB"/>
        </w:rPr>
        <w:t xml:space="preserve">not remember the applicant and </w:t>
      </w:r>
      <w:r w:rsidR="00791C1B" w:rsidRPr="00DA607A">
        <w:rPr>
          <w:lang w:val="en-GB"/>
        </w:rPr>
        <w:t xml:space="preserve">did </w:t>
      </w:r>
      <w:r w:rsidR="000E3931" w:rsidRPr="00DA607A">
        <w:rPr>
          <w:lang w:val="en-GB"/>
        </w:rPr>
        <w:t xml:space="preserve">not perceive him as a parent. The applicant </w:t>
      </w:r>
      <w:r w:rsidR="00791C1B" w:rsidRPr="00DA607A">
        <w:rPr>
          <w:lang w:val="en-GB"/>
        </w:rPr>
        <w:t xml:space="preserve">did </w:t>
      </w:r>
      <w:r w:rsidR="000E3931" w:rsidRPr="00DA607A">
        <w:rPr>
          <w:lang w:val="en-GB"/>
        </w:rPr>
        <w:t xml:space="preserve">not show any interest in the child. Since July 2011, he </w:t>
      </w:r>
      <w:r w:rsidR="00791C1B" w:rsidRPr="00DA607A">
        <w:rPr>
          <w:lang w:val="en-GB"/>
        </w:rPr>
        <w:t xml:space="preserve">had </w:t>
      </w:r>
      <w:r w:rsidR="00252292" w:rsidRPr="00DA607A">
        <w:rPr>
          <w:lang w:val="en-GB"/>
        </w:rPr>
        <w:t>seen</w:t>
      </w:r>
      <w:r w:rsidR="000E3931" w:rsidRPr="00DA607A">
        <w:rPr>
          <w:lang w:val="en-GB"/>
        </w:rPr>
        <w:t xml:space="preserve"> his son only once</w:t>
      </w:r>
      <w:r w:rsidR="00791C1B" w:rsidRPr="00DA607A">
        <w:rPr>
          <w:lang w:val="en-GB"/>
        </w:rPr>
        <w:t>,</w:t>
      </w:r>
      <w:r w:rsidR="000E3931" w:rsidRPr="00DA607A">
        <w:rPr>
          <w:lang w:val="en-GB"/>
        </w:rPr>
        <w:t xml:space="preserve"> in March 2012, despite the fact that he </w:t>
      </w:r>
      <w:r w:rsidR="00791C1B" w:rsidRPr="00DA607A">
        <w:rPr>
          <w:lang w:val="en-GB"/>
        </w:rPr>
        <w:t xml:space="preserve">had been </w:t>
      </w:r>
      <w:r w:rsidR="000E3931" w:rsidRPr="00DA607A">
        <w:rPr>
          <w:lang w:val="en-GB"/>
        </w:rPr>
        <w:t xml:space="preserve">in Poland for a month. </w:t>
      </w:r>
      <w:r w:rsidR="00331B35" w:rsidRPr="00DA607A">
        <w:rPr>
          <w:lang w:val="en-GB"/>
        </w:rPr>
        <w:t xml:space="preserve">He </w:t>
      </w:r>
      <w:r w:rsidR="00791C1B" w:rsidRPr="00DA607A">
        <w:rPr>
          <w:lang w:val="en-GB"/>
        </w:rPr>
        <w:t xml:space="preserve">had also </w:t>
      </w:r>
      <w:r w:rsidR="00331B35" w:rsidRPr="00DA607A">
        <w:rPr>
          <w:lang w:val="en-GB"/>
        </w:rPr>
        <w:t xml:space="preserve">stopped paying child support and </w:t>
      </w:r>
      <w:r w:rsidR="00791C1B" w:rsidRPr="00DA607A">
        <w:rPr>
          <w:lang w:val="en-GB"/>
        </w:rPr>
        <w:t>had not shown</w:t>
      </w:r>
      <w:r w:rsidR="00331B35" w:rsidRPr="00DA607A">
        <w:rPr>
          <w:lang w:val="en-GB"/>
        </w:rPr>
        <w:t xml:space="preserve"> any interest in </w:t>
      </w:r>
      <w:r w:rsidR="00861B19" w:rsidRPr="00DA607A">
        <w:rPr>
          <w:lang w:val="en-GB"/>
        </w:rPr>
        <w:t>him</w:t>
      </w:r>
      <w:r w:rsidR="00331B35" w:rsidRPr="00DA607A">
        <w:rPr>
          <w:lang w:val="en-GB"/>
        </w:rPr>
        <w:t>.</w:t>
      </w:r>
      <w:r w:rsidRPr="00DA607A">
        <w:rPr>
          <w:lang w:val="en-GB"/>
        </w:rPr>
        <w:t xml:space="preserve"> The domestic court also made an </w:t>
      </w:r>
      <w:r w:rsidR="007042DA" w:rsidRPr="00DA607A">
        <w:rPr>
          <w:lang w:val="en-GB"/>
        </w:rPr>
        <w:t xml:space="preserve">additional </w:t>
      </w:r>
      <w:r w:rsidRPr="00DA607A">
        <w:rPr>
          <w:lang w:val="en-GB"/>
        </w:rPr>
        <w:t>observation that the applicant had sold his apartment in Canada and it was unknown if his new living conditions were adequate for his two-year</w:t>
      </w:r>
      <w:r w:rsidR="007042DA" w:rsidRPr="00DA607A">
        <w:rPr>
          <w:lang w:val="en-GB"/>
        </w:rPr>
        <w:t>-</w:t>
      </w:r>
      <w:r w:rsidRPr="00DA607A">
        <w:rPr>
          <w:lang w:val="en-GB"/>
        </w:rPr>
        <w:t>old child to move in</w:t>
      </w:r>
      <w:r w:rsidR="007042DA" w:rsidRPr="00DA607A">
        <w:rPr>
          <w:lang w:val="en-GB"/>
        </w:rPr>
        <w:t>to</w:t>
      </w:r>
      <w:r w:rsidRPr="00DA607A">
        <w:rPr>
          <w:lang w:val="en-GB"/>
        </w:rPr>
        <w:t>.</w:t>
      </w:r>
    </w:p>
    <w:p w:rsidR="000E3931" w:rsidRPr="00DA607A" w:rsidRDefault="00331B35"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17</w:t>
      </w:r>
      <w:r w:rsidRPr="00DA607A">
        <w:rPr>
          <w:lang w:val="en-GB"/>
        </w:rPr>
        <w:fldChar w:fldCharType="end"/>
      </w:r>
      <w:r w:rsidRPr="00DA607A">
        <w:rPr>
          <w:lang w:val="en-GB"/>
        </w:rPr>
        <w:t>.  </w:t>
      </w:r>
      <w:r w:rsidR="000E3931" w:rsidRPr="00DA607A">
        <w:rPr>
          <w:lang w:val="en-GB"/>
        </w:rPr>
        <w:t xml:space="preserve">In view of the above it was </w:t>
      </w:r>
      <w:r w:rsidR="00761AFE" w:rsidRPr="00DA607A">
        <w:rPr>
          <w:lang w:val="en-GB"/>
        </w:rPr>
        <w:t xml:space="preserve">ultimately </w:t>
      </w:r>
      <w:r w:rsidR="000E3931" w:rsidRPr="00DA607A">
        <w:rPr>
          <w:lang w:val="en-GB"/>
        </w:rPr>
        <w:t>held that separating the two-year</w:t>
      </w:r>
      <w:r w:rsidR="007042DA" w:rsidRPr="00DA607A">
        <w:rPr>
          <w:lang w:val="en-GB"/>
        </w:rPr>
        <w:t>-</w:t>
      </w:r>
      <w:r w:rsidR="000E3931" w:rsidRPr="00DA607A">
        <w:rPr>
          <w:lang w:val="en-GB"/>
        </w:rPr>
        <w:t xml:space="preserve">old </w:t>
      </w:r>
      <w:r w:rsidR="00761AFE" w:rsidRPr="00DA607A">
        <w:rPr>
          <w:lang w:val="en-GB"/>
        </w:rPr>
        <w:t>boy</w:t>
      </w:r>
      <w:r w:rsidR="000E3931" w:rsidRPr="00DA607A">
        <w:rPr>
          <w:lang w:val="en-GB"/>
        </w:rPr>
        <w:t xml:space="preserve"> from the mother and returning him to his father in Canada would be traumatic and hard to bear for the child</w:t>
      </w:r>
      <w:r w:rsidRPr="00DA607A">
        <w:rPr>
          <w:lang w:val="en-GB"/>
        </w:rPr>
        <w:t>. This, in turn,</w:t>
      </w:r>
      <w:r w:rsidR="000E3931" w:rsidRPr="00DA607A">
        <w:rPr>
          <w:lang w:val="en-GB"/>
        </w:rPr>
        <w:t xml:space="preserve"> would pose a </w:t>
      </w:r>
      <w:r w:rsidR="00761AFE" w:rsidRPr="00DA607A">
        <w:rPr>
          <w:lang w:val="en-GB"/>
        </w:rPr>
        <w:t>threat</w:t>
      </w:r>
      <w:r w:rsidR="000E3931" w:rsidRPr="00DA607A">
        <w:rPr>
          <w:lang w:val="en-GB"/>
        </w:rPr>
        <w:t xml:space="preserve"> to </w:t>
      </w:r>
      <w:r w:rsidR="00252292" w:rsidRPr="00DA607A">
        <w:rPr>
          <w:lang w:val="en-GB"/>
        </w:rPr>
        <w:t>the child</w:t>
      </w:r>
      <w:r w:rsidR="00DA607A" w:rsidRPr="00DA607A">
        <w:rPr>
          <w:lang w:val="en-GB"/>
        </w:rPr>
        <w:t>’</w:t>
      </w:r>
      <w:r w:rsidR="00252292" w:rsidRPr="00DA607A">
        <w:rPr>
          <w:lang w:val="en-GB"/>
        </w:rPr>
        <w:t>s</w:t>
      </w:r>
      <w:r w:rsidR="000E3931" w:rsidRPr="00DA607A">
        <w:rPr>
          <w:lang w:val="en-GB"/>
        </w:rPr>
        <w:t xml:space="preserve"> emotional and social development and would perturb his sense of security and stability.</w:t>
      </w:r>
    </w:p>
    <w:p w:rsidR="00A06729" w:rsidRPr="00DA607A" w:rsidRDefault="00331B35"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18</w:t>
      </w:r>
      <w:r w:rsidRPr="00DA607A">
        <w:rPr>
          <w:lang w:val="en-GB"/>
        </w:rPr>
        <w:fldChar w:fldCharType="end"/>
      </w:r>
      <w:r w:rsidRPr="00DA607A">
        <w:rPr>
          <w:lang w:val="en-GB"/>
        </w:rPr>
        <w:t>.  </w:t>
      </w:r>
      <w:r w:rsidR="000E3931" w:rsidRPr="00DA607A">
        <w:rPr>
          <w:lang w:val="en-GB"/>
        </w:rPr>
        <w:t xml:space="preserve">The applicant appealed, arguing that the first-instance court </w:t>
      </w:r>
      <w:r w:rsidR="00990314" w:rsidRPr="00DA607A">
        <w:rPr>
          <w:lang w:val="en-GB"/>
        </w:rPr>
        <w:t xml:space="preserve">had </w:t>
      </w:r>
      <w:r w:rsidR="000E3931" w:rsidRPr="00DA607A">
        <w:rPr>
          <w:lang w:val="en-GB"/>
        </w:rPr>
        <w:t>erred in that</w:t>
      </w:r>
      <w:r w:rsidR="00990314" w:rsidRPr="00DA607A">
        <w:rPr>
          <w:lang w:val="en-GB"/>
        </w:rPr>
        <w:t>,</w:t>
      </w:r>
      <w:r w:rsidR="000E3931" w:rsidRPr="00DA607A">
        <w:rPr>
          <w:lang w:val="en-GB"/>
        </w:rPr>
        <w:t xml:space="preserve"> </w:t>
      </w:r>
      <w:r w:rsidR="000E3931" w:rsidRPr="00DA607A">
        <w:rPr>
          <w:i/>
          <w:lang w:val="en-GB"/>
        </w:rPr>
        <w:t>inter alia</w:t>
      </w:r>
      <w:r w:rsidR="000E3931" w:rsidRPr="00DA607A">
        <w:rPr>
          <w:lang w:val="en-GB"/>
        </w:rPr>
        <w:t xml:space="preserve">, it had given a broad and not restrictive interpretation </w:t>
      </w:r>
      <w:r w:rsidR="00861B19" w:rsidRPr="00DA607A">
        <w:rPr>
          <w:lang w:val="en-GB"/>
        </w:rPr>
        <w:t>of</w:t>
      </w:r>
      <w:r w:rsidR="000E3931" w:rsidRPr="00DA607A">
        <w:rPr>
          <w:lang w:val="en-GB"/>
        </w:rPr>
        <w:t xml:space="preserve"> Article </w:t>
      </w:r>
      <w:r w:rsidRPr="00DA607A">
        <w:rPr>
          <w:lang w:val="en-GB"/>
        </w:rPr>
        <w:t>13 (b)</w:t>
      </w:r>
      <w:r w:rsidR="000E3931" w:rsidRPr="00DA607A">
        <w:rPr>
          <w:lang w:val="en-GB"/>
        </w:rPr>
        <w:t xml:space="preserve"> of the Hague Convention and had dismissed </w:t>
      </w:r>
      <w:r w:rsidR="007D73CF" w:rsidRPr="00DA607A">
        <w:rPr>
          <w:lang w:val="en-GB"/>
        </w:rPr>
        <w:t>his</w:t>
      </w:r>
      <w:r w:rsidR="000E3931" w:rsidRPr="00DA607A">
        <w:rPr>
          <w:lang w:val="en-GB"/>
        </w:rPr>
        <w:t xml:space="preserve"> </w:t>
      </w:r>
      <w:r w:rsidR="00990314" w:rsidRPr="00DA607A">
        <w:rPr>
          <w:lang w:val="en-GB"/>
        </w:rPr>
        <w:t xml:space="preserve">application </w:t>
      </w:r>
      <w:r w:rsidR="000E3931" w:rsidRPr="00DA607A">
        <w:rPr>
          <w:lang w:val="en-GB"/>
        </w:rPr>
        <w:t>even though it had not been established that the child was at a grave risk of physical or psychological harm if returned to Canada.</w:t>
      </w:r>
      <w:r w:rsidR="00EC1A3A" w:rsidRPr="00DA607A">
        <w:rPr>
          <w:lang w:val="en-GB"/>
        </w:rPr>
        <w:t xml:space="preserve"> </w:t>
      </w:r>
      <w:r w:rsidR="00B87373" w:rsidRPr="00DA607A">
        <w:rPr>
          <w:lang w:val="en-GB"/>
        </w:rPr>
        <w:t>The applicant also challenged the RODK expert</w:t>
      </w:r>
      <w:r w:rsidR="00DA1798" w:rsidRPr="00DA607A">
        <w:rPr>
          <w:lang w:val="en-GB"/>
        </w:rPr>
        <w:t>s</w:t>
      </w:r>
      <w:r w:rsidR="00DA607A" w:rsidRPr="00DA607A">
        <w:rPr>
          <w:lang w:val="en-GB"/>
        </w:rPr>
        <w:t>’</w:t>
      </w:r>
      <w:r w:rsidR="00B87373" w:rsidRPr="00DA607A">
        <w:rPr>
          <w:lang w:val="en-GB"/>
        </w:rPr>
        <w:t xml:space="preserve"> report</w:t>
      </w:r>
      <w:r w:rsidR="00EC1A3A" w:rsidRPr="00DA607A">
        <w:rPr>
          <w:lang w:val="en-GB"/>
        </w:rPr>
        <w:t xml:space="preserve">, arguing that it was unconvincing </w:t>
      </w:r>
      <w:r w:rsidR="002B25EE" w:rsidRPr="00DA607A">
        <w:rPr>
          <w:lang w:val="en-GB"/>
        </w:rPr>
        <w:t xml:space="preserve">and </w:t>
      </w:r>
      <w:r w:rsidR="00EC1A3A" w:rsidRPr="00DA607A">
        <w:rPr>
          <w:lang w:val="en-GB"/>
        </w:rPr>
        <w:t>inconsistent with the evidence obtained</w:t>
      </w:r>
      <w:r w:rsidR="00B87373" w:rsidRPr="00DA607A">
        <w:rPr>
          <w:lang w:val="en-GB"/>
        </w:rPr>
        <w:t>.</w:t>
      </w:r>
    </w:p>
    <w:p w:rsidR="00A06729" w:rsidRPr="00DA607A" w:rsidRDefault="00331B35"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19</w:t>
      </w:r>
      <w:r w:rsidRPr="00DA607A">
        <w:rPr>
          <w:lang w:val="en-GB"/>
        </w:rPr>
        <w:fldChar w:fldCharType="end"/>
      </w:r>
      <w:r w:rsidRPr="00DA607A">
        <w:rPr>
          <w:lang w:val="en-GB"/>
        </w:rPr>
        <w:t>.  </w:t>
      </w:r>
      <w:r w:rsidR="000E3931" w:rsidRPr="00DA607A">
        <w:rPr>
          <w:lang w:val="en-GB"/>
        </w:rPr>
        <w:t>On 9 July 2013 the Kielce Regional Court (II Ca 551/13) dismissed the appeal</w:t>
      </w:r>
      <w:r w:rsidR="00EC1A3A" w:rsidRPr="00DA607A">
        <w:rPr>
          <w:lang w:val="en-GB"/>
        </w:rPr>
        <w:t xml:space="preserve"> in the relevant part</w:t>
      </w:r>
      <w:r w:rsidR="000E3931" w:rsidRPr="00DA607A">
        <w:rPr>
          <w:lang w:val="en-GB"/>
        </w:rPr>
        <w:t>.</w:t>
      </w:r>
    </w:p>
    <w:p w:rsidR="000E3931" w:rsidRPr="00DA607A" w:rsidRDefault="00331B35"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20</w:t>
      </w:r>
      <w:r w:rsidRPr="00DA607A">
        <w:rPr>
          <w:lang w:val="en-GB"/>
        </w:rPr>
        <w:fldChar w:fldCharType="end"/>
      </w:r>
      <w:r w:rsidRPr="00DA607A">
        <w:rPr>
          <w:lang w:val="en-GB"/>
        </w:rPr>
        <w:t>.  </w:t>
      </w:r>
      <w:r w:rsidR="000E3931" w:rsidRPr="00DA607A">
        <w:rPr>
          <w:lang w:val="en-GB"/>
        </w:rPr>
        <w:t>The appellate court observed that international and domestic prac</w:t>
      </w:r>
      <w:r w:rsidRPr="00DA607A">
        <w:rPr>
          <w:lang w:val="en-GB"/>
        </w:rPr>
        <w:t>tice required that Article 13 (b</w:t>
      </w:r>
      <w:r w:rsidR="000E3931" w:rsidRPr="00DA607A">
        <w:rPr>
          <w:lang w:val="en-GB"/>
        </w:rPr>
        <w:t>) be given a restrictive reading to the effect that, in principle, any unfavourable consequences of the child</w:t>
      </w:r>
      <w:r w:rsidR="00DA607A" w:rsidRPr="00DA607A">
        <w:rPr>
          <w:lang w:val="en-GB"/>
        </w:rPr>
        <w:t>’</w:t>
      </w:r>
      <w:r w:rsidR="000E3931" w:rsidRPr="00DA607A">
        <w:rPr>
          <w:lang w:val="en-GB"/>
        </w:rPr>
        <w:t xml:space="preserve">s separation stemming from the order to surrender the child by the abducting parent did not give rise to </w:t>
      </w:r>
      <w:r w:rsidR="00990314" w:rsidRPr="00DA607A">
        <w:rPr>
          <w:lang w:val="en-GB"/>
        </w:rPr>
        <w:t xml:space="preserve">a </w:t>
      </w:r>
      <w:r w:rsidR="000E3931" w:rsidRPr="00DA607A">
        <w:rPr>
          <w:lang w:val="en-GB"/>
        </w:rPr>
        <w:t xml:space="preserve">grave risk of physical or psychological harm within the meaning of that provision. It also noted that the aim of the Hague Convention would be </w:t>
      </w:r>
      <w:r w:rsidRPr="00DA607A">
        <w:rPr>
          <w:lang w:val="en-GB"/>
        </w:rPr>
        <w:t>achieved</w:t>
      </w:r>
      <w:r w:rsidR="000E3931" w:rsidRPr="00DA607A">
        <w:rPr>
          <w:lang w:val="en-GB"/>
        </w:rPr>
        <w:t xml:space="preserve"> if the abducting parent returned with the child. If no objective obstacles to the abducting parent</w:t>
      </w:r>
      <w:r w:rsidR="00DA607A" w:rsidRPr="00DA607A">
        <w:rPr>
          <w:lang w:val="en-GB"/>
        </w:rPr>
        <w:t>’</w:t>
      </w:r>
      <w:r w:rsidR="000E3931" w:rsidRPr="00DA607A">
        <w:rPr>
          <w:lang w:val="en-GB"/>
        </w:rPr>
        <w:t xml:space="preserve">s return </w:t>
      </w:r>
      <w:r w:rsidR="009E75EC" w:rsidRPr="00DA607A">
        <w:rPr>
          <w:lang w:val="en-GB"/>
        </w:rPr>
        <w:t>were present</w:t>
      </w:r>
      <w:r w:rsidR="000E3931" w:rsidRPr="00DA607A">
        <w:rPr>
          <w:lang w:val="en-GB"/>
        </w:rPr>
        <w:t xml:space="preserve">, it could be inferred that the parent </w:t>
      </w:r>
      <w:r w:rsidR="009E75EC" w:rsidRPr="00DA607A">
        <w:rPr>
          <w:lang w:val="en-GB"/>
        </w:rPr>
        <w:t xml:space="preserve">was </w:t>
      </w:r>
      <w:r w:rsidR="000E3931" w:rsidRPr="00DA607A">
        <w:rPr>
          <w:lang w:val="en-GB"/>
        </w:rPr>
        <w:t>refusing to return</w:t>
      </w:r>
      <w:r w:rsidR="009E75EC" w:rsidRPr="00DA607A">
        <w:rPr>
          <w:lang w:val="en-GB"/>
        </w:rPr>
        <w:t xml:space="preserve"> and </w:t>
      </w:r>
      <w:r w:rsidR="000E3931" w:rsidRPr="00DA607A">
        <w:rPr>
          <w:lang w:val="en-GB"/>
        </w:rPr>
        <w:t>was acting in his or her own interest and not the interest of the child.</w:t>
      </w:r>
    </w:p>
    <w:p w:rsidR="00A06729" w:rsidRPr="00DA607A" w:rsidRDefault="00331B35"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21</w:t>
      </w:r>
      <w:r w:rsidRPr="00DA607A">
        <w:rPr>
          <w:lang w:val="en-GB"/>
        </w:rPr>
        <w:fldChar w:fldCharType="end"/>
      </w:r>
      <w:r w:rsidRPr="00DA607A">
        <w:rPr>
          <w:lang w:val="en-GB"/>
        </w:rPr>
        <w:t>.  </w:t>
      </w:r>
      <w:r w:rsidR="000E3931" w:rsidRPr="00DA607A">
        <w:rPr>
          <w:lang w:val="en-GB"/>
        </w:rPr>
        <w:t>The appellate court reasoned th</w:t>
      </w:r>
      <w:r w:rsidR="009C70F6" w:rsidRPr="00DA607A">
        <w:rPr>
          <w:lang w:val="en-GB"/>
        </w:rPr>
        <w:t>at the application of the above</w:t>
      </w:r>
      <w:r w:rsidR="009C70F6" w:rsidRPr="00DA607A">
        <w:rPr>
          <w:lang w:val="en-GB"/>
        </w:rPr>
        <w:noBreakHyphen/>
      </w:r>
      <w:r w:rsidR="000E3931" w:rsidRPr="00DA607A">
        <w:rPr>
          <w:lang w:val="en-GB"/>
        </w:rPr>
        <w:t xml:space="preserve">mentioned principles was more complex in cases concerning very young children. The Hague Convention </w:t>
      </w:r>
      <w:r w:rsidR="00E27103" w:rsidRPr="00DA607A">
        <w:rPr>
          <w:lang w:val="en-GB"/>
        </w:rPr>
        <w:t>stipulated</w:t>
      </w:r>
      <w:r w:rsidR="00861B19" w:rsidRPr="00DA607A">
        <w:rPr>
          <w:lang w:val="en-GB"/>
        </w:rPr>
        <w:t xml:space="preserve"> only</w:t>
      </w:r>
      <w:r w:rsidR="000E3931" w:rsidRPr="00DA607A">
        <w:rPr>
          <w:lang w:val="en-GB"/>
        </w:rPr>
        <w:t xml:space="preserve"> a maximum age requirement for children whose return could be sought under its provisions (</w:t>
      </w:r>
      <w:r w:rsidR="00252292" w:rsidRPr="00DA607A">
        <w:rPr>
          <w:lang w:val="en-GB"/>
        </w:rPr>
        <w:t xml:space="preserve">the age of </w:t>
      </w:r>
      <w:r w:rsidR="00B436AB" w:rsidRPr="00DA607A">
        <w:rPr>
          <w:lang w:val="en-GB"/>
        </w:rPr>
        <w:t>16</w:t>
      </w:r>
      <w:r w:rsidR="000E3931" w:rsidRPr="00DA607A">
        <w:rPr>
          <w:lang w:val="en-GB"/>
        </w:rPr>
        <w:t>). It also protected</w:t>
      </w:r>
      <w:r w:rsidR="00BA11DB" w:rsidRPr="00DA607A">
        <w:rPr>
          <w:lang w:val="en-GB"/>
        </w:rPr>
        <w:t xml:space="preserve"> (under Article 12)</w:t>
      </w:r>
      <w:r w:rsidR="000E3931" w:rsidRPr="00DA607A">
        <w:rPr>
          <w:lang w:val="en-GB"/>
        </w:rPr>
        <w:t xml:space="preserve"> very young children from possible harmful effects of the return if it was shown that the parent seeking the return had not taken care of the child before the abduction or that the child had already adapted to the new environment. Following this approach, separating an abducted child from the parent who had a </w:t>
      </w:r>
      <w:r w:rsidR="00BA11DB" w:rsidRPr="00DA607A">
        <w:rPr>
          <w:lang w:val="en-GB"/>
        </w:rPr>
        <w:t xml:space="preserve">dominant </w:t>
      </w:r>
      <w:r w:rsidR="000E3931" w:rsidRPr="00DA607A">
        <w:rPr>
          <w:lang w:val="en-GB"/>
        </w:rPr>
        <w:t>role in the child</w:t>
      </w:r>
      <w:r w:rsidR="00DA607A" w:rsidRPr="00DA607A">
        <w:rPr>
          <w:lang w:val="en-GB"/>
        </w:rPr>
        <w:t>’</w:t>
      </w:r>
      <w:r w:rsidR="000E3931" w:rsidRPr="00DA607A">
        <w:rPr>
          <w:lang w:val="en-GB"/>
        </w:rPr>
        <w:t>s life would not fall within the Artic</w:t>
      </w:r>
      <w:r w:rsidRPr="00DA607A">
        <w:rPr>
          <w:lang w:val="en-GB"/>
        </w:rPr>
        <w:t>le 13 (b</w:t>
      </w:r>
      <w:r w:rsidR="000E3931" w:rsidRPr="00DA607A">
        <w:rPr>
          <w:lang w:val="en-GB"/>
        </w:rPr>
        <w:t>) exceptions unless objective obstacles to the parent</w:t>
      </w:r>
      <w:r w:rsidR="00DA607A" w:rsidRPr="00DA607A">
        <w:rPr>
          <w:lang w:val="en-GB"/>
        </w:rPr>
        <w:t>’</w:t>
      </w:r>
      <w:r w:rsidR="000E3931" w:rsidRPr="00DA607A">
        <w:rPr>
          <w:lang w:val="en-GB"/>
        </w:rPr>
        <w:t xml:space="preserve">s return </w:t>
      </w:r>
      <w:r w:rsidR="00BA11DB" w:rsidRPr="00DA607A">
        <w:rPr>
          <w:lang w:val="en-GB"/>
        </w:rPr>
        <w:t xml:space="preserve">could be </w:t>
      </w:r>
      <w:r w:rsidR="000E3931" w:rsidRPr="00DA607A">
        <w:rPr>
          <w:lang w:val="en-GB"/>
        </w:rPr>
        <w:t xml:space="preserve">shown to </w:t>
      </w:r>
      <w:r w:rsidR="00BA11DB" w:rsidRPr="00DA607A">
        <w:rPr>
          <w:lang w:val="en-GB"/>
        </w:rPr>
        <w:t>be present</w:t>
      </w:r>
      <w:r w:rsidR="000E3931" w:rsidRPr="00DA607A">
        <w:rPr>
          <w:lang w:val="en-GB"/>
        </w:rPr>
        <w:t xml:space="preserve">. This </w:t>
      </w:r>
      <w:r w:rsidR="00252292" w:rsidRPr="00DA607A">
        <w:rPr>
          <w:lang w:val="en-GB"/>
        </w:rPr>
        <w:t>approach</w:t>
      </w:r>
      <w:r w:rsidR="000E3931" w:rsidRPr="00DA607A">
        <w:rPr>
          <w:lang w:val="en-GB"/>
        </w:rPr>
        <w:t xml:space="preserve"> however</w:t>
      </w:r>
      <w:r w:rsidR="00252292" w:rsidRPr="00DA607A">
        <w:rPr>
          <w:lang w:val="en-GB"/>
        </w:rPr>
        <w:t>,</w:t>
      </w:r>
      <w:r w:rsidR="000E3931" w:rsidRPr="00DA607A">
        <w:rPr>
          <w:lang w:val="en-GB"/>
        </w:rPr>
        <w:t xml:space="preserve"> </w:t>
      </w:r>
      <w:r w:rsidR="00252292" w:rsidRPr="00DA607A">
        <w:rPr>
          <w:lang w:val="en-GB"/>
        </w:rPr>
        <w:t>wa</w:t>
      </w:r>
      <w:r w:rsidR="007A07AB" w:rsidRPr="00DA607A">
        <w:rPr>
          <w:lang w:val="en-GB"/>
        </w:rPr>
        <w:t>s</w:t>
      </w:r>
      <w:r w:rsidR="00252292" w:rsidRPr="00DA607A">
        <w:rPr>
          <w:lang w:val="en-GB"/>
        </w:rPr>
        <w:t xml:space="preserve"> </w:t>
      </w:r>
      <w:r w:rsidR="000E3931" w:rsidRPr="00DA607A">
        <w:rPr>
          <w:lang w:val="en-GB"/>
        </w:rPr>
        <w:t>difficult to accept in cases concerning abductions of infants by mothers because of the special r</w:t>
      </w:r>
      <w:r w:rsidR="00252292" w:rsidRPr="00DA607A">
        <w:rPr>
          <w:lang w:val="en-GB"/>
        </w:rPr>
        <w:t>elationship between them. This wa</w:t>
      </w:r>
      <w:r w:rsidR="000E3931" w:rsidRPr="00DA607A">
        <w:rPr>
          <w:lang w:val="en-GB"/>
        </w:rPr>
        <w:t xml:space="preserve">s true even in </w:t>
      </w:r>
      <w:r w:rsidR="00BA11DB" w:rsidRPr="00DA607A">
        <w:rPr>
          <w:lang w:val="en-GB"/>
        </w:rPr>
        <w:t xml:space="preserve">the </w:t>
      </w:r>
      <w:r w:rsidR="000E3931" w:rsidRPr="00DA607A">
        <w:rPr>
          <w:lang w:val="en-GB"/>
        </w:rPr>
        <w:t>absence of any objective obstacles to the mother</w:t>
      </w:r>
      <w:r w:rsidR="00DA607A" w:rsidRPr="00DA607A">
        <w:rPr>
          <w:lang w:val="en-GB"/>
        </w:rPr>
        <w:t>’</w:t>
      </w:r>
      <w:r w:rsidR="000E3931" w:rsidRPr="00DA607A">
        <w:rPr>
          <w:lang w:val="en-GB"/>
        </w:rPr>
        <w:t xml:space="preserve">s own return because </w:t>
      </w:r>
      <w:r w:rsidR="00861B19" w:rsidRPr="00DA607A">
        <w:rPr>
          <w:lang w:val="en-GB"/>
        </w:rPr>
        <w:t>any</w:t>
      </w:r>
      <w:r w:rsidR="000E3931" w:rsidRPr="00DA607A">
        <w:rPr>
          <w:lang w:val="en-GB"/>
        </w:rPr>
        <w:t xml:space="preserve"> separation of an infant from his or her mother w</w:t>
      </w:r>
      <w:r w:rsidR="00252292" w:rsidRPr="00DA607A">
        <w:rPr>
          <w:lang w:val="en-GB"/>
        </w:rPr>
        <w:t xml:space="preserve">ould </w:t>
      </w:r>
      <w:r w:rsidR="000E3931" w:rsidRPr="00DA607A">
        <w:rPr>
          <w:lang w:val="en-GB"/>
        </w:rPr>
        <w:t>inevitably be contrary to the child</w:t>
      </w:r>
      <w:r w:rsidR="00DA607A" w:rsidRPr="00DA607A">
        <w:rPr>
          <w:lang w:val="en-GB"/>
        </w:rPr>
        <w:t>’</w:t>
      </w:r>
      <w:r w:rsidR="000E3931" w:rsidRPr="00DA607A">
        <w:rPr>
          <w:lang w:val="en-GB"/>
        </w:rPr>
        <w:t>s best interests.</w:t>
      </w:r>
    </w:p>
    <w:p w:rsidR="00A06729" w:rsidRPr="00DA607A" w:rsidRDefault="00AD398E"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22</w:t>
      </w:r>
      <w:r w:rsidRPr="00DA607A">
        <w:rPr>
          <w:lang w:val="en-GB"/>
        </w:rPr>
        <w:fldChar w:fldCharType="end"/>
      </w:r>
      <w:r w:rsidRPr="00DA607A">
        <w:rPr>
          <w:lang w:val="en-GB"/>
        </w:rPr>
        <w:t>.  </w:t>
      </w:r>
      <w:r w:rsidR="001772F1" w:rsidRPr="00DA607A">
        <w:rPr>
          <w:lang w:val="en-GB"/>
        </w:rPr>
        <w:t>The appellate court</w:t>
      </w:r>
      <w:r w:rsidR="000E3931" w:rsidRPr="00DA607A">
        <w:rPr>
          <w:lang w:val="en-GB"/>
        </w:rPr>
        <w:t xml:space="preserve"> held that the utmost importance had to be attached to the child</w:t>
      </w:r>
      <w:r w:rsidR="00DA607A" w:rsidRPr="00DA607A">
        <w:rPr>
          <w:lang w:val="en-GB"/>
        </w:rPr>
        <w:t>’</w:t>
      </w:r>
      <w:r w:rsidR="000E3931" w:rsidRPr="00DA607A">
        <w:rPr>
          <w:lang w:val="en-GB"/>
        </w:rPr>
        <w:t xml:space="preserve">s contact with </w:t>
      </w:r>
      <w:r w:rsidR="00BA11DB" w:rsidRPr="00DA607A">
        <w:rPr>
          <w:lang w:val="en-GB"/>
        </w:rPr>
        <w:t xml:space="preserve">his </w:t>
      </w:r>
      <w:r w:rsidR="000E3931" w:rsidRPr="00DA607A">
        <w:rPr>
          <w:lang w:val="en-GB"/>
        </w:rPr>
        <w:t>mother and his separation from her would place</w:t>
      </w:r>
      <w:r w:rsidR="00EB7E88" w:rsidRPr="00DA607A">
        <w:rPr>
          <w:lang w:val="en-GB"/>
        </w:rPr>
        <w:t xml:space="preserve"> the boy</w:t>
      </w:r>
      <w:r w:rsidR="000E3931" w:rsidRPr="00DA607A">
        <w:rPr>
          <w:lang w:val="en-GB"/>
        </w:rPr>
        <w:t xml:space="preserve"> in an intolerable situation.</w:t>
      </w:r>
      <w:r w:rsidR="001772F1" w:rsidRPr="00DA607A">
        <w:rPr>
          <w:lang w:val="en-GB"/>
        </w:rPr>
        <w:t xml:space="preserve"> The domestic court relied on the following elements of the case:</w:t>
      </w:r>
      <w:r w:rsidR="001772F1" w:rsidRPr="00DA607A">
        <w:t xml:space="preserve"> </w:t>
      </w:r>
      <w:r w:rsidR="001772F1" w:rsidRPr="00DA607A">
        <w:rPr>
          <w:lang w:val="en-GB"/>
        </w:rPr>
        <w:t>the applicant</w:t>
      </w:r>
      <w:r w:rsidR="00DA607A" w:rsidRPr="00DA607A">
        <w:rPr>
          <w:lang w:val="en-GB"/>
        </w:rPr>
        <w:t>’</w:t>
      </w:r>
      <w:r w:rsidR="001772F1" w:rsidRPr="00DA607A">
        <w:rPr>
          <w:lang w:val="en-GB"/>
        </w:rPr>
        <w:t xml:space="preserve">s son </w:t>
      </w:r>
      <w:r w:rsidR="00E27103" w:rsidRPr="00DA607A">
        <w:rPr>
          <w:lang w:val="en-GB"/>
        </w:rPr>
        <w:t xml:space="preserve">had </w:t>
      </w:r>
      <w:r w:rsidR="001772F1" w:rsidRPr="00DA607A">
        <w:rPr>
          <w:lang w:val="en-GB"/>
        </w:rPr>
        <w:t>arrived in Poland with both parents at the age of six</w:t>
      </w:r>
      <w:r w:rsidR="00BA11DB" w:rsidRPr="00DA607A">
        <w:rPr>
          <w:lang w:val="en-GB"/>
        </w:rPr>
        <w:t xml:space="preserve"> and a half</w:t>
      </w:r>
      <w:r w:rsidR="001772F1" w:rsidRPr="00DA607A">
        <w:rPr>
          <w:lang w:val="en-GB"/>
        </w:rPr>
        <w:t xml:space="preserve"> months, in April 2011; since </w:t>
      </w:r>
      <w:r w:rsidR="00963EDA" w:rsidRPr="00DA607A">
        <w:rPr>
          <w:lang w:val="en-GB"/>
        </w:rPr>
        <w:t>then</w:t>
      </w:r>
      <w:r w:rsidR="001772F1" w:rsidRPr="00DA607A">
        <w:rPr>
          <w:lang w:val="en-GB"/>
        </w:rPr>
        <w:t xml:space="preserve"> the child had been taken care of solely by </w:t>
      </w:r>
      <w:r w:rsidR="00BA11DB" w:rsidRPr="00DA607A">
        <w:rPr>
          <w:lang w:val="en-GB"/>
        </w:rPr>
        <w:t xml:space="preserve">his </w:t>
      </w:r>
      <w:r w:rsidR="001772F1" w:rsidRPr="00DA607A">
        <w:rPr>
          <w:lang w:val="en-GB"/>
        </w:rPr>
        <w:t xml:space="preserve">mother; the most important </w:t>
      </w:r>
      <w:r w:rsidR="00BA11DB" w:rsidRPr="00DA607A">
        <w:rPr>
          <w:lang w:val="en-GB"/>
        </w:rPr>
        <w:t>element in his life</w:t>
      </w:r>
      <w:r w:rsidR="001772F1" w:rsidRPr="00DA607A">
        <w:rPr>
          <w:lang w:val="en-GB"/>
        </w:rPr>
        <w:t xml:space="preserve"> was his contact with the mother; he did not have any memories of his life in Canada; and the applicant had not considered the child</w:t>
      </w:r>
      <w:r w:rsidR="00DA607A" w:rsidRPr="00DA607A">
        <w:rPr>
          <w:lang w:val="en-GB"/>
        </w:rPr>
        <w:t>’</w:t>
      </w:r>
      <w:r w:rsidR="001772F1" w:rsidRPr="00DA607A">
        <w:rPr>
          <w:lang w:val="en-GB"/>
        </w:rPr>
        <w:t xml:space="preserve">s </w:t>
      </w:r>
      <w:r w:rsidR="00441818" w:rsidRPr="00DA607A">
        <w:rPr>
          <w:lang w:val="en-GB"/>
        </w:rPr>
        <w:t xml:space="preserve">remaining </w:t>
      </w:r>
      <w:r w:rsidR="001772F1" w:rsidRPr="00DA607A">
        <w:rPr>
          <w:lang w:val="en-GB"/>
        </w:rPr>
        <w:t>in Poland illegal prior to October</w:t>
      </w:r>
      <w:r w:rsidR="009C70F6" w:rsidRPr="00DA607A">
        <w:rPr>
          <w:lang w:val="en-GB"/>
        </w:rPr>
        <w:t> </w:t>
      </w:r>
      <w:r w:rsidR="001772F1" w:rsidRPr="00DA607A">
        <w:rPr>
          <w:lang w:val="en-GB"/>
        </w:rPr>
        <w:t xml:space="preserve">2011. The appellate court also observed that by not appearing at the RODK interview, the applicant had waived his right to demonstrate that he could establish </w:t>
      </w:r>
      <w:r w:rsidR="00441818" w:rsidRPr="00DA607A">
        <w:rPr>
          <w:lang w:val="en-GB"/>
        </w:rPr>
        <w:t xml:space="preserve">adequate </w:t>
      </w:r>
      <w:r w:rsidR="001772F1" w:rsidRPr="00DA607A">
        <w:rPr>
          <w:lang w:val="en-GB"/>
        </w:rPr>
        <w:t>contact with his young child and that the applicant had only seen his child</w:t>
      </w:r>
      <w:r w:rsidR="00441818" w:rsidRPr="00DA607A">
        <w:rPr>
          <w:lang w:val="en-GB"/>
        </w:rPr>
        <w:t xml:space="preserve"> once</w:t>
      </w:r>
      <w:r w:rsidR="001772F1" w:rsidRPr="00DA607A">
        <w:rPr>
          <w:lang w:val="en-GB"/>
        </w:rPr>
        <w:t xml:space="preserve"> since the latter</w:t>
      </w:r>
      <w:r w:rsidR="00DA607A" w:rsidRPr="00DA607A">
        <w:rPr>
          <w:lang w:val="en-GB"/>
        </w:rPr>
        <w:t>’</w:t>
      </w:r>
      <w:r w:rsidR="001772F1" w:rsidRPr="00DA607A">
        <w:rPr>
          <w:lang w:val="en-GB"/>
        </w:rPr>
        <w:t>s departure from Canada.</w:t>
      </w:r>
    </w:p>
    <w:p w:rsidR="00A06729" w:rsidRPr="00DA607A" w:rsidRDefault="00483780" w:rsidP="00DA607A">
      <w:pPr>
        <w:pStyle w:val="ECHRHeading2"/>
      </w:pPr>
      <w:r w:rsidRPr="00DA607A">
        <w:t>C</w:t>
      </w:r>
      <w:r w:rsidR="00D15038" w:rsidRPr="00DA607A">
        <w:t>.</w:t>
      </w:r>
      <w:r w:rsidR="000E3931" w:rsidRPr="00DA607A">
        <w:t>  The applicant</w:t>
      </w:r>
      <w:r w:rsidR="00DA607A" w:rsidRPr="00DA607A">
        <w:t>’</w:t>
      </w:r>
      <w:r w:rsidR="000E3931" w:rsidRPr="00DA607A">
        <w:t>s contact</w:t>
      </w:r>
      <w:r w:rsidR="00D15038" w:rsidRPr="00DA607A">
        <w:t xml:space="preserve"> with </w:t>
      </w:r>
      <w:r w:rsidR="005A1005" w:rsidRPr="00DA607A">
        <w:t xml:space="preserve">his </w:t>
      </w:r>
      <w:r w:rsidR="00D15038" w:rsidRPr="00DA607A">
        <w:t>child</w:t>
      </w:r>
    </w:p>
    <w:p w:rsidR="00B87373" w:rsidRPr="00DA607A" w:rsidRDefault="009C5446"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23</w:t>
      </w:r>
      <w:r w:rsidRPr="00DA607A">
        <w:rPr>
          <w:lang w:val="en-GB"/>
        </w:rPr>
        <w:fldChar w:fldCharType="end"/>
      </w:r>
      <w:r w:rsidRPr="00DA607A">
        <w:rPr>
          <w:lang w:val="en-GB"/>
        </w:rPr>
        <w:t xml:space="preserve">. </w:t>
      </w:r>
      <w:r w:rsidR="00B87373" w:rsidRPr="00DA607A">
        <w:rPr>
          <w:lang w:val="en-GB"/>
        </w:rPr>
        <w:t>S</w:t>
      </w:r>
      <w:r w:rsidR="00114E3B" w:rsidRPr="00DA607A">
        <w:rPr>
          <w:lang w:val="en-GB"/>
        </w:rPr>
        <w:t xml:space="preserve">ince </w:t>
      </w:r>
      <w:r w:rsidR="00963EDA" w:rsidRPr="00DA607A">
        <w:rPr>
          <w:lang w:val="en-GB"/>
        </w:rPr>
        <w:t xml:space="preserve">July </w:t>
      </w:r>
      <w:r w:rsidR="00114E3B" w:rsidRPr="00DA607A">
        <w:rPr>
          <w:lang w:val="en-GB"/>
        </w:rPr>
        <w:t>2011</w:t>
      </w:r>
      <w:r w:rsidR="00B87373" w:rsidRPr="00DA607A">
        <w:rPr>
          <w:lang w:val="en-GB"/>
        </w:rPr>
        <w:t xml:space="preserve">, the applicant </w:t>
      </w:r>
      <w:r w:rsidR="00861B19" w:rsidRPr="00DA607A">
        <w:rPr>
          <w:lang w:val="en-GB"/>
        </w:rPr>
        <w:t xml:space="preserve">has </w:t>
      </w:r>
      <w:r w:rsidR="00B87373" w:rsidRPr="00DA607A">
        <w:rPr>
          <w:lang w:val="en-GB"/>
        </w:rPr>
        <w:t>visited his son once</w:t>
      </w:r>
      <w:r w:rsidR="005A1005" w:rsidRPr="00DA607A">
        <w:rPr>
          <w:lang w:val="en-GB"/>
        </w:rPr>
        <w:t>,</w:t>
      </w:r>
      <w:r w:rsidR="00B87373" w:rsidRPr="00DA607A">
        <w:rPr>
          <w:lang w:val="en-GB"/>
        </w:rPr>
        <w:t xml:space="preserve"> in March 2012 during </w:t>
      </w:r>
      <w:r w:rsidR="005A1005" w:rsidRPr="00DA607A">
        <w:rPr>
          <w:lang w:val="en-GB"/>
        </w:rPr>
        <w:t>a month-long</w:t>
      </w:r>
      <w:r w:rsidR="00B87373" w:rsidRPr="00DA607A">
        <w:rPr>
          <w:lang w:val="en-GB"/>
        </w:rPr>
        <w:t xml:space="preserve"> stay in Poland.</w:t>
      </w:r>
    </w:p>
    <w:p w:rsidR="00B87373" w:rsidRPr="00DA607A" w:rsidRDefault="00B87373"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24</w:t>
      </w:r>
      <w:r w:rsidRPr="00DA607A">
        <w:rPr>
          <w:lang w:val="en-GB"/>
        </w:rPr>
        <w:fldChar w:fldCharType="end"/>
      </w:r>
      <w:r w:rsidRPr="00DA607A">
        <w:rPr>
          <w:lang w:val="en-GB"/>
        </w:rPr>
        <w:t>.  In the applicant</w:t>
      </w:r>
      <w:r w:rsidR="00DA607A" w:rsidRPr="00DA607A">
        <w:rPr>
          <w:lang w:val="en-GB"/>
        </w:rPr>
        <w:t>’</w:t>
      </w:r>
      <w:r w:rsidRPr="00DA607A">
        <w:rPr>
          <w:lang w:val="en-GB"/>
        </w:rPr>
        <w:t xml:space="preserve">s submission, </w:t>
      </w:r>
      <w:r w:rsidR="005A1005" w:rsidRPr="00DA607A">
        <w:rPr>
          <w:lang w:val="en-GB"/>
        </w:rPr>
        <w:t xml:space="preserve">he </w:t>
      </w:r>
      <w:r w:rsidRPr="00DA607A">
        <w:rPr>
          <w:lang w:val="en-GB"/>
        </w:rPr>
        <w:t>had made countless attempts to see his son. In particular, he had applied</w:t>
      </w:r>
      <w:r w:rsidR="00D875E4" w:rsidRPr="00DA607A">
        <w:rPr>
          <w:lang w:val="en-GB"/>
        </w:rPr>
        <w:t xml:space="preserve"> to the courts to have</w:t>
      </w:r>
      <w:r w:rsidRPr="00DA607A">
        <w:rPr>
          <w:lang w:val="en-GB"/>
        </w:rPr>
        <w:t xml:space="preserve"> a </w:t>
      </w:r>
      <w:r w:rsidR="005652AF" w:rsidRPr="00DA607A">
        <w:rPr>
          <w:lang w:val="en-GB"/>
        </w:rPr>
        <w:t>meeting with his child</w:t>
      </w:r>
      <w:r w:rsidRPr="00DA607A">
        <w:rPr>
          <w:lang w:val="en-GB"/>
        </w:rPr>
        <w:t xml:space="preserve"> </w:t>
      </w:r>
      <w:r w:rsidR="005A1005" w:rsidRPr="00DA607A">
        <w:rPr>
          <w:lang w:val="en-GB"/>
        </w:rPr>
        <w:t xml:space="preserve">away from </w:t>
      </w:r>
      <w:r w:rsidRPr="00DA607A">
        <w:rPr>
          <w:lang w:val="en-GB"/>
        </w:rPr>
        <w:t>E.</w:t>
      </w:r>
      <w:r w:rsidR="005652AF" w:rsidRPr="00DA607A">
        <w:rPr>
          <w:lang w:val="en-GB"/>
        </w:rPr>
        <w:t>N</w:t>
      </w:r>
      <w:r w:rsidRPr="00DA607A">
        <w:rPr>
          <w:lang w:val="en-GB"/>
        </w:rPr>
        <w:t>.</w:t>
      </w:r>
      <w:r w:rsidR="00DA607A" w:rsidRPr="00DA607A">
        <w:rPr>
          <w:lang w:val="en-GB"/>
        </w:rPr>
        <w:t>’</w:t>
      </w:r>
      <w:r w:rsidRPr="00DA607A">
        <w:rPr>
          <w:lang w:val="en-GB"/>
        </w:rPr>
        <w:t>s house on 23 November 2011</w:t>
      </w:r>
      <w:r w:rsidR="005652AF" w:rsidRPr="00DA607A">
        <w:rPr>
          <w:lang w:val="en-GB"/>
        </w:rPr>
        <w:t xml:space="preserve"> and on an unspecified date in February 2012. </w:t>
      </w:r>
      <w:r w:rsidR="005A1005" w:rsidRPr="00DA607A">
        <w:rPr>
          <w:lang w:val="en-GB"/>
        </w:rPr>
        <w:t>Co</w:t>
      </w:r>
      <w:r w:rsidR="005652AF" w:rsidRPr="00DA607A">
        <w:rPr>
          <w:lang w:val="en-GB"/>
        </w:rPr>
        <w:t>pies of these applications have not been submitted to the Court.</w:t>
      </w:r>
    </w:p>
    <w:p w:rsidR="00A06729" w:rsidRPr="00DA607A" w:rsidRDefault="005652AF" w:rsidP="00DA607A">
      <w:pPr>
        <w:pStyle w:val="ECHRPara"/>
        <w:rPr>
          <w:lang w:val="en-GB"/>
        </w:rPr>
      </w:pPr>
      <w:r w:rsidRPr="00DA607A">
        <w:rPr>
          <w:lang w:val="en-GB"/>
        </w:rPr>
        <w:t>In the Government</w:t>
      </w:r>
      <w:r w:rsidR="00DA607A" w:rsidRPr="00DA607A">
        <w:rPr>
          <w:lang w:val="en-GB"/>
        </w:rPr>
        <w:t>’</w:t>
      </w:r>
      <w:r w:rsidRPr="00DA607A">
        <w:rPr>
          <w:lang w:val="en-GB"/>
        </w:rPr>
        <w:t xml:space="preserve">s submission, the applicant had </w:t>
      </w:r>
      <w:r w:rsidR="0002470F" w:rsidRPr="00DA607A">
        <w:rPr>
          <w:lang w:val="en-GB"/>
        </w:rPr>
        <w:t>not enquired about or sought contact with the child.</w:t>
      </w:r>
    </w:p>
    <w:p w:rsidR="0002470F" w:rsidRPr="00DA607A" w:rsidRDefault="005652AF"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25</w:t>
      </w:r>
      <w:r w:rsidRPr="00DA607A">
        <w:rPr>
          <w:lang w:val="en-GB"/>
        </w:rPr>
        <w:fldChar w:fldCharType="end"/>
      </w:r>
      <w:r w:rsidRPr="00DA607A">
        <w:rPr>
          <w:lang w:val="en-GB"/>
        </w:rPr>
        <w:t>.  </w:t>
      </w:r>
      <w:r w:rsidR="0002470F" w:rsidRPr="00DA607A">
        <w:rPr>
          <w:lang w:val="en-GB"/>
        </w:rPr>
        <w:t>On 23 February 201</w:t>
      </w:r>
      <w:r w:rsidR="00CB3082" w:rsidRPr="00DA607A">
        <w:rPr>
          <w:lang w:val="en-GB"/>
        </w:rPr>
        <w:t>2</w:t>
      </w:r>
      <w:r w:rsidR="0002470F" w:rsidRPr="00DA607A">
        <w:rPr>
          <w:lang w:val="en-GB"/>
        </w:rPr>
        <w:t xml:space="preserve"> the applicant lodged an application</w:t>
      </w:r>
      <w:r w:rsidR="005A1005" w:rsidRPr="00DA607A">
        <w:rPr>
          <w:lang w:val="en-GB"/>
        </w:rPr>
        <w:t xml:space="preserve"> with the </w:t>
      </w:r>
      <w:r w:rsidR="00DA1798" w:rsidRPr="00DA607A">
        <w:rPr>
          <w:lang w:val="en-GB"/>
        </w:rPr>
        <w:t xml:space="preserve">competent </w:t>
      </w:r>
      <w:r w:rsidR="005A1005" w:rsidRPr="00DA607A">
        <w:rPr>
          <w:lang w:val="en-GB"/>
        </w:rPr>
        <w:t>domestic court</w:t>
      </w:r>
      <w:r w:rsidR="0002470F" w:rsidRPr="00DA607A">
        <w:t xml:space="preserve"> </w:t>
      </w:r>
      <w:r w:rsidR="0002470F" w:rsidRPr="00DA607A">
        <w:rPr>
          <w:lang w:val="en-GB"/>
        </w:rPr>
        <w:t xml:space="preserve">for arrangements </w:t>
      </w:r>
      <w:r w:rsidR="005A1005" w:rsidRPr="00DA607A">
        <w:rPr>
          <w:lang w:val="en-GB"/>
        </w:rPr>
        <w:t>to be made</w:t>
      </w:r>
      <w:r w:rsidR="0002470F" w:rsidRPr="00DA607A">
        <w:rPr>
          <w:lang w:val="en-GB"/>
        </w:rPr>
        <w:t xml:space="preserve"> </w:t>
      </w:r>
      <w:r w:rsidR="005A1005" w:rsidRPr="00DA607A">
        <w:rPr>
          <w:lang w:val="en-GB"/>
        </w:rPr>
        <w:t>to secure</w:t>
      </w:r>
      <w:r w:rsidR="0002470F" w:rsidRPr="00DA607A">
        <w:rPr>
          <w:lang w:val="en-GB"/>
        </w:rPr>
        <w:t xml:space="preserve"> the effective exercise of </w:t>
      </w:r>
      <w:r w:rsidR="007E61DF" w:rsidRPr="00DA607A">
        <w:rPr>
          <w:lang w:val="en-GB"/>
        </w:rPr>
        <w:t>his</w:t>
      </w:r>
      <w:r w:rsidR="0002470F" w:rsidRPr="00DA607A">
        <w:rPr>
          <w:lang w:val="en-GB"/>
        </w:rPr>
        <w:t xml:space="preserve"> right of contact during the Hague Convention proceedings. He wished to meet with his son </w:t>
      </w:r>
      <w:r w:rsidR="005A1005" w:rsidRPr="00DA607A">
        <w:rPr>
          <w:lang w:val="en-GB"/>
        </w:rPr>
        <w:t xml:space="preserve">away from </w:t>
      </w:r>
      <w:r w:rsidR="0002470F" w:rsidRPr="00DA607A">
        <w:rPr>
          <w:lang w:val="en-GB"/>
        </w:rPr>
        <w:t>E.N.</w:t>
      </w:r>
      <w:r w:rsidR="00DA607A" w:rsidRPr="00DA607A">
        <w:rPr>
          <w:lang w:val="en-GB"/>
        </w:rPr>
        <w:t>’</w:t>
      </w:r>
      <w:r w:rsidR="0002470F" w:rsidRPr="00DA607A">
        <w:rPr>
          <w:lang w:val="en-GB"/>
        </w:rPr>
        <w:t xml:space="preserve">s house one day before and on the day of the </w:t>
      </w:r>
      <w:r w:rsidR="005A1005" w:rsidRPr="00DA607A">
        <w:rPr>
          <w:lang w:val="en-GB"/>
        </w:rPr>
        <w:t xml:space="preserve">court </w:t>
      </w:r>
      <w:r w:rsidR="0002470F" w:rsidRPr="00DA607A">
        <w:rPr>
          <w:lang w:val="en-GB"/>
        </w:rPr>
        <w:t xml:space="preserve">hearing. He submitted that </w:t>
      </w:r>
      <w:r w:rsidR="00AE5309" w:rsidRPr="00DA607A">
        <w:rPr>
          <w:lang w:val="en-GB"/>
        </w:rPr>
        <w:t xml:space="preserve">he had not seen </w:t>
      </w:r>
      <w:r w:rsidR="005A1005" w:rsidRPr="00DA607A">
        <w:rPr>
          <w:lang w:val="en-GB"/>
        </w:rPr>
        <w:t xml:space="preserve">his </w:t>
      </w:r>
      <w:r w:rsidR="00AE5309" w:rsidRPr="00DA607A">
        <w:rPr>
          <w:lang w:val="en-GB"/>
        </w:rPr>
        <w:t xml:space="preserve">child since August 2011 and that </w:t>
      </w:r>
      <w:r w:rsidR="0002470F" w:rsidRPr="00DA607A">
        <w:rPr>
          <w:lang w:val="en-GB"/>
        </w:rPr>
        <w:t>the child</w:t>
      </w:r>
      <w:r w:rsidR="00DA607A" w:rsidRPr="00DA607A">
        <w:rPr>
          <w:lang w:val="en-GB"/>
        </w:rPr>
        <w:t>’</w:t>
      </w:r>
      <w:r w:rsidR="0002470F" w:rsidRPr="00DA607A">
        <w:rPr>
          <w:lang w:val="en-GB"/>
        </w:rPr>
        <w:t xml:space="preserve">s mother and grandparents </w:t>
      </w:r>
      <w:r w:rsidR="005A1005" w:rsidRPr="00DA607A">
        <w:rPr>
          <w:lang w:val="en-GB"/>
        </w:rPr>
        <w:t xml:space="preserve">had </w:t>
      </w:r>
      <w:r w:rsidR="00E27103" w:rsidRPr="00DA607A">
        <w:rPr>
          <w:lang w:val="en-GB"/>
        </w:rPr>
        <w:t>been very hostile</w:t>
      </w:r>
      <w:r w:rsidR="0002470F" w:rsidRPr="00DA607A">
        <w:rPr>
          <w:lang w:val="en-GB"/>
        </w:rPr>
        <w:t xml:space="preserve"> towards the applicant when he </w:t>
      </w:r>
      <w:r w:rsidR="005A1005" w:rsidRPr="00DA607A">
        <w:rPr>
          <w:lang w:val="en-GB"/>
        </w:rPr>
        <w:t xml:space="preserve">had </w:t>
      </w:r>
      <w:r w:rsidR="0002470F" w:rsidRPr="00DA607A">
        <w:rPr>
          <w:lang w:val="en-GB"/>
        </w:rPr>
        <w:t>tried to visit his son at home.</w:t>
      </w:r>
      <w:r w:rsidR="00AE5309" w:rsidRPr="00DA607A">
        <w:rPr>
          <w:lang w:val="en-GB"/>
        </w:rPr>
        <w:t xml:space="preserve"> </w:t>
      </w:r>
      <w:r w:rsidR="007E61DF" w:rsidRPr="00DA607A">
        <w:rPr>
          <w:lang w:val="en-GB"/>
        </w:rPr>
        <w:t>The applicant</w:t>
      </w:r>
      <w:r w:rsidR="00AE5309" w:rsidRPr="00DA607A">
        <w:rPr>
          <w:lang w:val="en-GB"/>
        </w:rPr>
        <w:t xml:space="preserve"> submi</w:t>
      </w:r>
      <w:r w:rsidR="007E61DF" w:rsidRPr="00DA607A">
        <w:rPr>
          <w:lang w:val="en-GB"/>
        </w:rPr>
        <w:t>tted</w:t>
      </w:r>
      <w:r w:rsidR="00AE5309" w:rsidRPr="00DA607A">
        <w:rPr>
          <w:lang w:val="en-GB"/>
        </w:rPr>
        <w:t xml:space="preserve"> th</w:t>
      </w:r>
      <w:r w:rsidR="007E61DF" w:rsidRPr="00DA607A">
        <w:rPr>
          <w:lang w:val="en-GB"/>
        </w:rPr>
        <w:t>at</w:t>
      </w:r>
      <w:r w:rsidR="00AE5309" w:rsidRPr="00DA607A">
        <w:rPr>
          <w:lang w:val="en-GB"/>
        </w:rPr>
        <w:t xml:space="preserve"> </w:t>
      </w:r>
      <w:r w:rsidR="007E61DF" w:rsidRPr="00DA607A">
        <w:rPr>
          <w:lang w:val="en-GB"/>
        </w:rPr>
        <w:t xml:space="preserve">the </w:t>
      </w:r>
      <w:r w:rsidR="00AE5309" w:rsidRPr="00DA607A">
        <w:rPr>
          <w:lang w:val="en-GB"/>
        </w:rPr>
        <w:t xml:space="preserve">application </w:t>
      </w:r>
      <w:r w:rsidR="005A1005" w:rsidRPr="00DA607A">
        <w:rPr>
          <w:lang w:val="en-GB"/>
        </w:rPr>
        <w:t xml:space="preserve">had been </w:t>
      </w:r>
      <w:r w:rsidR="00AE5309" w:rsidRPr="00DA607A">
        <w:rPr>
          <w:lang w:val="en-GB"/>
        </w:rPr>
        <w:t xml:space="preserve">made under Article 21 of the Hague Convention. </w:t>
      </w:r>
      <w:r w:rsidR="005A1005" w:rsidRPr="00DA607A">
        <w:rPr>
          <w:lang w:val="en-GB"/>
        </w:rPr>
        <w:t xml:space="preserve">A </w:t>
      </w:r>
      <w:r w:rsidR="00AE5309" w:rsidRPr="00DA607A">
        <w:rPr>
          <w:lang w:val="en-GB"/>
        </w:rPr>
        <w:t>copy of this application has not been submitted to the Court.</w:t>
      </w:r>
    </w:p>
    <w:p w:rsidR="0002470F" w:rsidRPr="00DA607A" w:rsidRDefault="0002470F"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26</w:t>
      </w:r>
      <w:r w:rsidRPr="00DA607A">
        <w:rPr>
          <w:lang w:val="en-GB"/>
        </w:rPr>
        <w:fldChar w:fldCharType="end"/>
      </w:r>
      <w:r w:rsidRPr="00DA607A">
        <w:rPr>
          <w:lang w:val="en-GB"/>
        </w:rPr>
        <w:t>.  </w:t>
      </w:r>
      <w:r w:rsidR="005652AF" w:rsidRPr="00DA607A">
        <w:rPr>
          <w:lang w:val="en-GB"/>
        </w:rPr>
        <w:t>O</w:t>
      </w:r>
      <w:r w:rsidR="009C5446" w:rsidRPr="00DA607A">
        <w:rPr>
          <w:lang w:val="en-GB"/>
        </w:rPr>
        <w:t xml:space="preserve">n </w:t>
      </w:r>
      <w:r w:rsidR="005652AF" w:rsidRPr="00DA607A">
        <w:rPr>
          <w:lang w:val="en-GB"/>
        </w:rPr>
        <w:t>2 March 2012</w:t>
      </w:r>
      <w:r w:rsidR="009C5446" w:rsidRPr="00DA607A">
        <w:rPr>
          <w:lang w:val="en-GB"/>
        </w:rPr>
        <w:t xml:space="preserve"> the Kielce District Court</w:t>
      </w:r>
      <w:r w:rsidR="00DA1798" w:rsidRPr="00DA607A">
        <w:rPr>
          <w:lang w:val="en-GB"/>
        </w:rPr>
        <w:t>,</w:t>
      </w:r>
      <w:r w:rsidR="009C5446" w:rsidRPr="00DA607A">
        <w:rPr>
          <w:lang w:val="en-GB"/>
        </w:rPr>
        <w:t xml:space="preserve"> </w:t>
      </w:r>
      <w:r w:rsidR="005652AF" w:rsidRPr="00DA607A">
        <w:rPr>
          <w:lang w:val="en-GB"/>
        </w:rPr>
        <w:t>with I.G. as the presiding judge</w:t>
      </w:r>
      <w:r w:rsidR="005A1005" w:rsidRPr="00DA607A">
        <w:rPr>
          <w:lang w:val="en-GB"/>
        </w:rPr>
        <w:t>,</w:t>
      </w:r>
      <w:r w:rsidR="005652AF" w:rsidRPr="00DA607A">
        <w:rPr>
          <w:lang w:val="en-GB"/>
        </w:rPr>
        <w:t xml:space="preserve"> </w:t>
      </w:r>
      <w:r w:rsidR="00AE5309" w:rsidRPr="00DA607A">
        <w:rPr>
          <w:lang w:val="en-GB"/>
        </w:rPr>
        <w:t>decided to return</w:t>
      </w:r>
      <w:r w:rsidR="009C5446" w:rsidRPr="00DA607A">
        <w:rPr>
          <w:lang w:val="en-GB"/>
        </w:rPr>
        <w:t xml:space="preserve"> </w:t>
      </w:r>
      <w:r w:rsidRPr="00DA607A">
        <w:rPr>
          <w:lang w:val="en-GB"/>
        </w:rPr>
        <w:t xml:space="preserve">the </w:t>
      </w:r>
      <w:r w:rsidR="009C5446" w:rsidRPr="00DA607A">
        <w:rPr>
          <w:lang w:val="en-GB"/>
        </w:rPr>
        <w:t>application</w:t>
      </w:r>
      <w:r w:rsidR="00AE5309" w:rsidRPr="00DA607A">
        <w:rPr>
          <w:lang w:val="en-GB"/>
        </w:rPr>
        <w:t xml:space="preserve"> for an interim order on the </w:t>
      </w:r>
      <w:r w:rsidRPr="00DA607A">
        <w:rPr>
          <w:lang w:val="en-GB"/>
        </w:rPr>
        <w:t>right of contact as unsubstantiated. It was considered that the applicant had not demonstrated that</w:t>
      </w:r>
      <w:r w:rsidR="00AE5309" w:rsidRPr="00DA607A">
        <w:rPr>
          <w:lang w:val="en-GB"/>
        </w:rPr>
        <w:t xml:space="preserve"> </w:t>
      </w:r>
      <w:r w:rsidRPr="00DA607A">
        <w:rPr>
          <w:lang w:val="en-GB"/>
        </w:rPr>
        <w:t>the child</w:t>
      </w:r>
      <w:r w:rsidR="00DA607A" w:rsidRPr="00DA607A">
        <w:rPr>
          <w:lang w:val="en-GB"/>
        </w:rPr>
        <w:t>’</w:t>
      </w:r>
      <w:r w:rsidRPr="00DA607A">
        <w:rPr>
          <w:lang w:val="en-GB"/>
        </w:rPr>
        <w:t>s mother</w:t>
      </w:r>
      <w:r w:rsidR="00AE5309" w:rsidRPr="00DA607A">
        <w:rPr>
          <w:lang w:val="en-GB"/>
        </w:rPr>
        <w:t>,</w:t>
      </w:r>
      <w:r w:rsidR="00AE5309" w:rsidRPr="00DA607A">
        <w:t xml:space="preserve"> </w:t>
      </w:r>
      <w:r w:rsidR="00AE5309" w:rsidRPr="00DA607A">
        <w:rPr>
          <w:lang w:val="en-GB"/>
        </w:rPr>
        <w:t xml:space="preserve">apart from her </w:t>
      </w:r>
      <w:r w:rsidR="007E61DF" w:rsidRPr="00DA607A">
        <w:rPr>
          <w:lang w:val="en-GB"/>
        </w:rPr>
        <w:t xml:space="preserve">allegedly </w:t>
      </w:r>
      <w:r w:rsidR="00AE5309" w:rsidRPr="00DA607A">
        <w:rPr>
          <w:lang w:val="en-GB"/>
        </w:rPr>
        <w:t xml:space="preserve">hostile attitude, </w:t>
      </w:r>
      <w:r w:rsidRPr="00DA607A">
        <w:rPr>
          <w:lang w:val="en-GB"/>
        </w:rPr>
        <w:t xml:space="preserve">had obstructed </w:t>
      </w:r>
      <w:r w:rsidR="00AE5309" w:rsidRPr="00DA607A">
        <w:rPr>
          <w:lang w:val="en-GB"/>
        </w:rPr>
        <w:t>his</w:t>
      </w:r>
      <w:r w:rsidRPr="00DA607A">
        <w:rPr>
          <w:lang w:val="en-GB"/>
        </w:rPr>
        <w:t xml:space="preserve"> contact with the child.</w:t>
      </w:r>
      <w:r w:rsidR="00AE5309" w:rsidRPr="00DA607A">
        <w:rPr>
          <w:lang w:val="en-GB"/>
        </w:rPr>
        <w:t xml:space="preserve"> The domestic court</w:t>
      </w:r>
      <w:r w:rsidR="005A1005" w:rsidRPr="00DA607A">
        <w:rPr>
          <w:lang w:val="en-GB"/>
        </w:rPr>
        <w:t xml:space="preserve"> </w:t>
      </w:r>
      <w:r w:rsidR="00AE5309" w:rsidRPr="00DA607A">
        <w:rPr>
          <w:lang w:val="en-GB"/>
        </w:rPr>
        <w:t xml:space="preserve">relied on the applicable provisions of the Code of Civil Procedure and </w:t>
      </w:r>
      <w:r w:rsidR="00861B19" w:rsidRPr="00DA607A">
        <w:rPr>
          <w:lang w:val="en-GB"/>
        </w:rPr>
        <w:t>did</w:t>
      </w:r>
      <w:r w:rsidR="005A1005" w:rsidRPr="00DA607A">
        <w:rPr>
          <w:lang w:val="en-GB"/>
        </w:rPr>
        <w:t xml:space="preserve"> not ma</w:t>
      </w:r>
      <w:r w:rsidR="00861B19" w:rsidRPr="00DA607A">
        <w:rPr>
          <w:lang w:val="en-GB"/>
        </w:rPr>
        <w:t>k</w:t>
      </w:r>
      <w:r w:rsidR="005A1005" w:rsidRPr="00DA607A">
        <w:rPr>
          <w:lang w:val="en-GB"/>
        </w:rPr>
        <w:t>e</w:t>
      </w:r>
      <w:r w:rsidR="00AE5309" w:rsidRPr="00DA607A">
        <w:rPr>
          <w:lang w:val="en-GB"/>
        </w:rPr>
        <w:t xml:space="preserve"> any reference to Article 21 of the Hague Convention.</w:t>
      </w:r>
    </w:p>
    <w:p w:rsidR="009A212A" w:rsidRPr="00DA607A" w:rsidRDefault="00D15038"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27</w:t>
      </w:r>
      <w:r w:rsidRPr="00DA607A">
        <w:rPr>
          <w:lang w:val="en-GB"/>
        </w:rPr>
        <w:fldChar w:fldCharType="end"/>
      </w:r>
      <w:r w:rsidRPr="00DA607A">
        <w:rPr>
          <w:lang w:val="en-GB"/>
        </w:rPr>
        <w:t>.  </w:t>
      </w:r>
      <w:r w:rsidR="009A212A" w:rsidRPr="00DA607A">
        <w:rPr>
          <w:lang w:val="en-GB"/>
        </w:rPr>
        <w:t xml:space="preserve">The applicant stated without submitting </w:t>
      </w:r>
      <w:r w:rsidR="007E61DF" w:rsidRPr="00DA607A">
        <w:rPr>
          <w:lang w:val="en-GB"/>
        </w:rPr>
        <w:t>a copy of the relevant document</w:t>
      </w:r>
      <w:r w:rsidR="009A212A" w:rsidRPr="00DA607A">
        <w:rPr>
          <w:lang w:val="en-GB"/>
        </w:rPr>
        <w:t xml:space="preserve"> </w:t>
      </w:r>
      <w:r w:rsidR="00B87373" w:rsidRPr="00DA607A">
        <w:rPr>
          <w:lang w:val="en-GB"/>
        </w:rPr>
        <w:t>that on 1 July 2013</w:t>
      </w:r>
      <w:r w:rsidR="009A212A" w:rsidRPr="00DA607A">
        <w:rPr>
          <w:lang w:val="en-GB"/>
        </w:rPr>
        <w:t xml:space="preserve"> the domestic court </w:t>
      </w:r>
      <w:r w:rsidR="007E61DF" w:rsidRPr="00DA607A">
        <w:rPr>
          <w:lang w:val="en-GB"/>
        </w:rPr>
        <w:t xml:space="preserve">had </w:t>
      </w:r>
      <w:r w:rsidR="009A212A" w:rsidRPr="00DA607A">
        <w:rPr>
          <w:lang w:val="en-GB"/>
        </w:rPr>
        <w:t xml:space="preserve">decided to grant him a right to a supervised visit </w:t>
      </w:r>
      <w:r w:rsidR="00540154" w:rsidRPr="00DA607A">
        <w:rPr>
          <w:lang w:val="en-GB"/>
        </w:rPr>
        <w:t xml:space="preserve">with </w:t>
      </w:r>
      <w:r w:rsidR="009A212A" w:rsidRPr="00DA607A">
        <w:rPr>
          <w:lang w:val="en-GB"/>
        </w:rPr>
        <w:t>his son for two hours daily in E.N.</w:t>
      </w:r>
      <w:r w:rsidR="00DA607A" w:rsidRPr="00DA607A">
        <w:rPr>
          <w:lang w:val="en-GB"/>
        </w:rPr>
        <w:t>’</w:t>
      </w:r>
      <w:r w:rsidR="009A212A" w:rsidRPr="00DA607A">
        <w:rPr>
          <w:lang w:val="en-GB"/>
        </w:rPr>
        <w:t xml:space="preserve">s house. The applicant </w:t>
      </w:r>
      <w:r w:rsidR="00540154" w:rsidRPr="00DA607A">
        <w:rPr>
          <w:lang w:val="en-GB"/>
        </w:rPr>
        <w:t xml:space="preserve">had been </w:t>
      </w:r>
      <w:r w:rsidR="009A212A" w:rsidRPr="00DA607A">
        <w:rPr>
          <w:lang w:val="en-GB"/>
        </w:rPr>
        <w:t>in Canada</w:t>
      </w:r>
      <w:r w:rsidR="00E27103" w:rsidRPr="00DA607A">
        <w:rPr>
          <w:lang w:val="en-GB"/>
        </w:rPr>
        <w:t xml:space="preserve"> at that time</w:t>
      </w:r>
      <w:r w:rsidR="009A212A" w:rsidRPr="00DA607A">
        <w:rPr>
          <w:lang w:val="en-GB"/>
        </w:rPr>
        <w:t xml:space="preserve"> and </w:t>
      </w:r>
      <w:r w:rsidR="00540154" w:rsidRPr="00DA607A">
        <w:rPr>
          <w:lang w:val="en-GB"/>
        </w:rPr>
        <w:t>thus had not exercised</w:t>
      </w:r>
      <w:r w:rsidR="009A212A" w:rsidRPr="00DA607A">
        <w:rPr>
          <w:lang w:val="en-GB"/>
        </w:rPr>
        <w:t xml:space="preserve"> his right.</w:t>
      </w:r>
    </w:p>
    <w:p w:rsidR="000E3931" w:rsidRPr="00DA607A" w:rsidRDefault="00780F96"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28</w:t>
      </w:r>
      <w:r w:rsidRPr="00DA607A">
        <w:rPr>
          <w:lang w:val="en-GB"/>
        </w:rPr>
        <w:fldChar w:fldCharType="end"/>
      </w:r>
      <w:r w:rsidRPr="00DA607A">
        <w:rPr>
          <w:lang w:val="en-GB"/>
        </w:rPr>
        <w:t>.  The applicant also submitted that on</w:t>
      </w:r>
      <w:r w:rsidR="005652AF" w:rsidRPr="00DA607A">
        <w:rPr>
          <w:lang w:val="en-GB"/>
        </w:rPr>
        <w:t xml:space="preserve"> 9 July 2013 the appellate court </w:t>
      </w:r>
      <w:r w:rsidR="00540154" w:rsidRPr="00DA607A">
        <w:rPr>
          <w:lang w:val="en-GB"/>
        </w:rPr>
        <w:t xml:space="preserve">had </w:t>
      </w:r>
      <w:r w:rsidR="005652AF" w:rsidRPr="00DA607A">
        <w:rPr>
          <w:lang w:val="en-GB"/>
        </w:rPr>
        <w:t xml:space="preserve">dismissed </w:t>
      </w:r>
      <w:r w:rsidRPr="00DA607A">
        <w:rPr>
          <w:lang w:val="en-GB"/>
        </w:rPr>
        <w:t>his</w:t>
      </w:r>
      <w:r w:rsidR="005652AF" w:rsidRPr="00DA607A">
        <w:rPr>
          <w:lang w:val="en-GB"/>
        </w:rPr>
        <w:t xml:space="preserve"> request</w:t>
      </w:r>
      <w:r w:rsidRPr="00DA607A">
        <w:rPr>
          <w:lang w:val="en-GB"/>
        </w:rPr>
        <w:t>, presumably for a different schedule of his visits</w:t>
      </w:r>
      <w:r w:rsidR="005652AF" w:rsidRPr="00DA607A">
        <w:rPr>
          <w:lang w:val="en-GB"/>
        </w:rPr>
        <w:t>.</w:t>
      </w:r>
      <w:r w:rsidRPr="00DA607A">
        <w:rPr>
          <w:lang w:val="en-GB"/>
        </w:rPr>
        <w:t xml:space="preserve"> A copy of t</w:t>
      </w:r>
      <w:r w:rsidR="00861B19" w:rsidRPr="00DA607A">
        <w:rPr>
          <w:lang w:val="en-GB"/>
        </w:rPr>
        <w:t xml:space="preserve">his decision is not in the case </w:t>
      </w:r>
      <w:r w:rsidRPr="00DA607A">
        <w:rPr>
          <w:lang w:val="en-GB"/>
        </w:rPr>
        <w:t>file.</w:t>
      </w:r>
    </w:p>
    <w:p w:rsidR="00DB5D20" w:rsidRPr="00DA607A" w:rsidRDefault="00DB5D20"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29</w:t>
      </w:r>
      <w:r w:rsidRPr="00DA607A">
        <w:rPr>
          <w:lang w:val="en-GB"/>
        </w:rPr>
        <w:fldChar w:fldCharType="end"/>
      </w:r>
      <w:r w:rsidRPr="00DA607A">
        <w:rPr>
          <w:lang w:val="en-GB"/>
        </w:rPr>
        <w:t>.  On an unspecified date, the Polish family court granted the applicant a right to contact with his child. The details of this decision are unknown</w:t>
      </w:r>
      <w:r w:rsidR="0040777C" w:rsidRPr="00DA607A">
        <w:rPr>
          <w:lang w:val="en-GB"/>
        </w:rPr>
        <w:t xml:space="preserve"> to the Court</w:t>
      </w:r>
      <w:r w:rsidRPr="00DA607A">
        <w:rPr>
          <w:lang w:val="en-GB"/>
        </w:rPr>
        <w:t>.</w:t>
      </w:r>
    </w:p>
    <w:p w:rsidR="00DB5D20" w:rsidRPr="00DA607A" w:rsidRDefault="00DB5D20"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30</w:t>
      </w:r>
      <w:r w:rsidRPr="00DA607A">
        <w:rPr>
          <w:lang w:val="en-GB"/>
        </w:rPr>
        <w:fldChar w:fldCharType="end"/>
      </w:r>
      <w:r w:rsidRPr="00DA607A">
        <w:rPr>
          <w:lang w:val="en-GB"/>
        </w:rPr>
        <w:t>.  On 3 June 2014 the Kielce Regional Court issued a decision</w:t>
      </w:r>
      <w:r w:rsidR="00540154" w:rsidRPr="00DA607A">
        <w:rPr>
          <w:lang w:val="en-GB"/>
        </w:rPr>
        <w:t>,</w:t>
      </w:r>
      <w:r w:rsidRPr="00DA607A">
        <w:rPr>
          <w:lang w:val="en-GB"/>
        </w:rPr>
        <w:t xml:space="preserve"> presumably concerning the applicant</w:t>
      </w:r>
      <w:r w:rsidR="00DA607A" w:rsidRPr="00DA607A">
        <w:rPr>
          <w:lang w:val="en-GB"/>
        </w:rPr>
        <w:t>’</w:t>
      </w:r>
      <w:r w:rsidRPr="00DA607A">
        <w:rPr>
          <w:lang w:val="en-GB"/>
        </w:rPr>
        <w:t>s right of contact with his son (IC</w:t>
      </w:r>
      <w:r w:rsidR="00033578" w:rsidRPr="00DA607A">
        <w:rPr>
          <w:lang w:val="en-GB"/>
        </w:rPr>
        <w:t> </w:t>
      </w:r>
      <w:r w:rsidRPr="00DA607A">
        <w:rPr>
          <w:lang w:val="en-GB"/>
        </w:rPr>
        <w:t xml:space="preserve">2240/11). </w:t>
      </w:r>
      <w:r w:rsidR="00540154" w:rsidRPr="00DA607A">
        <w:rPr>
          <w:lang w:val="en-GB"/>
        </w:rPr>
        <w:t xml:space="preserve">A </w:t>
      </w:r>
      <w:r w:rsidRPr="00DA607A">
        <w:rPr>
          <w:lang w:val="en-GB"/>
        </w:rPr>
        <w:t>copy of this decision has not been submitted by the Court.</w:t>
      </w:r>
    </w:p>
    <w:p w:rsidR="005652AF" w:rsidRPr="00DA607A" w:rsidRDefault="005652AF"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31</w:t>
      </w:r>
      <w:r w:rsidRPr="00DA607A">
        <w:rPr>
          <w:lang w:val="en-GB"/>
        </w:rPr>
        <w:fldChar w:fldCharType="end"/>
      </w:r>
      <w:r w:rsidRPr="00DA607A">
        <w:rPr>
          <w:lang w:val="en-GB"/>
        </w:rPr>
        <w:t>.  </w:t>
      </w:r>
      <w:r w:rsidR="00DB5D20" w:rsidRPr="00DA607A">
        <w:rPr>
          <w:lang w:val="en-GB"/>
        </w:rPr>
        <w:t>The applicant lodged an interlocutory appeal against this decision. O</w:t>
      </w:r>
      <w:r w:rsidRPr="00DA607A">
        <w:rPr>
          <w:lang w:val="en-GB"/>
        </w:rPr>
        <w:t>n</w:t>
      </w:r>
      <w:r w:rsidR="00DB5D20" w:rsidRPr="00DA607A">
        <w:rPr>
          <w:lang w:val="en-GB"/>
        </w:rPr>
        <w:t xml:space="preserve"> </w:t>
      </w:r>
      <w:r w:rsidRPr="00DA607A">
        <w:rPr>
          <w:lang w:val="en-GB"/>
        </w:rPr>
        <w:t xml:space="preserve">10 September 2014 </w:t>
      </w:r>
      <w:r w:rsidR="00DB5D20" w:rsidRPr="00DA607A">
        <w:rPr>
          <w:lang w:val="en-GB"/>
        </w:rPr>
        <w:t>the applicant</w:t>
      </w:r>
      <w:r w:rsidR="00DA607A" w:rsidRPr="00DA607A">
        <w:rPr>
          <w:lang w:val="en-GB"/>
        </w:rPr>
        <w:t>’</w:t>
      </w:r>
      <w:r w:rsidR="00DB5D20" w:rsidRPr="00DA607A">
        <w:rPr>
          <w:lang w:val="en-GB"/>
        </w:rPr>
        <w:t>s lawyer completed this appeal by submitting that</w:t>
      </w:r>
      <w:r w:rsidRPr="00DA607A">
        <w:rPr>
          <w:lang w:val="en-GB"/>
        </w:rPr>
        <w:t xml:space="preserve"> E.N. had been hindering </w:t>
      </w:r>
      <w:r w:rsidR="00D30472" w:rsidRPr="00DA607A">
        <w:rPr>
          <w:lang w:val="en-GB"/>
        </w:rPr>
        <w:t>the father</w:t>
      </w:r>
      <w:r w:rsidR="00DA607A" w:rsidRPr="00DA607A">
        <w:rPr>
          <w:lang w:val="en-GB"/>
        </w:rPr>
        <w:t>’</w:t>
      </w:r>
      <w:r w:rsidR="00D30472" w:rsidRPr="00DA607A">
        <w:rPr>
          <w:lang w:val="en-GB"/>
        </w:rPr>
        <w:t>s</w:t>
      </w:r>
      <w:r w:rsidRPr="00DA607A">
        <w:rPr>
          <w:lang w:val="en-GB"/>
        </w:rPr>
        <w:t xml:space="preserve"> right of contact </w:t>
      </w:r>
      <w:r w:rsidR="00DB5D20" w:rsidRPr="00DA607A">
        <w:rPr>
          <w:lang w:val="en-GB"/>
        </w:rPr>
        <w:t>which he had tried to enforce in line with the court</w:t>
      </w:r>
      <w:r w:rsidR="00DA607A" w:rsidRPr="00DA607A">
        <w:rPr>
          <w:lang w:val="en-GB"/>
        </w:rPr>
        <w:t>’</w:t>
      </w:r>
      <w:r w:rsidR="00DB5D20" w:rsidRPr="00DA607A">
        <w:rPr>
          <w:lang w:val="en-GB"/>
        </w:rPr>
        <w:t>s order</w:t>
      </w:r>
      <w:r w:rsidRPr="00DA607A">
        <w:rPr>
          <w:lang w:val="en-GB"/>
        </w:rPr>
        <w:t>.</w:t>
      </w:r>
      <w:r w:rsidR="00E50BDB" w:rsidRPr="00DA607A">
        <w:rPr>
          <w:lang w:val="en-GB"/>
        </w:rPr>
        <w:t xml:space="preserve"> </w:t>
      </w:r>
      <w:r w:rsidR="00532FC3" w:rsidRPr="00DA607A">
        <w:rPr>
          <w:lang w:val="en-GB"/>
        </w:rPr>
        <w:t>The outcome of these proceedings is unknown.</w:t>
      </w:r>
    </w:p>
    <w:p w:rsidR="00A06729" w:rsidRPr="00DA607A" w:rsidRDefault="00483780" w:rsidP="00DA607A">
      <w:pPr>
        <w:pStyle w:val="ECHRHeading2"/>
      </w:pPr>
      <w:r w:rsidRPr="00DA607A">
        <w:t>D.  </w:t>
      </w:r>
      <w:r w:rsidR="00EB7E88" w:rsidRPr="00DA607A">
        <w:t>Divorce proceedings in Poland</w:t>
      </w:r>
    </w:p>
    <w:p w:rsidR="00A06729" w:rsidRPr="00DA607A" w:rsidRDefault="00EB7E88"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32</w:t>
      </w:r>
      <w:r w:rsidRPr="00DA607A">
        <w:rPr>
          <w:lang w:val="en-GB"/>
        </w:rPr>
        <w:fldChar w:fldCharType="end"/>
      </w:r>
      <w:r w:rsidRPr="00DA607A">
        <w:rPr>
          <w:lang w:val="en-GB"/>
        </w:rPr>
        <w:t xml:space="preserve">.  On 1 September 2011 E.N. </w:t>
      </w:r>
      <w:r w:rsidR="00294D3C" w:rsidRPr="00DA607A">
        <w:rPr>
          <w:lang w:val="en-GB"/>
        </w:rPr>
        <w:t xml:space="preserve">petitioned </w:t>
      </w:r>
      <w:r w:rsidRPr="00DA607A">
        <w:rPr>
          <w:lang w:val="en-GB"/>
        </w:rPr>
        <w:t>for divorce in Poland. Divorce proceedings are currently pending before the Kielce Regional Court.</w:t>
      </w:r>
    </w:p>
    <w:p w:rsidR="00EB7E88" w:rsidRPr="00DA607A" w:rsidRDefault="00EB7E88"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33</w:t>
      </w:r>
      <w:r w:rsidRPr="00DA607A">
        <w:rPr>
          <w:lang w:val="en-GB"/>
        </w:rPr>
        <w:fldChar w:fldCharType="end"/>
      </w:r>
      <w:r w:rsidRPr="00DA607A">
        <w:rPr>
          <w:lang w:val="en-GB"/>
        </w:rPr>
        <w:t>.  On 22 November 2011 the Kielce Regional Court gave an interim order, establishing the child</w:t>
      </w:r>
      <w:r w:rsidR="00DA607A" w:rsidRPr="00DA607A">
        <w:rPr>
          <w:lang w:val="en-GB"/>
        </w:rPr>
        <w:t>’</w:t>
      </w:r>
      <w:r w:rsidRPr="00DA607A">
        <w:rPr>
          <w:lang w:val="en-GB"/>
        </w:rPr>
        <w:t xml:space="preserve">s residence </w:t>
      </w:r>
      <w:r w:rsidR="00294D3C" w:rsidRPr="00DA607A">
        <w:rPr>
          <w:lang w:val="en-GB"/>
        </w:rPr>
        <w:t xml:space="preserve">as being </w:t>
      </w:r>
      <w:r w:rsidRPr="00DA607A">
        <w:rPr>
          <w:lang w:val="en-GB"/>
        </w:rPr>
        <w:t xml:space="preserve">with the mother. It appears that the applicant participated in the court hearing via a live video </w:t>
      </w:r>
      <w:r w:rsidR="00E27103" w:rsidRPr="00DA607A">
        <w:rPr>
          <w:lang w:val="en-GB"/>
        </w:rPr>
        <w:t>link</w:t>
      </w:r>
      <w:r w:rsidRPr="00DA607A">
        <w:rPr>
          <w:lang w:val="en-GB"/>
        </w:rPr>
        <w:t>. He refused to answer any questions.</w:t>
      </w:r>
    </w:p>
    <w:p w:rsidR="00EB7E88" w:rsidRPr="00DA607A" w:rsidRDefault="00483780" w:rsidP="00DA607A">
      <w:pPr>
        <w:pStyle w:val="ECHRHeading2"/>
      </w:pPr>
      <w:r w:rsidRPr="00DA607A">
        <w:t>E.  </w:t>
      </w:r>
      <w:r w:rsidR="00EB7E88" w:rsidRPr="00DA607A">
        <w:t>Custody and divorce proceedings in Canada</w:t>
      </w:r>
    </w:p>
    <w:p w:rsidR="00A06729" w:rsidRPr="00DA607A" w:rsidRDefault="00EB7E88"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34</w:t>
      </w:r>
      <w:r w:rsidRPr="00DA607A">
        <w:rPr>
          <w:lang w:val="en-GB"/>
        </w:rPr>
        <w:fldChar w:fldCharType="end"/>
      </w:r>
      <w:r w:rsidRPr="00DA607A">
        <w:rPr>
          <w:lang w:val="en-GB"/>
        </w:rPr>
        <w:t xml:space="preserve">.  On 27 October 2011 the </w:t>
      </w:r>
      <w:r w:rsidR="00294D3C" w:rsidRPr="00DA607A">
        <w:rPr>
          <w:lang w:val="en-GB"/>
        </w:rPr>
        <w:t xml:space="preserve">Ontario </w:t>
      </w:r>
      <w:r w:rsidRPr="00DA607A">
        <w:rPr>
          <w:lang w:val="en-GB"/>
        </w:rPr>
        <w:t xml:space="preserve">Superior Court of Justice </w:t>
      </w:r>
      <w:r w:rsidR="00294D3C" w:rsidRPr="00DA607A">
        <w:rPr>
          <w:lang w:val="en-GB"/>
        </w:rPr>
        <w:t xml:space="preserve">in </w:t>
      </w:r>
      <w:r w:rsidR="00861B19" w:rsidRPr="00DA607A">
        <w:rPr>
          <w:lang w:val="en-GB"/>
        </w:rPr>
        <w:t>Canada</w:t>
      </w:r>
      <w:r w:rsidRPr="00DA607A">
        <w:rPr>
          <w:lang w:val="en-GB"/>
        </w:rPr>
        <w:t xml:space="preserve"> held that the</w:t>
      </w:r>
      <w:r w:rsidR="00294D3C" w:rsidRPr="00DA607A">
        <w:rPr>
          <w:lang w:val="en-GB"/>
        </w:rPr>
        <w:t xml:space="preserve"> </w:t>
      </w:r>
      <w:r w:rsidRPr="00DA607A">
        <w:rPr>
          <w:lang w:val="en-GB"/>
        </w:rPr>
        <w:t>child</w:t>
      </w:r>
      <w:r w:rsidR="00DA607A" w:rsidRPr="00DA607A">
        <w:rPr>
          <w:lang w:val="en-GB"/>
        </w:rPr>
        <w:t>’</w:t>
      </w:r>
      <w:r w:rsidRPr="00DA607A">
        <w:rPr>
          <w:lang w:val="en-GB"/>
        </w:rPr>
        <w:t xml:space="preserve">s retention in Poland was wrongful and issued an interim order granting full custody </w:t>
      </w:r>
      <w:r w:rsidR="00861B19" w:rsidRPr="00DA607A">
        <w:rPr>
          <w:lang w:val="en-GB"/>
        </w:rPr>
        <w:t>of</w:t>
      </w:r>
      <w:r w:rsidRPr="00DA607A">
        <w:rPr>
          <w:lang w:val="en-GB"/>
        </w:rPr>
        <w:t xml:space="preserve"> the child to the applica</w:t>
      </w:r>
      <w:r w:rsidR="00861B19" w:rsidRPr="00DA607A">
        <w:rPr>
          <w:lang w:val="en-GB"/>
        </w:rPr>
        <w:t>nt, authorising him and the law-</w:t>
      </w:r>
      <w:r w:rsidRPr="00DA607A">
        <w:rPr>
          <w:lang w:val="en-GB"/>
        </w:rPr>
        <w:t>enforcement authorities to apprehend the child and ordering E.N. to surrender the child without delay. To this effect, a wanted notice for E.N. was issued by Interpol for the offence of kidnapping.</w:t>
      </w:r>
    </w:p>
    <w:p w:rsidR="00EB7E88" w:rsidRPr="00DA607A" w:rsidRDefault="00EB7E88" w:rsidP="00DA607A">
      <w:pPr>
        <w:pStyle w:val="ECHRPara"/>
        <w:rPr>
          <w:lang w:val="en-GB"/>
        </w:rPr>
      </w:pPr>
      <w:r w:rsidRPr="00DA607A">
        <w:rPr>
          <w:lang w:val="en-GB"/>
        </w:rPr>
        <w:t>E.N.</w:t>
      </w:r>
      <w:r w:rsidR="00DA607A" w:rsidRPr="00DA607A">
        <w:rPr>
          <w:lang w:val="en-GB"/>
        </w:rPr>
        <w:t>’</w:t>
      </w:r>
      <w:r w:rsidRPr="00DA607A">
        <w:rPr>
          <w:lang w:val="en-GB"/>
        </w:rPr>
        <w:t>s appeal against this ruling was dismissed on 3 April 2012.</w:t>
      </w:r>
    </w:p>
    <w:p w:rsidR="00EB7E88" w:rsidRPr="00DA607A" w:rsidRDefault="00EB7E88"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35</w:t>
      </w:r>
      <w:r w:rsidRPr="00DA607A">
        <w:rPr>
          <w:lang w:val="en-GB"/>
        </w:rPr>
        <w:fldChar w:fldCharType="end"/>
      </w:r>
      <w:r w:rsidRPr="00DA607A">
        <w:rPr>
          <w:lang w:val="en-GB"/>
        </w:rPr>
        <w:t xml:space="preserve">.  On </w:t>
      </w:r>
      <w:r w:rsidR="009B45BA" w:rsidRPr="00DA607A">
        <w:rPr>
          <w:lang w:val="en-GB"/>
        </w:rPr>
        <w:t>21 August</w:t>
      </w:r>
      <w:r w:rsidRPr="00DA607A">
        <w:rPr>
          <w:lang w:val="en-GB"/>
        </w:rPr>
        <w:t xml:space="preserve"> 2012 </w:t>
      </w:r>
      <w:r w:rsidR="009B45BA" w:rsidRPr="00DA607A">
        <w:rPr>
          <w:lang w:val="en-GB"/>
        </w:rPr>
        <w:t>the Ontario Superior Court of Justice found E.N. to be in contempt</w:t>
      </w:r>
      <w:r w:rsidR="003E7346" w:rsidRPr="00DA607A">
        <w:rPr>
          <w:lang w:val="en-GB"/>
        </w:rPr>
        <w:t xml:space="preserve"> of court</w:t>
      </w:r>
      <w:r w:rsidR="009B45BA" w:rsidRPr="00DA607A">
        <w:rPr>
          <w:lang w:val="en-GB"/>
        </w:rPr>
        <w:t xml:space="preserve"> for</w:t>
      </w:r>
      <w:r w:rsidR="00294D3C" w:rsidRPr="00DA607A">
        <w:rPr>
          <w:lang w:val="en-GB"/>
        </w:rPr>
        <w:t xml:space="preserve">, </w:t>
      </w:r>
      <w:r w:rsidR="00294D3C" w:rsidRPr="00DA607A">
        <w:rPr>
          <w:i/>
          <w:lang w:val="en-GB"/>
        </w:rPr>
        <w:t>inter alia</w:t>
      </w:r>
      <w:r w:rsidR="00294D3C" w:rsidRPr="00DA607A">
        <w:rPr>
          <w:lang w:val="en-GB"/>
        </w:rPr>
        <w:t>,</w:t>
      </w:r>
      <w:r w:rsidR="009B45BA" w:rsidRPr="00DA607A">
        <w:rPr>
          <w:lang w:val="en-GB"/>
        </w:rPr>
        <w:t xml:space="preserve"> failing to comply with the interim order described above.</w:t>
      </w:r>
      <w:r w:rsidR="003E7346" w:rsidRPr="00DA607A">
        <w:rPr>
          <w:lang w:val="en-GB"/>
        </w:rPr>
        <w:t xml:space="preserve"> No sentence was pronounced on that occasion.</w:t>
      </w:r>
    </w:p>
    <w:p w:rsidR="009B45BA" w:rsidRPr="00DA607A" w:rsidRDefault="009B45BA"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36</w:t>
      </w:r>
      <w:r w:rsidRPr="00DA607A">
        <w:rPr>
          <w:lang w:val="en-GB"/>
        </w:rPr>
        <w:fldChar w:fldCharType="end"/>
      </w:r>
      <w:r w:rsidRPr="00DA607A">
        <w:rPr>
          <w:lang w:val="en-GB"/>
        </w:rPr>
        <w:t xml:space="preserve">.  On 11 September 2012 the Ontario Superior Court of Justice confirmed the interim decision of 27 October 2011, granting </w:t>
      </w:r>
      <w:r w:rsidR="00D46DB4" w:rsidRPr="00DA607A">
        <w:rPr>
          <w:lang w:val="en-GB"/>
        </w:rPr>
        <w:t>a final order of the applicant</w:t>
      </w:r>
      <w:r w:rsidR="00DA607A" w:rsidRPr="00DA607A">
        <w:rPr>
          <w:lang w:val="en-GB"/>
        </w:rPr>
        <w:t>’</w:t>
      </w:r>
      <w:r w:rsidR="00D46DB4" w:rsidRPr="00DA607A">
        <w:rPr>
          <w:lang w:val="en-GB"/>
        </w:rPr>
        <w:t xml:space="preserve">s </w:t>
      </w:r>
      <w:r w:rsidRPr="00DA607A">
        <w:rPr>
          <w:lang w:val="en-GB"/>
        </w:rPr>
        <w:t xml:space="preserve">exclusive custody </w:t>
      </w:r>
      <w:r w:rsidR="00861B19" w:rsidRPr="00DA607A">
        <w:rPr>
          <w:lang w:val="en-GB"/>
        </w:rPr>
        <w:t>of</w:t>
      </w:r>
      <w:r w:rsidRPr="00DA607A">
        <w:rPr>
          <w:lang w:val="en-GB"/>
        </w:rPr>
        <w:t xml:space="preserve"> the child. The Canadian court also </w:t>
      </w:r>
      <w:r w:rsidR="00D46DB4" w:rsidRPr="00DA607A">
        <w:rPr>
          <w:lang w:val="en-GB"/>
        </w:rPr>
        <w:t>requested the</w:t>
      </w:r>
      <w:r w:rsidRPr="00DA607A">
        <w:rPr>
          <w:lang w:val="en-GB"/>
        </w:rPr>
        <w:t xml:space="preserve"> assistance</w:t>
      </w:r>
      <w:r w:rsidR="00D46DB4" w:rsidRPr="00DA607A">
        <w:rPr>
          <w:lang w:val="en-GB"/>
        </w:rPr>
        <w:t xml:space="preserve"> of the Polish courts </w:t>
      </w:r>
      <w:r w:rsidR="00FF2DA6" w:rsidRPr="00DA607A">
        <w:rPr>
          <w:lang w:val="en-GB"/>
        </w:rPr>
        <w:t>in securing</w:t>
      </w:r>
      <w:r w:rsidR="00D46DB4" w:rsidRPr="00DA607A">
        <w:rPr>
          <w:lang w:val="en-GB"/>
        </w:rPr>
        <w:t xml:space="preserve"> the immediate apprehension and return</w:t>
      </w:r>
      <w:r w:rsidRPr="00DA607A">
        <w:rPr>
          <w:lang w:val="en-GB"/>
        </w:rPr>
        <w:t xml:space="preserve"> of the child pursuant to the Hague Convention.</w:t>
      </w:r>
    </w:p>
    <w:p w:rsidR="00EB7E88" w:rsidRPr="00DA607A" w:rsidRDefault="00EB7E88" w:rsidP="00DA607A">
      <w:pPr>
        <w:pStyle w:val="ECHRPara"/>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37</w:t>
      </w:r>
      <w:r w:rsidRPr="00DA607A">
        <w:rPr>
          <w:lang w:val="en-GB"/>
        </w:rPr>
        <w:fldChar w:fldCharType="end"/>
      </w:r>
      <w:r w:rsidRPr="00DA607A">
        <w:rPr>
          <w:lang w:val="en-GB"/>
        </w:rPr>
        <w:t xml:space="preserve">.  On 22 May 2013 the Ontario Superior Court of Justice </w:t>
      </w:r>
      <w:r w:rsidR="00FF2DA6" w:rsidRPr="00DA607A">
        <w:rPr>
          <w:lang w:val="en-GB"/>
        </w:rPr>
        <w:t xml:space="preserve">allowed the </w:t>
      </w:r>
      <w:r w:rsidRPr="00DA607A">
        <w:rPr>
          <w:lang w:val="en-GB"/>
        </w:rPr>
        <w:t>divorce between the applicant and E.N.</w:t>
      </w:r>
    </w:p>
    <w:p w:rsidR="00532FC3" w:rsidRPr="00DA607A" w:rsidRDefault="00483780" w:rsidP="00DA607A">
      <w:pPr>
        <w:pStyle w:val="ECHRHeading1"/>
        <w:rPr>
          <w:lang w:val="en-GB"/>
        </w:rPr>
      </w:pPr>
      <w:r w:rsidRPr="00DA607A">
        <w:t>II.  </w:t>
      </w:r>
      <w:r w:rsidR="00EB7E88" w:rsidRPr="00DA607A">
        <w:t>RELEVANT I</w:t>
      </w:r>
      <w:r w:rsidR="00532FC3" w:rsidRPr="00DA607A">
        <w:rPr>
          <w:lang w:val="en-GB"/>
        </w:rPr>
        <w:t xml:space="preserve">NTERNATIONAL </w:t>
      </w:r>
      <w:r w:rsidR="0047133B" w:rsidRPr="00DA607A">
        <w:rPr>
          <w:lang w:val="en-GB"/>
        </w:rPr>
        <w:t xml:space="preserve">AND DOMESTIC </w:t>
      </w:r>
      <w:r w:rsidR="00532FC3" w:rsidRPr="00DA607A">
        <w:rPr>
          <w:lang w:val="en-GB"/>
        </w:rPr>
        <w:t>LAW</w:t>
      </w:r>
    </w:p>
    <w:p w:rsidR="0011592A" w:rsidRPr="00DA607A" w:rsidRDefault="0011592A" w:rsidP="00DA607A">
      <w:pPr>
        <w:pStyle w:val="ECHRPara"/>
        <w:rPr>
          <w:snapToGrid w:val="0"/>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38</w:t>
      </w:r>
      <w:r w:rsidRPr="00DA607A">
        <w:rPr>
          <w:lang w:val="en-GB"/>
        </w:rPr>
        <w:fldChar w:fldCharType="end"/>
      </w:r>
      <w:r w:rsidRPr="00DA607A">
        <w:rPr>
          <w:lang w:val="en-GB"/>
        </w:rPr>
        <w:t xml:space="preserve">.  The relevant international </w:t>
      </w:r>
      <w:r w:rsidR="0047133B" w:rsidRPr="00DA607A">
        <w:rPr>
          <w:lang w:val="en-GB"/>
        </w:rPr>
        <w:t xml:space="preserve">and domestic </w:t>
      </w:r>
      <w:r w:rsidRPr="00DA607A">
        <w:rPr>
          <w:lang w:val="en-GB"/>
        </w:rPr>
        <w:t>law is set out in the Court</w:t>
      </w:r>
      <w:r w:rsidR="00DA607A" w:rsidRPr="00DA607A">
        <w:rPr>
          <w:lang w:val="en-GB"/>
        </w:rPr>
        <w:t>’</w:t>
      </w:r>
      <w:r w:rsidRPr="00DA607A">
        <w:rPr>
          <w:lang w:val="en-GB"/>
        </w:rPr>
        <w:t xml:space="preserve">s judgment of </w:t>
      </w:r>
      <w:r w:rsidRPr="00DA607A">
        <w:rPr>
          <w:i/>
        </w:rPr>
        <w:t>K.J.</w:t>
      </w:r>
      <w:r w:rsidRPr="00DA607A">
        <w:t xml:space="preserve"> </w:t>
      </w:r>
      <w:r w:rsidRPr="00DA607A">
        <w:rPr>
          <w:i/>
        </w:rPr>
        <w:t>v. Poland</w:t>
      </w:r>
      <w:r w:rsidRPr="00DA607A">
        <w:t>, no. 30813/14</w:t>
      </w:r>
      <w:r w:rsidRPr="00DA607A">
        <w:rPr>
          <w:snapToGrid w:val="0"/>
        </w:rPr>
        <w:t>, §§ 33-38</w:t>
      </w:r>
      <w:r w:rsidR="0047133B" w:rsidRPr="00DA607A">
        <w:rPr>
          <w:snapToGrid w:val="0"/>
        </w:rPr>
        <w:t xml:space="preserve"> and 41-41</w:t>
      </w:r>
      <w:r w:rsidRPr="00DA607A">
        <w:rPr>
          <w:snapToGrid w:val="0"/>
        </w:rPr>
        <w:t xml:space="preserve">, </w:t>
      </w:r>
      <w:r w:rsidR="000E58CF" w:rsidRPr="00DA607A">
        <w:rPr>
          <w:snapToGrid w:val="0"/>
        </w:rPr>
        <w:t>1 </w:t>
      </w:r>
      <w:r w:rsidRPr="00DA607A">
        <w:rPr>
          <w:snapToGrid w:val="0"/>
        </w:rPr>
        <w:t>March 2016.</w:t>
      </w:r>
    </w:p>
    <w:p w:rsidR="00532FC3" w:rsidRPr="00DA607A" w:rsidRDefault="00532FC3" w:rsidP="00DA607A">
      <w:pPr>
        <w:pStyle w:val="ECHRTitle1"/>
      </w:pPr>
      <w:r w:rsidRPr="00DA607A">
        <w:t>THE LAW</w:t>
      </w:r>
    </w:p>
    <w:p w:rsidR="00532FC3" w:rsidRPr="00DA607A" w:rsidRDefault="00532FC3" w:rsidP="00DA607A">
      <w:pPr>
        <w:pStyle w:val="ECHRHeading1"/>
      </w:pPr>
      <w:r w:rsidRPr="00DA607A">
        <w:t xml:space="preserve">I.  ALLEGED VIOLATION OF ARTICLE 8 OF THE CONVENTION ON ACCOUNT OF THE </w:t>
      </w:r>
      <w:r w:rsidR="00FD6DAA" w:rsidRPr="00DA607A">
        <w:t>REFUSAL TO ORDER</w:t>
      </w:r>
      <w:r w:rsidRPr="00DA607A">
        <w:t xml:space="preserve"> THE CHILD</w:t>
      </w:r>
      <w:r w:rsidR="00DA607A" w:rsidRPr="00DA607A">
        <w:t>’</w:t>
      </w:r>
      <w:r w:rsidRPr="00DA607A">
        <w:t>S RETURN UNDER THE HAGUE CONVENTION AND THE DECISION-MAKING PROCESS</w:t>
      </w:r>
    </w:p>
    <w:p w:rsidR="00FD6DAA" w:rsidRPr="00DA607A" w:rsidRDefault="0039728F"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39</w:t>
      </w:r>
      <w:r w:rsidRPr="00DA607A">
        <w:rPr>
          <w:lang w:val="en-GB"/>
        </w:rPr>
        <w:fldChar w:fldCharType="end"/>
      </w:r>
      <w:r w:rsidRPr="00DA607A">
        <w:rPr>
          <w:lang w:val="en-GB"/>
        </w:rPr>
        <w:t>.  </w:t>
      </w:r>
      <w:r w:rsidR="00532FC3" w:rsidRPr="00DA607A">
        <w:rPr>
          <w:lang w:val="en-GB"/>
        </w:rPr>
        <w:t xml:space="preserve">The applicant complained of a breach of his right to respect for his family life under Article 8 of the Convention because of the dismissal of his Hague Convention request. </w:t>
      </w:r>
      <w:r w:rsidR="00FD6DAA" w:rsidRPr="00DA607A">
        <w:rPr>
          <w:lang w:val="en-GB"/>
        </w:rPr>
        <w:t>In particular, t</w:t>
      </w:r>
      <w:r w:rsidR="00532FC3" w:rsidRPr="00DA607A">
        <w:rPr>
          <w:lang w:val="en-GB"/>
        </w:rPr>
        <w:t xml:space="preserve">he applicant alleged </w:t>
      </w:r>
      <w:r w:rsidR="00FD6DAA" w:rsidRPr="00DA607A">
        <w:rPr>
          <w:lang w:val="en-GB"/>
        </w:rPr>
        <w:t xml:space="preserve">that the domestic courts had misapplied the Hague Convention and had allowed the </w:t>
      </w:r>
      <w:r w:rsidR="004D420E" w:rsidRPr="00DA607A">
        <w:rPr>
          <w:lang w:val="en-GB"/>
        </w:rPr>
        <w:t>child to become alienated from him</w:t>
      </w:r>
      <w:r w:rsidR="00FD6DAA" w:rsidRPr="00DA607A">
        <w:rPr>
          <w:lang w:val="en-GB"/>
        </w:rPr>
        <w:t xml:space="preserve"> by failing to decide the case speedily</w:t>
      </w:r>
      <w:r w:rsidR="00E36C29" w:rsidRPr="00DA607A">
        <w:rPr>
          <w:lang w:val="en-GB"/>
        </w:rPr>
        <w:t>.</w:t>
      </w:r>
      <w:r w:rsidR="00FD6DAA" w:rsidRPr="00DA607A">
        <w:rPr>
          <w:lang w:val="en-GB"/>
        </w:rPr>
        <w:t xml:space="preserve"> </w:t>
      </w:r>
      <w:r w:rsidR="003645B1" w:rsidRPr="00DA607A">
        <w:rPr>
          <w:lang w:val="en-GB"/>
        </w:rPr>
        <w:t xml:space="preserve">The Polish courts </w:t>
      </w:r>
      <w:r w:rsidR="00861B19" w:rsidRPr="00DA607A">
        <w:rPr>
          <w:lang w:val="en-GB"/>
        </w:rPr>
        <w:t xml:space="preserve">had </w:t>
      </w:r>
      <w:r w:rsidR="003645B1" w:rsidRPr="00DA607A">
        <w:rPr>
          <w:lang w:val="en-GB"/>
        </w:rPr>
        <w:t>also erred in entertaining E.</w:t>
      </w:r>
      <w:r w:rsidR="00861B19" w:rsidRPr="00DA607A">
        <w:rPr>
          <w:lang w:val="en-GB"/>
        </w:rPr>
        <w:t>N</w:t>
      </w:r>
      <w:r w:rsidR="003645B1" w:rsidRPr="00DA607A">
        <w:rPr>
          <w:lang w:val="en-GB"/>
        </w:rPr>
        <w:t>.</w:t>
      </w:r>
      <w:r w:rsidR="00DA607A" w:rsidRPr="00DA607A">
        <w:rPr>
          <w:lang w:val="en-GB"/>
        </w:rPr>
        <w:t>’</w:t>
      </w:r>
      <w:r w:rsidR="003645B1" w:rsidRPr="00DA607A">
        <w:rPr>
          <w:lang w:val="en-GB"/>
        </w:rPr>
        <w:t xml:space="preserve">s divorce </w:t>
      </w:r>
      <w:r w:rsidR="00AA1E4D" w:rsidRPr="00DA607A">
        <w:rPr>
          <w:lang w:val="en-GB"/>
        </w:rPr>
        <w:t xml:space="preserve">petition </w:t>
      </w:r>
      <w:r w:rsidR="003645B1" w:rsidRPr="00DA607A">
        <w:rPr>
          <w:lang w:val="en-GB"/>
        </w:rPr>
        <w:t xml:space="preserve">and issuing interim orders on the issues of </w:t>
      </w:r>
      <w:r w:rsidR="004D420E" w:rsidRPr="00DA607A">
        <w:rPr>
          <w:lang w:val="en-GB"/>
        </w:rPr>
        <w:t xml:space="preserve">the </w:t>
      </w:r>
      <w:r w:rsidR="003645B1" w:rsidRPr="00DA607A">
        <w:rPr>
          <w:lang w:val="en-GB"/>
        </w:rPr>
        <w:t>child</w:t>
      </w:r>
      <w:r w:rsidR="00DA607A" w:rsidRPr="00DA607A">
        <w:rPr>
          <w:lang w:val="en-GB"/>
        </w:rPr>
        <w:t>’</w:t>
      </w:r>
      <w:r w:rsidR="003645B1" w:rsidRPr="00DA607A">
        <w:rPr>
          <w:lang w:val="en-GB"/>
        </w:rPr>
        <w:t>s residence and child support.</w:t>
      </w:r>
    </w:p>
    <w:p w:rsidR="00532FC3" w:rsidRPr="00DA607A" w:rsidRDefault="00532FC3" w:rsidP="00DA607A">
      <w:pPr>
        <w:pStyle w:val="ECHRPara"/>
        <w:keepNext/>
        <w:keepLines/>
        <w:rPr>
          <w:lang w:val="en-GB"/>
        </w:rPr>
      </w:pPr>
      <w:r w:rsidRPr="00DA607A">
        <w:rPr>
          <w:lang w:val="en-GB"/>
        </w:rPr>
        <w:t>Article 8 of the Convention reads as follows:</w:t>
      </w:r>
    </w:p>
    <w:p w:rsidR="00532FC3" w:rsidRPr="00DA607A" w:rsidRDefault="00532FC3" w:rsidP="00DA607A">
      <w:pPr>
        <w:pStyle w:val="ECHRParaQuote"/>
        <w:keepNext/>
        <w:keepLines/>
      </w:pPr>
      <w:r w:rsidRPr="00DA607A">
        <w:t>“1.  Everyone has the right to respect for his private and family life ...</w:t>
      </w:r>
    </w:p>
    <w:p w:rsidR="00532FC3" w:rsidRPr="00DA607A" w:rsidRDefault="00532FC3" w:rsidP="00DA607A">
      <w:pPr>
        <w:pStyle w:val="ECHRParaQuote"/>
        <w:rPr>
          <w:lang w:val="en-GB"/>
        </w:rPr>
      </w:pPr>
      <w:r w:rsidRPr="00DA607A">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532FC3" w:rsidRPr="00DA607A" w:rsidRDefault="00532FC3" w:rsidP="00DA607A">
      <w:pPr>
        <w:pStyle w:val="ECHRHeading2"/>
      </w:pPr>
      <w:r w:rsidRPr="00DA607A">
        <w:t>A.  Admissibility</w:t>
      </w:r>
    </w:p>
    <w:p w:rsidR="00532FC3" w:rsidRPr="00DA607A" w:rsidRDefault="001C4E6B"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40</w:t>
      </w:r>
      <w:r w:rsidRPr="00DA607A">
        <w:rPr>
          <w:lang w:val="en-GB"/>
        </w:rPr>
        <w:fldChar w:fldCharType="end"/>
      </w:r>
      <w:r w:rsidRPr="00DA607A">
        <w:rPr>
          <w:lang w:val="en-GB"/>
        </w:rPr>
        <w:t>.  </w:t>
      </w:r>
      <w:r w:rsidR="00532FC3" w:rsidRPr="00DA607A">
        <w:rPr>
          <w:lang w:val="en-GB"/>
        </w:rPr>
        <w:t>The Court notes that the application is not manifestly ill</w:t>
      </w:r>
      <w:r w:rsidR="00532FC3" w:rsidRPr="00DA607A">
        <w:rPr>
          <w:lang w:val="en-GB"/>
        </w:rPr>
        <w:noBreakHyphen/>
        <w:t>founded within the meaning of Article 35 § 3 (a) of the Convention. It further notes that it is not inadmissible on any other grounds. It must therefore be declared admissible.</w:t>
      </w:r>
    </w:p>
    <w:p w:rsidR="00532FC3" w:rsidRPr="00DA607A" w:rsidRDefault="00532FC3" w:rsidP="00DA607A">
      <w:pPr>
        <w:pStyle w:val="ECHRHeading2"/>
      </w:pPr>
      <w:r w:rsidRPr="00DA607A">
        <w:t>B.  Merits</w:t>
      </w:r>
    </w:p>
    <w:p w:rsidR="00532FC3" w:rsidRPr="00DA607A" w:rsidRDefault="00532FC3" w:rsidP="00DA607A">
      <w:pPr>
        <w:pStyle w:val="ECHRHeading3"/>
        <w:rPr>
          <w:lang w:val="en-GB"/>
        </w:rPr>
      </w:pPr>
      <w:r w:rsidRPr="00DA607A">
        <w:rPr>
          <w:lang w:val="en-GB"/>
        </w:rPr>
        <w:t>1.  The parties</w:t>
      </w:r>
      <w:r w:rsidR="00DA607A" w:rsidRPr="00DA607A">
        <w:rPr>
          <w:lang w:val="en-GB"/>
        </w:rPr>
        <w:t>’</w:t>
      </w:r>
      <w:r w:rsidRPr="00DA607A">
        <w:rPr>
          <w:lang w:val="en-GB"/>
        </w:rPr>
        <w:t xml:space="preserve"> submissions</w:t>
      </w:r>
    </w:p>
    <w:p w:rsidR="003645B1" w:rsidRPr="00DA607A" w:rsidRDefault="00532FC3"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41</w:t>
      </w:r>
      <w:r w:rsidRPr="00DA607A">
        <w:rPr>
          <w:lang w:val="en-GB"/>
        </w:rPr>
        <w:fldChar w:fldCharType="end"/>
      </w:r>
      <w:r w:rsidRPr="00DA607A">
        <w:rPr>
          <w:lang w:val="en-GB"/>
        </w:rPr>
        <w:t xml:space="preserve">.  The applicant complained of a breach of Article 8 of the Convention on account of </w:t>
      </w:r>
      <w:r w:rsidR="003645B1" w:rsidRPr="00DA607A">
        <w:rPr>
          <w:lang w:val="en-GB"/>
        </w:rPr>
        <w:t xml:space="preserve">the outcome and </w:t>
      </w:r>
      <w:r w:rsidR="0088434A" w:rsidRPr="00DA607A">
        <w:rPr>
          <w:lang w:val="en-GB"/>
        </w:rPr>
        <w:t xml:space="preserve">the length </w:t>
      </w:r>
      <w:r w:rsidRPr="00DA607A">
        <w:rPr>
          <w:lang w:val="en-GB"/>
        </w:rPr>
        <w:t xml:space="preserve">of </w:t>
      </w:r>
      <w:r w:rsidR="004D420E" w:rsidRPr="00DA607A">
        <w:rPr>
          <w:lang w:val="en-GB"/>
        </w:rPr>
        <w:t xml:space="preserve">the </w:t>
      </w:r>
      <w:r w:rsidRPr="00DA607A">
        <w:rPr>
          <w:lang w:val="en-GB"/>
        </w:rPr>
        <w:t>Hague Convention proceedings</w:t>
      </w:r>
      <w:r w:rsidR="003645B1" w:rsidRPr="00DA607A">
        <w:rPr>
          <w:lang w:val="en-GB"/>
        </w:rPr>
        <w:t>. The applicant also argued that the breach</w:t>
      </w:r>
      <w:r w:rsidR="006E57FC" w:rsidRPr="00DA607A">
        <w:rPr>
          <w:lang w:val="en-GB"/>
        </w:rPr>
        <w:t xml:space="preserve"> of Article 8 of the Convention</w:t>
      </w:r>
      <w:r w:rsidR="003645B1" w:rsidRPr="00DA607A">
        <w:rPr>
          <w:lang w:val="en-GB"/>
        </w:rPr>
        <w:t xml:space="preserve"> resulted from the domestic court</w:t>
      </w:r>
      <w:r w:rsidR="00DA607A" w:rsidRPr="00DA607A">
        <w:rPr>
          <w:lang w:val="en-GB"/>
        </w:rPr>
        <w:t>’</w:t>
      </w:r>
      <w:r w:rsidR="003645B1" w:rsidRPr="00DA607A">
        <w:rPr>
          <w:lang w:val="en-GB"/>
        </w:rPr>
        <w:t>s decisions to entertain E.</w:t>
      </w:r>
      <w:r w:rsidR="00861B19" w:rsidRPr="00DA607A">
        <w:rPr>
          <w:lang w:val="en-GB"/>
        </w:rPr>
        <w:t>N</w:t>
      </w:r>
      <w:r w:rsidR="003645B1" w:rsidRPr="00DA607A">
        <w:rPr>
          <w:lang w:val="en-GB"/>
        </w:rPr>
        <w:t>.</w:t>
      </w:r>
      <w:r w:rsidR="00DA607A" w:rsidRPr="00DA607A">
        <w:rPr>
          <w:lang w:val="en-GB"/>
        </w:rPr>
        <w:t>’</w:t>
      </w:r>
      <w:r w:rsidR="003645B1" w:rsidRPr="00DA607A">
        <w:rPr>
          <w:lang w:val="en-GB"/>
        </w:rPr>
        <w:t xml:space="preserve">s divorce </w:t>
      </w:r>
      <w:r w:rsidR="00AA1E4D" w:rsidRPr="00DA607A">
        <w:rPr>
          <w:lang w:val="en-GB"/>
        </w:rPr>
        <w:t xml:space="preserve">petition </w:t>
      </w:r>
      <w:r w:rsidR="003645B1" w:rsidRPr="00DA607A">
        <w:rPr>
          <w:lang w:val="en-GB"/>
        </w:rPr>
        <w:t>and to issue interim orders on the child</w:t>
      </w:r>
      <w:r w:rsidR="00DA607A" w:rsidRPr="00DA607A">
        <w:rPr>
          <w:lang w:val="en-GB"/>
        </w:rPr>
        <w:t>’</w:t>
      </w:r>
      <w:r w:rsidR="003645B1" w:rsidRPr="00DA607A">
        <w:rPr>
          <w:lang w:val="en-GB"/>
        </w:rPr>
        <w:t>s residence and child support when the Hague Convention proceedings were pending.</w:t>
      </w:r>
    </w:p>
    <w:p w:rsidR="00A06729" w:rsidRPr="00DA607A" w:rsidRDefault="00532FC3"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42</w:t>
      </w:r>
      <w:r w:rsidRPr="00DA607A">
        <w:rPr>
          <w:lang w:val="en-GB"/>
        </w:rPr>
        <w:fldChar w:fldCharType="end"/>
      </w:r>
      <w:r w:rsidRPr="00DA607A">
        <w:rPr>
          <w:lang w:val="en-GB"/>
        </w:rPr>
        <w:t>. More specifically,</w:t>
      </w:r>
      <w:r w:rsidR="003D7CCC" w:rsidRPr="00DA607A">
        <w:rPr>
          <w:lang w:val="en-GB"/>
        </w:rPr>
        <w:t xml:space="preserve"> t</w:t>
      </w:r>
      <w:r w:rsidRPr="00DA607A">
        <w:rPr>
          <w:lang w:val="en-GB"/>
        </w:rPr>
        <w:t xml:space="preserve">he applicant argued that the impugned </w:t>
      </w:r>
      <w:r w:rsidR="003D7CCC" w:rsidRPr="00DA607A">
        <w:rPr>
          <w:lang w:val="en-GB"/>
        </w:rPr>
        <w:t>refusal to order the child</w:t>
      </w:r>
      <w:r w:rsidR="00DA607A" w:rsidRPr="00DA607A">
        <w:rPr>
          <w:lang w:val="en-GB"/>
        </w:rPr>
        <w:t>’</w:t>
      </w:r>
      <w:r w:rsidR="003D7CCC" w:rsidRPr="00DA607A">
        <w:rPr>
          <w:lang w:val="en-GB"/>
        </w:rPr>
        <w:t xml:space="preserve">s return </w:t>
      </w:r>
      <w:r w:rsidRPr="00DA607A">
        <w:rPr>
          <w:lang w:val="en-GB"/>
        </w:rPr>
        <w:t>resulted from an incorrectly broad interpretation of Article 13 (b) of the Hague Convention</w:t>
      </w:r>
      <w:r w:rsidR="00F40CE7" w:rsidRPr="00DA607A">
        <w:rPr>
          <w:lang w:val="en-GB"/>
        </w:rPr>
        <w:t xml:space="preserve"> and</w:t>
      </w:r>
      <w:r w:rsidRPr="00DA607A">
        <w:rPr>
          <w:lang w:val="en-GB"/>
        </w:rPr>
        <w:t xml:space="preserve"> was contrary to the child</w:t>
      </w:r>
      <w:r w:rsidR="00DA607A" w:rsidRPr="00DA607A">
        <w:rPr>
          <w:lang w:val="en-GB"/>
        </w:rPr>
        <w:t>’</w:t>
      </w:r>
      <w:r w:rsidRPr="00DA607A">
        <w:rPr>
          <w:lang w:val="en-GB"/>
        </w:rPr>
        <w:t>s best interests within the meaning of that provision</w:t>
      </w:r>
      <w:r w:rsidR="003D7CCC" w:rsidRPr="00DA607A">
        <w:rPr>
          <w:lang w:val="en-GB"/>
        </w:rPr>
        <w:t>.</w:t>
      </w:r>
    </w:p>
    <w:p w:rsidR="00532FC3" w:rsidRPr="00DA607A" w:rsidRDefault="00594E40"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43</w:t>
      </w:r>
      <w:r w:rsidRPr="00DA607A">
        <w:rPr>
          <w:lang w:val="en-GB"/>
        </w:rPr>
        <w:fldChar w:fldCharType="end"/>
      </w:r>
      <w:r w:rsidRPr="00DA607A">
        <w:rPr>
          <w:lang w:val="en-GB"/>
        </w:rPr>
        <w:t>.  </w:t>
      </w:r>
      <w:r w:rsidR="003D7CCC" w:rsidRPr="00DA607A">
        <w:rPr>
          <w:lang w:val="en-GB"/>
        </w:rPr>
        <w:t>He was of the opinion that the domestic courts</w:t>
      </w:r>
      <w:r w:rsidR="00532FC3" w:rsidRPr="00DA607A">
        <w:rPr>
          <w:lang w:val="en-GB"/>
        </w:rPr>
        <w:t xml:space="preserve"> </w:t>
      </w:r>
      <w:r w:rsidR="003D7CCC" w:rsidRPr="00DA607A">
        <w:rPr>
          <w:lang w:val="en-GB"/>
        </w:rPr>
        <w:t xml:space="preserve">had </w:t>
      </w:r>
      <w:r w:rsidR="00532FC3" w:rsidRPr="00DA607A">
        <w:rPr>
          <w:lang w:val="en-GB"/>
        </w:rPr>
        <w:t>protected the interests of the child</w:t>
      </w:r>
      <w:r w:rsidR="00DA607A" w:rsidRPr="00DA607A">
        <w:rPr>
          <w:lang w:val="en-GB"/>
        </w:rPr>
        <w:t>’</w:t>
      </w:r>
      <w:r w:rsidR="00532FC3" w:rsidRPr="00DA607A">
        <w:rPr>
          <w:lang w:val="en-GB"/>
        </w:rPr>
        <w:t xml:space="preserve">s mother, who had decided not to return to </w:t>
      </w:r>
      <w:r w:rsidR="00F40CE7" w:rsidRPr="00DA607A">
        <w:rPr>
          <w:lang w:val="en-GB"/>
        </w:rPr>
        <w:t>Canada</w:t>
      </w:r>
      <w:r w:rsidR="00532FC3" w:rsidRPr="00DA607A">
        <w:rPr>
          <w:lang w:val="en-GB"/>
        </w:rPr>
        <w:t xml:space="preserve"> without indicating any objective reasons for such a decision.</w:t>
      </w:r>
      <w:r w:rsidR="003D7CCC" w:rsidRPr="00DA607A">
        <w:t xml:space="preserve"> </w:t>
      </w:r>
      <w:r w:rsidR="003D7CCC" w:rsidRPr="00DA607A">
        <w:rPr>
          <w:lang w:val="en-GB"/>
        </w:rPr>
        <w:t xml:space="preserve">Moreover, they focused on the elements which were absent from the Hague Convention test under Article 13, namely the parental skills and the living </w:t>
      </w:r>
      <w:r w:rsidR="00861B19" w:rsidRPr="00DA607A">
        <w:rPr>
          <w:lang w:val="en-GB"/>
        </w:rPr>
        <w:t>conditions</w:t>
      </w:r>
      <w:r w:rsidR="003D7CCC" w:rsidRPr="00DA607A">
        <w:rPr>
          <w:lang w:val="en-GB"/>
        </w:rPr>
        <w:t xml:space="preserve"> of the applicant and </w:t>
      </w:r>
      <w:r w:rsidR="00C43650" w:rsidRPr="00DA607A">
        <w:rPr>
          <w:lang w:val="en-GB"/>
        </w:rPr>
        <w:t xml:space="preserve">of </w:t>
      </w:r>
      <w:r w:rsidR="003D7CCC" w:rsidRPr="00DA607A">
        <w:rPr>
          <w:lang w:val="en-GB"/>
        </w:rPr>
        <w:t xml:space="preserve">E.N. </w:t>
      </w:r>
      <w:r w:rsidR="003D7CCC" w:rsidRPr="00DA607A">
        <w:rPr>
          <w:i/>
          <w:lang w:val="en-GB"/>
        </w:rPr>
        <w:t>vis-a-vis</w:t>
      </w:r>
      <w:r w:rsidR="003D7CCC" w:rsidRPr="00DA607A">
        <w:rPr>
          <w:lang w:val="en-GB"/>
        </w:rPr>
        <w:t xml:space="preserve"> the child</w:t>
      </w:r>
      <w:r w:rsidR="00DA607A" w:rsidRPr="00DA607A">
        <w:rPr>
          <w:lang w:val="en-GB"/>
        </w:rPr>
        <w:t>’</w:t>
      </w:r>
      <w:r w:rsidR="003D7CCC" w:rsidRPr="00DA607A">
        <w:rPr>
          <w:lang w:val="en-GB"/>
        </w:rPr>
        <w:t>s needs</w:t>
      </w:r>
      <w:r w:rsidR="001E4471" w:rsidRPr="00DA607A">
        <w:rPr>
          <w:lang w:val="en-GB"/>
        </w:rPr>
        <w:t>,</w:t>
      </w:r>
      <w:r w:rsidR="00120045" w:rsidRPr="00DA607A">
        <w:rPr>
          <w:lang w:val="en-GB"/>
        </w:rPr>
        <w:t xml:space="preserve"> as if they were adjudicating an ordinary case concerning parental custody</w:t>
      </w:r>
      <w:r w:rsidR="003D7CCC" w:rsidRPr="00DA607A">
        <w:rPr>
          <w:lang w:val="en-GB"/>
        </w:rPr>
        <w:t>.</w:t>
      </w:r>
    </w:p>
    <w:p w:rsidR="00532FC3" w:rsidRPr="00DA607A" w:rsidRDefault="00C43650"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44</w:t>
      </w:r>
      <w:r w:rsidRPr="00DA607A">
        <w:rPr>
          <w:lang w:val="en-GB"/>
        </w:rPr>
        <w:fldChar w:fldCharType="end"/>
      </w:r>
      <w:r w:rsidRPr="00DA607A">
        <w:rPr>
          <w:lang w:val="en-GB"/>
        </w:rPr>
        <w:t>.  </w:t>
      </w:r>
      <w:r w:rsidR="00594E40" w:rsidRPr="00DA607A">
        <w:rPr>
          <w:lang w:val="en-GB"/>
        </w:rPr>
        <w:t xml:space="preserve">Lastly, the applicant complained </w:t>
      </w:r>
      <w:r w:rsidR="00532FC3" w:rsidRPr="00DA607A">
        <w:rPr>
          <w:lang w:val="en-GB"/>
        </w:rPr>
        <w:t>that the decision-making process leading to the adoption of the impugned decision was contrary to the procedural requirements of Article 8 of the Convention.</w:t>
      </w:r>
    </w:p>
    <w:p w:rsidR="00532FC3" w:rsidRPr="00DA607A" w:rsidRDefault="00E27103" w:rsidP="00DA607A">
      <w:pPr>
        <w:pStyle w:val="ECHRPara"/>
        <w:rPr>
          <w:lang w:val="en-GB"/>
        </w:rPr>
      </w:pPr>
      <w:r w:rsidRPr="00DA607A">
        <w:rPr>
          <w:lang w:val="en-GB"/>
        </w:rPr>
        <w:t>The applicant stated that in his</w:t>
      </w:r>
      <w:r w:rsidR="00532FC3" w:rsidRPr="00DA607A">
        <w:rPr>
          <w:lang w:val="en-GB"/>
        </w:rPr>
        <w:t xml:space="preserve"> opinion the </w:t>
      </w:r>
      <w:r w:rsidR="00A06729" w:rsidRPr="00DA607A">
        <w:rPr>
          <w:lang w:val="en-GB"/>
        </w:rPr>
        <w:t>domestic courts</w:t>
      </w:r>
      <w:r w:rsidR="001E4471" w:rsidRPr="00DA607A">
        <w:rPr>
          <w:lang w:val="en-GB"/>
        </w:rPr>
        <w:t xml:space="preserve"> </w:t>
      </w:r>
      <w:r w:rsidR="00532FC3" w:rsidRPr="00DA607A">
        <w:rPr>
          <w:lang w:val="en-GB"/>
        </w:rPr>
        <w:t>had taken too long to examine his Hague Convention request, in breach of the requirement of expeditious proceedings under Article 11 of the Hague Convention.</w:t>
      </w:r>
    </w:p>
    <w:p w:rsidR="00594E40" w:rsidRPr="00DA607A" w:rsidRDefault="00E27103" w:rsidP="00DA607A">
      <w:pPr>
        <w:pStyle w:val="ECHRPara"/>
        <w:rPr>
          <w:lang w:val="en-GB"/>
        </w:rPr>
      </w:pPr>
      <w:r w:rsidRPr="00DA607A">
        <w:rPr>
          <w:lang w:val="en-GB"/>
        </w:rPr>
        <w:t xml:space="preserve">The applicant also </w:t>
      </w:r>
      <w:r w:rsidR="00861B19" w:rsidRPr="00DA607A">
        <w:rPr>
          <w:lang w:val="en-GB"/>
        </w:rPr>
        <w:t>submitted</w:t>
      </w:r>
      <w:r w:rsidRPr="00DA607A">
        <w:rPr>
          <w:lang w:val="en-GB"/>
        </w:rPr>
        <w:t xml:space="preserve"> that</w:t>
      </w:r>
      <w:r w:rsidR="001E4471" w:rsidRPr="00DA607A">
        <w:rPr>
          <w:lang w:val="en-GB"/>
        </w:rPr>
        <w:t xml:space="preserve"> the</w:t>
      </w:r>
      <w:r w:rsidR="00594E40" w:rsidRPr="00DA607A">
        <w:rPr>
          <w:lang w:val="en-GB"/>
        </w:rPr>
        <w:t xml:space="preserve"> entertaining</w:t>
      </w:r>
      <w:r w:rsidRPr="00DA607A">
        <w:rPr>
          <w:lang w:val="en-GB"/>
        </w:rPr>
        <w:t xml:space="preserve"> of</w:t>
      </w:r>
      <w:r w:rsidR="00594E40" w:rsidRPr="00DA607A">
        <w:rPr>
          <w:lang w:val="en-GB"/>
        </w:rPr>
        <w:t xml:space="preserve"> E.N.</w:t>
      </w:r>
      <w:r w:rsidR="00DA607A" w:rsidRPr="00DA607A">
        <w:rPr>
          <w:lang w:val="en-GB"/>
        </w:rPr>
        <w:t>’</w:t>
      </w:r>
      <w:r w:rsidR="00594E40" w:rsidRPr="00DA607A">
        <w:rPr>
          <w:lang w:val="en-GB"/>
        </w:rPr>
        <w:t xml:space="preserve">s divorce </w:t>
      </w:r>
      <w:r w:rsidR="00AA1E4D" w:rsidRPr="00DA607A">
        <w:rPr>
          <w:lang w:val="en-GB"/>
        </w:rPr>
        <w:t xml:space="preserve">petition </w:t>
      </w:r>
      <w:r w:rsidR="00594E40" w:rsidRPr="00DA607A">
        <w:rPr>
          <w:lang w:val="en-GB"/>
        </w:rPr>
        <w:t xml:space="preserve">and </w:t>
      </w:r>
      <w:r w:rsidR="001E4471" w:rsidRPr="00DA607A">
        <w:rPr>
          <w:lang w:val="en-GB"/>
        </w:rPr>
        <w:t xml:space="preserve">the issuing of </w:t>
      </w:r>
      <w:r w:rsidR="00594E40" w:rsidRPr="00DA607A">
        <w:rPr>
          <w:lang w:val="en-GB"/>
        </w:rPr>
        <w:t xml:space="preserve">interim orders on </w:t>
      </w:r>
      <w:r w:rsidR="001E4471" w:rsidRPr="00DA607A">
        <w:rPr>
          <w:lang w:val="en-GB"/>
        </w:rPr>
        <w:t xml:space="preserve">the </w:t>
      </w:r>
      <w:r w:rsidR="00594E40" w:rsidRPr="00DA607A">
        <w:rPr>
          <w:lang w:val="en-GB"/>
        </w:rPr>
        <w:t>child</w:t>
      </w:r>
      <w:r w:rsidR="00DA607A" w:rsidRPr="00DA607A">
        <w:rPr>
          <w:lang w:val="en-GB"/>
        </w:rPr>
        <w:t>’</w:t>
      </w:r>
      <w:r w:rsidR="00594E40" w:rsidRPr="00DA607A">
        <w:rPr>
          <w:lang w:val="en-GB"/>
        </w:rPr>
        <w:t xml:space="preserve">s residence and child support </w:t>
      </w:r>
      <w:r w:rsidRPr="00DA607A">
        <w:rPr>
          <w:lang w:val="en-GB"/>
        </w:rPr>
        <w:t xml:space="preserve">had been </w:t>
      </w:r>
      <w:r w:rsidR="00594E40" w:rsidRPr="00DA607A">
        <w:rPr>
          <w:lang w:val="en-GB"/>
        </w:rPr>
        <w:t>contrary to Article 16 of the Hague Convention.</w:t>
      </w:r>
    </w:p>
    <w:p w:rsidR="00532FC3" w:rsidRPr="00DA607A" w:rsidRDefault="00532FC3"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45</w:t>
      </w:r>
      <w:r w:rsidRPr="00DA607A">
        <w:rPr>
          <w:lang w:val="en-GB"/>
        </w:rPr>
        <w:fldChar w:fldCharType="end"/>
      </w:r>
      <w:r w:rsidRPr="00DA607A">
        <w:rPr>
          <w:lang w:val="en-GB"/>
        </w:rPr>
        <w:t>.  </w:t>
      </w:r>
      <w:r w:rsidR="00C82C06" w:rsidRPr="00DA607A">
        <w:rPr>
          <w:lang w:val="en-GB"/>
        </w:rPr>
        <w:t>The Government argued that the interference with the applicant</w:t>
      </w:r>
      <w:r w:rsidR="00DA607A" w:rsidRPr="00DA607A">
        <w:rPr>
          <w:lang w:val="en-GB"/>
        </w:rPr>
        <w:t>’</w:t>
      </w:r>
      <w:r w:rsidR="00C82C06" w:rsidRPr="00DA607A">
        <w:rPr>
          <w:lang w:val="en-GB"/>
        </w:rPr>
        <w:t xml:space="preserve">s right </w:t>
      </w:r>
      <w:r w:rsidR="00DA234B" w:rsidRPr="00DA607A">
        <w:rPr>
          <w:lang w:val="en-GB"/>
        </w:rPr>
        <w:t xml:space="preserve">to </w:t>
      </w:r>
      <w:r w:rsidR="00C82C06" w:rsidRPr="00DA607A">
        <w:rPr>
          <w:lang w:val="en-GB"/>
        </w:rPr>
        <w:t xml:space="preserve">respect </w:t>
      </w:r>
      <w:r w:rsidR="00DA234B" w:rsidRPr="00DA607A">
        <w:rPr>
          <w:lang w:val="en-GB"/>
        </w:rPr>
        <w:t xml:space="preserve">for </w:t>
      </w:r>
      <w:r w:rsidR="00C82C06" w:rsidRPr="00DA607A">
        <w:rPr>
          <w:lang w:val="en-GB"/>
        </w:rPr>
        <w:t>family life was justified under paragraph 2 of Article</w:t>
      </w:r>
      <w:r w:rsidR="00B63D03" w:rsidRPr="00DA607A">
        <w:rPr>
          <w:lang w:val="en-GB"/>
        </w:rPr>
        <w:t> </w:t>
      </w:r>
      <w:r w:rsidR="00C82C06" w:rsidRPr="00DA607A">
        <w:rPr>
          <w:lang w:val="en-GB"/>
        </w:rPr>
        <w:t xml:space="preserve">8 of the Convention. They essentially stated that the </w:t>
      </w:r>
      <w:r w:rsidR="00A06729" w:rsidRPr="00DA607A">
        <w:rPr>
          <w:lang w:val="en-GB"/>
        </w:rPr>
        <w:t xml:space="preserve">domestic courts </w:t>
      </w:r>
      <w:r w:rsidR="00C82C06" w:rsidRPr="00DA607A">
        <w:rPr>
          <w:lang w:val="en-GB"/>
        </w:rPr>
        <w:t>had carried out an in-depth examination of the entire family situation and made a balanced and reasonable assessment of the respective interests of the child and both parents.</w:t>
      </w:r>
      <w:r w:rsidR="00F30181" w:rsidRPr="00DA607A">
        <w:rPr>
          <w:lang w:val="en-GB"/>
        </w:rPr>
        <w:t xml:space="preserve"> In the circumstances of the case, the resulting decision not to order the child</w:t>
      </w:r>
      <w:r w:rsidR="00DA607A" w:rsidRPr="00DA607A">
        <w:rPr>
          <w:lang w:val="en-GB"/>
        </w:rPr>
        <w:t>’</w:t>
      </w:r>
      <w:r w:rsidR="00F30181" w:rsidRPr="00DA607A">
        <w:rPr>
          <w:lang w:val="en-GB"/>
        </w:rPr>
        <w:t xml:space="preserve">s return to Canada </w:t>
      </w:r>
      <w:r w:rsidR="00E27103" w:rsidRPr="00DA607A">
        <w:rPr>
          <w:lang w:val="en-GB"/>
        </w:rPr>
        <w:t xml:space="preserve">had </w:t>
      </w:r>
      <w:r w:rsidR="00F30181" w:rsidRPr="00DA607A">
        <w:rPr>
          <w:lang w:val="en-GB"/>
        </w:rPr>
        <w:t xml:space="preserve">undoubtedly </w:t>
      </w:r>
      <w:r w:rsidR="00E27103" w:rsidRPr="00DA607A">
        <w:rPr>
          <w:lang w:val="en-GB"/>
        </w:rPr>
        <w:t xml:space="preserve">been </w:t>
      </w:r>
      <w:r w:rsidR="00F30181" w:rsidRPr="00DA607A">
        <w:rPr>
          <w:lang w:val="en-GB"/>
        </w:rPr>
        <w:t>in his best interest.</w:t>
      </w:r>
    </w:p>
    <w:p w:rsidR="00532FC3" w:rsidRPr="00DA607A" w:rsidRDefault="00532FC3" w:rsidP="00DA607A">
      <w:pPr>
        <w:pStyle w:val="ECHRHeading3"/>
      </w:pPr>
      <w:r w:rsidRPr="00DA607A">
        <w:t>2.  The Court</w:t>
      </w:r>
      <w:r w:rsidR="00DA607A" w:rsidRPr="00DA607A">
        <w:t>’</w:t>
      </w:r>
      <w:r w:rsidRPr="00DA607A">
        <w:t>s assessment</w:t>
      </w:r>
    </w:p>
    <w:p w:rsidR="00532FC3" w:rsidRPr="00DA607A" w:rsidRDefault="00532FC3" w:rsidP="00DA607A">
      <w:pPr>
        <w:pStyle w:val="ECHRHeading4"/>
      </w:pPr>
      <w:r w:rsidRPr="00DA607A">
        <w:t>(a)  General principles</w:t>
      </w:r>
    </w:p>
    <w:p w:rsidR="00532FC3" w:rsidRPr="00DA607A" w:rsidRDefault="00EE0166" w:rsidP="00DA607A">
      <w:pPr>
        <w:pStyle w:val="ECHRPara"/>
      </w:pPr>
      <w:r>
        <w:fldChar w:fldCharType="begin"/>
      </w:r>
      <w:r>
        <w:instrText xml:space="preserve"> SEQ level0 \*arabic </w:instrText>
      </w:r>
      <w:r>
        <w:fldChar w:fldCharType="separate"/>
      </w:r>
      <w:r w:rsidR="00DA607A" w:rsidRPr="00DA607A">
        <w:rPr>
          <w:noProof/>
        </w:rPr>
        <w:t>46</w:t>
      </w:r>
      <w:r>
        <w:rPr>
          <w:noProof/>
        </w:rPr>
        <w:fldChar w:fldCharType="end"/>
      </w:r>
      <w:r w:rsidR="00532FC3" w:rsidRPr="00DA607A">
        <w:t>.  The general principles on the relationship between the Convention and the Hague Convention, the scope of the Court</w:t>
      </w:r>
      <w:r w:rsidR="00DA607A" w:rsidRPr="00DA607A">
        <w:t>’</w:t>
      </w:r>
      <w:r w:rsidR="00532FC3" w:rsidRPr="00DA607A">
        <w:t>s examination of international child abduction applications, the best interests of the child and on the procedural obligations of the States, are laid down in the Court</w:t>
      </w:r>
      <w:r w:rsidR="00DA607A" w:rsidRPr="00DA607A">
        <w:t>’</w:t>
      </w:r>
      <w:r w:rsidR="00532FC3" w:rsidRPr="00DA607A">
        <w:t xml:space="preserve">s Grand Chamber judgment in the case of </w:t>
      </w:r>
      <w:r w:rsidR="00532FC3" w:rsidRPr="00DA607A">
        <w:rPr>
          <w:i/>
        </w:rPr>
        <w:t>X v. Latvia</w:t>
      </w:r>
      <w:r w:rsidR="00532FC3" w:rsidRPr="00DA607A">
        <w:t xml:space="preserve"> (see </w:t>
      </w:r>
      <w:r w:rsidR="00532FC3" w:rsidRPr="00DA607A">
        <w:rPr>
          <w:i/>
        </w:rPr>
        <w:t xml:space="preserve">X </w:t>
      </w:r>
      <w:r w:rsidR="00532FC3" w:rsidRPr="00DA607A">
        <w:rPr>
          <w:i/>
          <w:snapToGrid w:val="0"/>
        </w:rPr>
        <w:t>v</w:t>
      </w:r>
      <w:r w:rsidR="00B63D03" w:rsidRPr="00DA607A">
        <w:rPr>
          <w:i/>
          <w:snapToGrid w:val="0"/>
        </w:rPr>
        <w:t>. </w:t>
      </w:r>
      <w:r w:rsidR="00532FC3" w:rsidRPr="00DA607A">
        <w:rPr>
          <w:i/>
          <w:snapToGrid w:val="0"/>
        </w:rPr>
        <w:t xml:space="preserve"> Latvia</w:t>
      </w:r>
      <w:r w:rsidR="00532FC3" w:rsidRPr="00DA607A">
        <w:rPr>
          <w:i/>
        </w:rPr>
        <w:t xml:space="preserve"> </w:t>
      </w:r>
      <w:r w:rsidR="00532FC3" w:rsidRPr="00DA607A">
        <w:t>[GC]</w:t>
      </w:r>
      <w:r w:rsidR="00532FC3" w:rsidRPr="00DA607A">
        <w:rPr>
          <w:snapToGrid w:val="0"/>
        </w:rPr>
        <w:t xml:space="preserve">, </w:t>
      </w:r>
      <w:r w:rsidR="00532FC3" w:rsidRPr="00DA607A">
        <w:t>no</w:t>
      </w:r>
      <w:r w:rsidR="00B63D03" w:rsidRPr="00DA607A">
        <w:t>. </w:t>
      </w:r>
      <w:r w:rsidR="00532FC3" w:rsidRPr="00DA607A">
        <w:t>27853/09</w:t>
      </w:r>
      <w:r w:rsidR="00532FC3" w:rsidRPr="00DA607A">
        <w:rPr>
          <w:snapToGrid w:val="0"/>
        </w:rPr>
        <w:t>, §</w:t>
      </w:r>
      <w:r w:rsidR="00532FC3" w:rsidRPr="00DA607A">
        <w:t>§</w:t>
      </w:r>
      <w:r w:rsidR="00A06729" w:rsidRPr="00DA607A">
        <w:t xml:space="preserve"> </w:t>
      </w:r>
      <w:r w:rsidR="00532FC3" w:rsidRPr="00DA607A">
        <w:rPr>
          <w:snapToGrid w:val="0"/>
        </w:rPr>
        <w:t xml:space="preserve">93-102, 107 </w:t>
      </w:r>
      <w:r w:rsidR="00532FC3" w:rsidRPr="00DA607A">
        <w:rPr>
          <w:lang w:val="en-GB"/>
        </w:rPr>
        <w:t>ECHR 2013) and also in a number of other judgments concerning proceedings for</w:t>
      </w:r>
      <w:r w:rsidR="00861B19" w:rsidRPr="00DA607A">
        <w:rPr>
          <w:lang w:val="en-GB"/>
        </w:rPr>
        <w:t xml:space="preserve"> the</w:t>
      </w:r>
      <w:r w:rsidR="00532FC3" w:rsidRPr="00DA607A">
        <w:rPr>
          <w:lang w:val="en-GB"/>
        </w:rPr>
        <w:t xml:space="preserve"> return of children under the Hague Convention (see</w:t>
      </w:r>
      <w:r w:rsidR="00532FC3" w:rsidRPr="00DA607A">
        <w:rPr>
          <w:i/>
          <w:lang w:val="en-GB"/>
        </w:rPr>
        <w:t xml:space="preserve"> Maumousseau and Washington v</w:t>
      </w:r>
      <w:r w:rsidR="00B63D03" w:rsidRPr="00DA607A">
        <w:rPr>
          <w:i/>
          <w:lang w:val="en-GB"/>
        </w:rPr>
        <w:t>. </w:t>
      </w:r>
      <w:r w:rsidR="00532FC3" w:rsidRPr="00DA607A">
        <w:rPr>
          <w:i/>
          <w:lang w:val="en-GB"/>
        </w:rPr>
        <w:t>France</w:t>
      </w:r>
      <w:r w:rsidR="00532FC3" w:rsidRPr="00DA607A">
        <w:rPr>
          <w:lang w:val="en-GB"/>
        </w:rPr>
        <w:t>, no.</w:t>
      </w:r>
      <w:r w:rsidR="00033578" w:rsidRPr="00DA607A">
        <w:rPr>
          <w:lang w:val="en-GB"/>
        </w:rPr>
        <w:t> </w:t>
      </w:r>
      <w:r w:rsidR="00532FC3" w:rsidRPr="00DA607A">
        <w:rPr>
          <w:lang w:val="en-GB"/>
        </w:rPr>
        <w:t xml:space="preserve">39388/05, § 68, 6 December 2007; </w:t>
      </w:r>
      <w:r w:rsidR="00532FC3" w:rsidRPr="00DA607A">
        <w:rPr>
          <w:i/>
        </w:rPr>
        <w:t>Ignaccolo-Zenide v.</w:t>
      </w:r>
      <w:r w:rsidR="00B63D03" w:rsidRPr="00DA607A">
        <w:rPr>
          <w:i/>
        </w:rPr>
        <w:t> </w:t>
      </w:r>
      <w:r w:rsidR="00532FC3" w:rsidRPr="00DA607A">
        <w:rPr>
          <w:i/>
        </w:rPr>
        <w:t>Romania</w:t>
      </w:r>
      <w:r w:rsidR="00532FC3" w:rsidRPr="00DA607A">
        <w:t>, no.</w:t>
      </w:r>
      <w:r w:rsidR="00033578" w:rsidRPr="00DA607A">
        <w:t> </w:t>
      </w:r>
      <w:r w:rsidR="00532FC3" w:rsidRPr="00DA607A">
        <w:t>31679/96, § 102, ECHR 2000</w:t>
      </w:r>
      <w:r w:rsidR="00532FC3" w:rsidRPr="00DA607A">
        <w:noBreakHyphen/>
        <w:t xml:space="preserve">I; </w:t>
      </w:r>
      <w:r w:rsidR="00532FC3" w:rsidRPr="00DA607A">
        <w:rPr>
          <w:i/>
        </w:rPr>
        <w:t>Iosub Caras v. Romania</w:t>
      </w:r>
      <w:r w:rsidR="00532FC3" w:rsidRPr="00DA607A">
        <w:t>, no.</w:t>
      </w:r>
      <w:r w:rsidR="00B63D03" w:rsidRPr="00DA607A">
        <w:t> </w:t>
      </w:r>
      <w:r w:rsidR="00532FC3" w:rsidRPr="00DA607A">
        <w:t>7198/04, §</w:t>
      </w:r>
      <w:r w:rsidR="00033578" w:rsidRPr="00DA607A">
        <w:t> </w:t>
      </w:r>
      <w:r w:rsidR="00532FC3" w:rsidRPr="00DA607A">
        <w:t>38, 27 July 2006;</w:t>
      </w:r>
      <w:r w:rsidR="00532FC3" w:rsidRPr="00DA607A">
        <w:rPr>
          <w:i/>
        </w:rPr>
        <w:t xml:space="preserve"> Shaw v. Hungary</w:t>
      </w:r>
      <w:r w:rsidR="00532FC3" w:rsidRPr="00DA607A">
        <w:t>, no. 6457/09, § 72, 26 July 2011</w:t>
      </w:r>
      <w:r w:rsidR="001C14E2" w:rsidRPr="00DA607A">
        <w:t>;</w:t>
      </w:r>
      <w:r w:rsidR="00532FC3" w:rsidRPr="00DA607A">
        <w:t xml:space="preserve"> and</w:t>
      </w:r>
      <w:r w:rsidR="00B63D03" w:rsidRPr="00DA607A">
        <w:rPr>
          <w:i/>
        </w:rPr>
        <w:t xml:space="preserve"> Adžić v. </w:t>
      </w:r>
      <w:r w:rsidR="00532FC3" w:rsidRPr="00DA607A">
        <w:rPr>
          <w:i/>
        </w:rPr>
        <w:t>Croatia</w:t>
      </w:r>
      <w:r w:rsidR="00532FC3" w:rsidRPr="00DA607A">
        <w:t>, no. 22643/14, §§ 93-95, 12 March 2015).</w:t>
      </w:r>
    </w:p>
    <w:p w:rsidR="00532FC3" w:rsidRPr="00DA607A" w:rsidRDefault="00532FC3" w:rsidP="00DA607A">
      <w:pPr>
        <w:pStyle w:val="ECHRHeading4"/>
      </w:pPr>
      <w:r w:rsidRPr="00DA607A">
        <w:t>(b)  Application of the general principles to the present case</w:t>
      </w:r>
    </w:p>
    <w:p w:rsidR="00532FC3" w:rsidRPr="00DA607A" w:rsidRDefault="00EE0166" w:rsidP="00DA607A">
      <w:pPr>
        <w:pStyle w:val="ECHRPara"/>
        <w:rPr>
          <w:i/>
          <w:lang w:val="en-GB"/>
        </w:rPr>
      </w:pPr>
      <w:r>
        <w:fldChar w:fldCharType="begin"/>
      </w:r>
      <w:r>
        <w:instrText xml:space="preserve"> SEQ level0 \*arabic </w:instrText>
      </w:r>
      <w:r>
        <w:fldChar w:fldCharType="separate"/>
      </w:r>
      <w:r w:rsidR="00DA607A" w:rsidRPr="00DA607A">
        <w:rPr>
          <w:noProof/>
        </w:rPr>
        <w:t>47</w:t>
      </w:r>
      <w:r>
        <w:rPr>
          <w:noProof/>
        </w:rPr>
        <w:fldChar w:fldCharType="end"/>
      </w:r>
      <w:r w:rsidR="00532FC3" w:rsidRPr="00DA607A">
        <w:t>.  In the instant case, the primary interference with the applicant</w:t>
      </w:r>
      <w:r w:rsidR="00DA607A" w:rsidRPr="00DA607A">
        <w:t>’</w:t>
      </w:r>
      <w:r w:rsidR="00532FC3" w:rsidRPr="00DA607A">
        <w:t>s right to respect for his family life may not be attributed to an action or omission by the respondent State, but rather to the action of the applicant</w:t>
      </w:r>
      <w:r w:rsidR="00DA607A" w:rsidRPr="00DA607A">
        <w:t>’</w:t>
      </w:r>
      <w:r w:rsidR="00532FC3" w:rsidRPr="00DA607A">
        <w:t>s wife and his child</w:t>
      </w:r>
      <w:r w:rsidR="00DA607A" w:rsidRPr="00DA607A">
        <w:t>’</w:t>
      </w:r>
      <w:r w:rsidR="00532FC3" w:rsidRPr="00DA607A">
        <w:t xml:space="preserve">s mother, a private individual, who </w:t>
      </w:r>
      <w:r w:rsidR="00E27103" w:rsidRPr="00DA607A">
        <w:t xml:space="preserve">had </w:t>
      </w:r>
      <w:r w:rsidR="00532FC3" w:rsidRPr="00DA607A">
        <w:t xml:space="preserve">retained their </w:t>
      </w:r>
      <w:r w:rsidR="00015C34" w:rsidRPr="00DA607A">
        <w:t xml:space="preserve">son </w:t>
      </w:r>
      <w:r w:rsidR="00532FC3" w:rsidRPr="00DA607A">
        <w:t xml:space="preserve">in Poland (see </w:t>
      </w:r>
      <w:r w:rsidR="00C43650" w:rsidRPr="00DA607A">
        <w:rPr>
          <w:i/>
        </w:rPr>
        <w:t>K.J.</w:t>
      </w:r>
      <w:r w:rsidR="00C43650" w:rsidRPr="00DA607A">
        <w:t xml:space="preserve"> </w:t>
      </w:r>
      <w:r w:rsidR="00C43650" w:rsidRPr="00DA607A">
        <w:rPr>
          <w:i/>
        </w:rPr>
        <w:t>v. Poland</w:t>
      </w:r>
      <w:r w:rsidR="00C43650" w:rsidRPr="00DA607A">
        <w:t>, no. 30813/14</w:t>
      </w:r>
      <w:r w:rsidR="00C43650" w:rsidRPr="00DA607A">
        <w:rPr>
          <w:snapToGrid w:val="0"/>
        </w:rPr>
        <w:t>, § 52, 1 March 2016</w:t>
      </w:r>
      <w:r w:rsidR="001C14E2" w:rsidRPr="00DA607A">
        <w:rPr>
          <w:snapToGrid w:val="0"/>
        </w:rPr>
        <w:t>,</w:t>
      </w:r>
      <w:r w:rsidR="00C43650" w:rsidRPr="00DA607A">
        <w:rPr>
          <w:snapToGrid w:val="0"/>
        </w:rPr>
        <w:t xml:space="preserve"> and </w:t>
      </w:r>
      <w:r w:rsidR="00B63D03" w:rsidRPr="00DA607A">
        <w:rPr>
          <w:i/>
        </w:rPr>
        <w:t>López Guió v. </w:t>
      </w:r>
      <w:r w:rsidR="00532FC3" w:rsidRPr="00DA607A">
        <w:rPr>
          <w:i/>
        </w:rPr>
        <w:t>Slovakia</w:t>
      </w:r>
      <w:r w:rsidR="00532FC3" w:rsidRPr="00DA607A">
        <w:t>, no. 10280/12, § 85, 3 June 2014).</w:t>
      </w:r>
    </w:p>
    <w:p w:rsidR="00532FC3" w:rsidRPr="00DA607A" w:rsidRDefault="00EE0166" w:rsidP="00DA607A">
      <w:pPr>
        <w:pStyle w:val="ECHRPara"/>
      </w:pPr>
      <w:r>
        <w:fldChar w:fldCharType="begin"/>
      </w:r>
      <w:r>
        <w:instrText xml:space="preserve"> SEQ level0 \*arabic </w:instrText>
      </w:r>
      <w:r>
        <w:fldChar w:fldCharType="separate"/>
      </w:r>
      <w:r w:rsidR="00DA607A" w:rsidRPr="00DA607A">
        <w:rPr>
          <w:noProof/>
        </w:rPr>
        <w:t>48</w:t>
      </w:r>
      <w:r>
        <w:rPr>
          <w:noProof/>
        </w:rPr>
        <w:fldChar w:fldCharType="end"/>
      </w:r>
      <w:r w:rsidR="00532FC3" w:rsidRPr="00DA607A">
        <w:t xml:space="preserve">.  That action nevertheless placed the respondent State under </w:t>
      </w:r>
      <w:r w:rsidR="008C6D5C" w:rsidRPr="00DA607A">
        <w:t xml:space="preserve">a </w:t>
      </w:r>
      <w:r w:rsidR="00532FC3" w:rsidRPr="00DA607A">
        <w:t xml:space="preserve">positive obligation to secure for the applicant his right to respect for his family life, which included taking measures under the Hague Convention with a view to ensuring his prompt reunification with his child (see </w:t>
      </w:r>
      <w:r w:rsidR="00C43650" w:rsidRPr="00DA607A">
        <w:rPr>
          <w:i/>
        </w:rPr>
        <w:t>K.J</w:t>
      </w:r>
      <w:r w:rsidR="002A0276" w:rsidRPr="00DA607A">
        <w:rPr>
          <w:i/>
        </w:rPr>
        <w:t>.</w:t>
      </w:r>
      <w:r w:rsidR="00C43650" w:rsidRPr="00DA607A">
        <w:t xml:space="preserve"> </w:t>
      </w:r>
      <w:r w:rsidR="00C43650" w:rsidRPr="00DA607A">
        <w:rPr>
          <w:i/>
        </w:rPr>
        <w:t>v. Poland</w:t>
      </w:r>
      <w:r w:rsidR="00C43650" w:rsidRPr="00DA607A">
        <w:t>, cited above</w:t>
      </w:r>
      <w:r w:rsidR="00C43650" w:rsidRPr="00DA607A">
        <w:rPr>
          <w:snapToGrid w:val="0"/>
        </w:rPr>
        <w:t>, § 53</w:t>
      </w:r>
      <w:r w:rsidR="00214CCF" w:rsidRPr="00DA607A">
        <w:rPr>
          <w:snapToGrid w:val="0"/>
        </w:rPr>
        <w:t>,</w:t>
      </w:r>
      <w:r w:rsidR="00C43650" w:rsidRPr="00DA607A">
        <w:rPr>
          <w:snapToGrid w:val="0"/>
        </w:rPr>
        <w:t xml:space="preserve"> and </w:t>
      </w:r>
      <w:r w:rsidR="00532FC3" w:rsidRPr="00DA607A">
        <w:rPr>
          <w:i/>
        </w:rPr>
        <w:t>Ignaccolo-Zenide</w:t>
      </w:r>
      <w:r w:rsidR="00532FC3" w:rsidRPr="00DA607A">
        <w:t>, cited above, § 94).</w:t>
      </w:r>
    </w:p>
    <w:p w:rsidR="00532FC3" w:rsidRPr="00DA607A" w:rsidRDefault="00EE0166" w:rsidP="00DA607A">
      <w:pPr>
        <w:pStyle w:val="ECHRPara"/>
      </w:pPr>
      <w:r>
        <w:fldChar w:fldCharType="begin"/>
      </w:r>
      <w:r>
        <w:instrText xml:space="preserve"> SEQ level0 \*arabic </w:instrText>
      </w:r>
      <w:r>
        <w:fldChar w:fldCharType="separate"/>
      </w:r>
      <w:r w:rsidR="00DA607A" w:rsidRPr="00DA607A">
        <w:rPr>
          <w:noProof/>
        </w:rPr>
        <w:t>49</w:t>
      </w:r>
      <w:r>
        <w:rPr>
          <w:noProof/>
        </w:rPr>
        <w:fldChar w:fldCharType="end"/>
      </w:r>
      <w:r w:rsidR="00532FC3" w:rsidRPr="00DA607A">
        <w:t>.  In the present case, while holding that the ret</w:t>
      </w:r>
      <w:r w:rsidR="00015C34" w:rsidRPr="00DA607A">
        <w:t>ention of the child away from his</w:t>
      </w:r>
      <w:r w:rsidR="00532FC3" w:rsidRPr="00DA607A">
        <w:t xml:space="preserve"> habitual residence in </w:t>
      </w:r>
      <w:r w:rsidR="00015C34" w:rsidRPr="00DA607A">
        <w:t>Canada</w:t>
      </w:r>
      <w:r w:rsidR="00532FC3" w:rsidRPr="00DA607A">
        <w:t xml:space="preserve"> was wrongful within the meaning of Article 3 of the Hague Convention, the domestic courts took </w:t>
      </w:r>
      <w:r w:rsidR="00015C34" w:rsidRPr="00DA607A">
        <w:t>one year and five months</w:t>
      </w:r>
      <w:r w:rsidR="00532FC3" w:rsidRPr="00DA607A">
        <w:t xml:space="preserve"> to examine the applicant</w:t>
      </w:r>
      <w:r w:rsidR="00DA607A" w:rsidRPr="00DA607A">
        <w:t>’</w:t>
      </w:r>
      <w:r w:rsidR="00532FC3" w:rsidRPr="00DA607A">
        <w:t xml:space="preserve">s request for the return of his </w:t>
      </w:r>
      <w:r w:rsidR="00015C34" w:rsidRPr="00DA607A">
        <w:t>son</w:t>
      </w:r>
      <w:r w:rsidR="00532FC3" w:rsidRPr="00DA607A">
        <w:t xml:space="preserve">, and </w:t>
      </w:r>
      <w:r w:rsidR="00015C34" w:rsidRPr="00DA607A">
        <w:t>ultimately</w:t>
      </w:r>
      <w:r w:rsidR="00532FC3" w:rsidRPr="00DA607A">
        <w:t xml:space="preserve"> di</w:t>
      </w:r>
      <w:r w:rsidR="00015C34" w:rsidRPr="00DA607A">
        <w:t>smissed it on the ground that his</w:t>
      </w:r>
      <w:r w:rsidR="00532FC3" w:rsidRPr="00DA607A">
        <w:t xml:space="preserve"> return without h</w:t>
      </w:r>
      <w:r w:rsidR="00015C34" w:rsidRPr="00DA607A">
        <w:t>is</w:t>
      </w:r>
      <w:r w:rsidR="00532FC3" w:rsidRPr="00DA607A">
        <w:t xml:space="preserve"> mother would place the </w:t>
      </w:r>
      <w:r w:rsidR="00015C34" w:rsidRPr="00DA607A">
        <w:t>boy</w:t>
      </w:r>
      <w:r w:rsidR="00532FC3" w:rsidRPr="00DA607A">
        <w:t xml:space="preserve"> in an intolerable situation within the meaning of Article</w:t>
      </w:r>
      <w:r w:rsidR="00015C34" w:rsidRPr="00DA607A">
        <w:t> </w:t>
      </w:r>
      <w:r w:rsidR="00532FC3" w:rsidRPr="00DA607A">
        <w:t>13 (b) of the Hague Convention</w:t>
      </w:r>
      <w:r w:rsidR="00624BCD" w:rsidRPr="00DA607A">
        <w:t xml:space="preserve"> (see paragraphs 15, 17</w:t>
      </w:r>
      <w:r w:rsidR="00C43650" w:rsidRPr="00DA607A">
        <w:t>, 19</w:t>
      </w:r>
      <w:r w:rsidR="00B63D03" w:rsidRPr="00DA607A">
        <w:t xml:space="preserve"> and 22 </w:t>
      </w:r>
      <w:r w:rsidR="00624BCD" w:rsidRPr="00DA607A">
        <w:t>above)</w:t>
      </w:r>
      <w:r w:rsidR="00532FC3" w:rsidRPr="00DA607A">
        <w:t>.</w:t>
      </w:r>
    </w:p>
    <w:p w:rsidR="00532FC3" w:rsidRPr="00DA607A" w:rsidRDefault="00EE0166" w:rsidP="00DA607A">
      <w:pPr>
        <w:pStyle w:val="ECHRPara"/>
        <w:rPr>
          <w:i/>
          <w:lang w:val="en-GB"/>
        </w:rPr>
      </w:pPr>
      <w:r>
        <w:fldChar w:fldCharType="begin"/>
      </w:r>
      <w:r>
        <w:instrText xml:space="preserve"> SEQ level0 \*arabic </w:instrText>
      </w:r>
      <w:r>
        <w:fldChar w:fldCharType="separate"/>
      </w:r>
      <w:r w:rsidR="00DA607A" w:rsidRPr="00DA607A">
        <w:rPr>
          <w:noProof/>
        </w:rPr>
        <w:t>50</w:t>
      </w:r>
      <w:r>
        <w:rPr>
          <w:noProof/>
        </w:rPr>
        <w:fldChar w:fldCharType="end"/>
      </w:r>
      <w:r w:rsidR="00532FC3" w:rsidRPr="00DA607A">
        <w:t>.  The Court finds therefore that the events under consideration in the instant case, in so far as they give rise to the responsibility of the respondent State, amounted to an interference with the applicant</w:t>
      </w:r>
      <w:r w:rsidR="00DA607A" w:rsidRPr="00DA607A">
        <w:t>’</w:t>
      </w:r>
      <w:r w:rsidR="00532FC3" w:rsidRPr="00DA607A">
        <w:t>s right to respect for his family life (see</w:t>
      </w:r>
      <w:r w:rsidR="00007BA4" w:rsidRPr="00DA607A">
        <w:rPr>
          <w:i/>
        </w:rPr>
        <w:t xml:space="preserve"> K.J.</w:t>
      </w:r>
      <w:r w:rsidR="00007BA4" w:rsidRPr="00DA607A">
        <w:t xml:space="preserve"> </w:t>
      </w:r>
      <w:r w:rsidR="00007BA4" w:rsidRPr="00DA607A">
        <w:rPr>
          <w:i/>
        </w:rPr>
        <w:t>v. Poland</w:t>
      </w:r>
      <w:r w:rsidR="00007BA4" w:rsidRPr="00DA607A">
        <w:t>,</w:t>
      </w:r>
      <w:r w:rsidR="00C43650" w:rsidRPr="00DA607A">
        <w:t xml:space="preserve"> cited above</w:t>
      </w:r>
      <w:r w:rsidR="00C43650" w:rsidRPr="00DA607A">
        <w:rPr>
          <w:snapToGrid w:val="0"/>
        </w:rPr>
        <w:t>, § 55</w:t>
      </w:r>
      <w:r w:rsidR="002A0276" w:rsidRPr="00DA607A">
        <w:rPr>
          <w:snapToGrid w:val="0"/>
        </w:rPr>
        <w:t>,</w:t>
      </w:r>
      <w:r w:rsidR="00C43650" w:rsidRPr="00DA607A">
        <w:rPr>
          <w:snapToGrid w:val="0"/>
        </w:rPr>
        <w:t xml:space="preserve"> </w:t>
      </w:r>
      <w:r w:rsidR="00007BA4" w:rsidRPr="00DA607A">
        <w:t xml:space="preserve">and </w:t>
      </w:r>
      <w:r w:rsidR="00532FC3" w:rsidRPr="00DA607A">
        <w:rPr>
          <w:i/>
        </w:rPr>
        <w:t>Iosub Caras</w:t>
      </w:r>
      <w:r w:rsidR="00532FC3" w:rsidRPr="00DA607A">
        <w:t>, cited above, §</w:t>
      </w:r>
      <w:r w:rsidR="00B63D03" w:rsidRPr="00DA607A">
        <w:t> </w:t>
      </w:r>
      <w:r w:rsidR="00532FC3" w:rsidRPr="00DA607A">
        <w:t>30).</w:t>
      </w:r>
    </w:p>
    <w:p w:rsidR="00532FC3" w:rsidRPr="00DA607A" w:rsidRDefault="00EE0166" w:rsidP="00DA607A">
      <w:pPr>
        <w:pStyle w:val="ECHRPara"/>
        <w:rPr>
          <w:i/>
          <w:lang w:val="en-GB"/>
        </w:rPr>
      </w:pPr>
      <w:r>
        <w:fldChar w:fldCharType="begin"/>
      </w:r>
      <w:r>
        <w:instrText xml:space="preserve"> </w:instrText>
      </w:r>
      <w:r>
        <w:instrText xml:space="preserve">SEQ level0 \*arabic </w:instrText>
      </w:r>
      <w:r>
        <w:fldChar w:fldCharType="separate"/>
      </w:r>
      <w:r w:rsidR="00DA607A" w:rsidRPr="00DA607A">
        <w:rPr>
          <w:noProof/>
        </w:rPr>
        <w:t>51</w:t>
      </w:r>
      <w:r>
        <w:rPr>
          <w:noProof/>
        </w:rPr>
        <w:fldChar w:fldCharType="end"/>
      </w:r>
      <w:r w:rsidR="00532FC3" w:rsidRPr="00DA607A">
        <w:t>.  The Court also notes that this interference had its legal basis in the Hague Convention, which ente</w:t>
      </w:r>
      <w:r w:rsidR="003B6990" w:rsidRPr="00DA607A">
        <w:t>red into force in Poland in 1992</w:t>
      </w:r>
      <w:r w:rsidR="00532FC3" w:rsidRPr="00DA607A">
        <w:t xml:space="preserve"> and which forms part of its domestic law. Moreover, the domestic courts acted in what they considered to be pursuit of the legitimate aim of protecting the rights and freedoms of the child and h</w:t>
      </w:r>
      <w:r w:rsidR="005D3F13" w:rsidRPr="00DA607A">
        <w:t>is</w:t>
      </w:r>
      <w:r w:rsidR="00532FC3" w:rsidRPr="00DA607A">
        <w:t xml:space="preserve"> mother (see </w:t>
      </w:r>
      <w:r w:rsidR="0049248F" w:rsidRPr="00DA607A">
        <w:rPr>
          <w:i/>
        </w:rPr>
        <w:t>K.J.</w:t>
      </w:r>
      <w:r w:rsidR="0049248F" w:rsidRPr="00DA607A">
        <w:t xml:space="preserve"> </w:t>
      </w:r>
      <w:r w:rsidR="0049248F" w:rsidRPr="00DA607A">
        <w:rPr>
          <w:i/>
        </w:rPr>
        <w:t>v. Poland</w:t>
      </w:r>
      <w:r w:rsidR="0049248F" w:rsidRPr="00DA607A">
        <w:t>, cited above</w:t>
      </w:r>
      <w:r w:rsidR="0049248F" w:rsidRPr="00DA607A">
        <w:rPr>
          <w:snapToGrid w:val="0"/>
        </w:rPr>
        <w:t>, §</w:t>
      </w:r>
      <w:r w:rsidR="00033578" w:rsidRPr="00DA607A">
        <w:rPr>
          <w:snapToGrid w:val="0"/>
        </w:rPr>
        <w:t> </w:t>
      </w:r>
      <w:r w:rsidR="0049248F" w:rsidRPr="00DA607A">
        <w:rPr>
          <w:snapToGrid w:val="0"/>
        </w:rPr>
        <w:t>5</w:t>
      </w:r>
      <w:r w:rsidR="00B83446" w:rsidRPr="00DA607A">
        <w:rPr>
          <w:snapToGrid w:val="0"/>
        </w:rPr>
        <w:t>6;</w:t>
      </w:r>
      <w:r w:rsidR="0049248F" w:rsidRPr="00DA607A">
        <w:rPr>
          <w:snapToGrid w:val="0"/>
        </w:rPr>
        <w:t xml:space="preserve"> </w:t>
      </w:r>
      <w:r w:rsidR="00532FC3" w:rsidRPr="00DA607A">
        <w:rPr>
          <w:i/>
          <w:lang w:val="en-GB"/>
        </w:rPr>
        <w:t>Neulinger and Shuruk v. Switzerland</w:t>
      </w:r>
      <w:r w:rsidR="00532FC3" w:rsidRPr="00DA607A">
        <w:rPr>
          <w:lang w:val="en-GB"/>
        </w:rPr>
        <w:t xml:space="preserve"> [GC], no. 41615/07, §§</w:t>
      </w:r>
      <w:r w:rsidR="00B63D03" w:rsidRPr="00DA607A">
        <w:rPr>
          <w:lang w:val="en-GB"/>
        </w:rPr>
        <w:t> </w:t>
      </w:r>
      <w:r w:rsidR="00532FC3" w:rsidRPr="00DA607A">
        <w:rPr>
          <w:lang w:val="en-GB"/>
        </w:rPr>
        <w:t>99 and</w:t>
      </w:r>
      <w:r w:rsidR="00B63D03" w:rsidRPr="00DA607A">
        <w:rPr>
          <w:lang w:val="en-GB"/>
        </w:rPr>
        <w:t> </w:t>
      </w:r>
      <w:r w:rsidR="00532FC3" w:rsidRPr="00DA607A">
        <w:rPr>
          <w:lang w:val="en-GB"/>
        </w:rPr>
        <w:t>106, ECHR 2010</w:t>
      </w:r>
      <w:r w:rsidR="002A0276" w:rsidRPr="00DA607A">
        <w:rPr>
          <w:lang w:val="en-GB"/>
        </w:rPr>
        <w:t>;</w:t>
      </w:r>
      <w:r w:rsidR="00532FC3" w:rsidRPr="00DA607A">
        <w:rPr>
          <w:lang w:val="en-GB"/>
        </w:rPr>
        <w:t xml:space="preserve"> and, </w:t>
      </w:r>
      <w:r w:rsidR="00532FC3" w:rsidRPr="00DA607A">
        <w:rPr>
          <w:i/>
          <w:lang w:val="en-GB"/>
        </w:rPr>
        <w:t>mutatis mutandis</w:t>
      </w:r>
      <w:r w:rsidR="00532FC3" w:rsidRPr="00DA607A">
        <w:rPr>
          <w:lang w:val="en-GB"/>
        </w:rPr>
        <w:t xml:space="preserve">, </w:t>
      </w:r>
      <w:r w:rsidR="00532FC3" w:rsidRPr="00DA607A">
        <w:rPr>
          <w:i/>
          <w:lang w:val="en-GB"/>
        </w:rPr>
        <w:t>Maumousseau</w:t>
      </w:r>
      <w:r w:rsidR="00861B19" w:rsidRPr="00DA607A">
        <w:rPr>
          <w:i/>
          <w:lang w:val="en-GB"/>
        </w:rPr>
        <w:t xml:space="preserve"> and Washington</w:t>
      </w:r>
      <w:r w:rsidR="00532FC3" w:rsidRPr="00DA607A">
        <w:rPr>
          <w:lang w:val="en-GB"/>
        </w:rPr>
        <w:t>, cited above, § 61)</w:t>
      </w:r>
      <w:r w:rsidR="00532FC3" w:rsidRPr="00DA607A">
        <w:t>.</w:t>
      </w:r>
    </w:p>
    <w:p w:rsidR="00747CA5" w:rsidRPr="00DA607A" w:rsidRDefault="00EE0166" w:rsidP="00DA607A">
      <w:pPr>
        <w:pStyle w:val="ECHRPara"/>
      </w:pPr>
      <w:r>
        <w:fldChar w:fldCharType="begin"/>
      </w:r>
      <w:r>
        <w:instrText xml:space="preserve"> SEQ level0 \*arabic </w:instrText>
      </w:r>
      <w:r>
        <w:fldChar w:fldCharType="separate"/>
      </w:r>
      <w:r w:rsidR="00DA607A" w:rsidRPr="00DA607A">
        <w:rPr>
          <w:noProof/>
        </w:rPr>
        <w:t>52</w:t>
      </w:r>
      <w:r>
        <w:rPr>
          <w:noProof/>
        </w:rPr>
        <w:fldChar w:fldCharType="end"/>
      </w:r>
      <w:r w:rsidR="00532FC3" w:rsidRPr="00DA607A">
        <w:t>.  The Court must therefore determine whether the interference in question was “necessary in a democratic society” within the meaning of Article 8 § 2 of the Convention, interpreted in the light of the relevant international instruments, and whether when striking the balance between the competing interests at stake appropriate weight was given to the child</w:t>
      </w:r>
      <w:r w:rsidR="00DA607A" w:rsidRPr="00DA607A">
        <w:rPr>
          <w:rFonts w:ascii="Times New Roman" w:hAnsi="Times New Roman" w:cs="Times New Roman"/>
        </w:rPr>
        <w:t>’</w:t>
      </w:r>
      <w:r w:rsidR="00532FC3" w:rsidRPr="00DA607A">
        <w:t>s best interests, within the margin of appreciation afforded to the State in such matters.</w:t>
      </w:r>
    </w:p>
    <w:p w:rsidR="00A06729" w:rsidRPr="00DA607A" w:rsidRDefault="00EE0166" w:rsidP="00DA607A">
      <w:pPr>
        <w:pStyle w:val="ECHRPara"/>
      </w:pPr>
      <w:r>
        <w:fldChar w:fldCharType="begin"/>
      </w:r>
      <w:r>
        <w:instrText xml:space="preserve"> SEQ level0 \*arabic </w:instrText>
      </w:r>
      <w:r>
        <w:fldChar w:fldCharType="separate"/>
      </w:r>
      <w:r w:rsidR="00DA607A" w:rsidRPr="00DA607A">
        <w:rPr>
          <w:noProof/>
        </w:rPr>
        <w:t>53</w:t>
      </w:r>
      <w:r>
        <w:rPr>
          <w:noProof/>
        </w:rPr>
        <w:fldChar w:fldCharType="end"/>
      </w:r>
      <w:r w:rsidR="00532FC3" w:rsidRPr="00DA607A">
        <w:t>.  The Court observes that</w:t>
      </w:r>
      <w:r w:rsidR="00072AC1" w:rsidRPr="00DA607A">
        <w:t xml:space="preserve">, as explicitly conceded by </w:t>
      </w:r>
      <w:r w:rsidR="0039728F" w:rsidRPr="00DA607A">
        <w:t>the Government (see paragraph 45</w:t>
      </w:r>
      <w:r w:rsidR="00072AC1" w:rsidRPr="00DA607A">
        <w:t xml:space="preserve"> above),</w:t>
      </w:r>
      <w:r w:rsidR="00532FC3" w:rsidRPr="00DA607A">
        <w:t xml:space="preserve"> the assessment of the child</w:t>
      </w:r>
      <w:r w:rsidR="00DA607A" w:rsidRPr="00DA607A">
        <w:t>’</w:t>
      </w:r>
      <w:r w:rsidR="00532FC3" w:rsidRPr="00DA607A">
        <w:t>s best interests carried out by the Polish family courts in the course of the applicant</w:t>
      </w:r>
      <w:r w:rsidR="00DA607A" w:rsidRPr="00DA607A">
        <w:t>’</w:t>
      </w:r>
      <w:r w:rsidR="00532FC3" w:rsidRPr="00DA607A">
        <w:t xml:space="preserve">s Hague Convention proceedings revolved </w:t>
      </w:r>
      <w:r w:rsidR="005D3F13" w:rsidRPr="00DA607A">
        <w:t xml:space="preserve">around the </w:t>
      </w:r>
      <w:r w:rsidR="00072AC1" w:rsidRPr="00DA607A">
        <w:t xml:space="preserve">in-depth </w:t>
      </w:r>
      <w:r w:rsidR="00C32DF1" w:rsidRPr="00DA607A">
        <w:t>comparison of the</w:t>
      </w:r>
      <w:r w:rsidR="005D3F13" w:rsidRPr="00DA607A">
        <w:t xml:space="preserve"> living </w:t>
      </w:r>
      <w:r w:rsidR="00685C92" w:rsidRPr="00DA607A">
        <w:t>conditions</w:t>
      </w:r>
      <w:r w:rsidR="005D3F13" w:rsidRPr="00DA607A">
        <w:t xml:space="preserve"> of the applicant and E.N.</w:t>
      </w:r>
      <w:r w:rsidR="00B83446" w:rsidRPr="00DA607A">
        <w:t xml:space="preserve"> </w:t>
      </w:r>
      <w:r w:rsidR="00C43650" w:rsidRPr="00DA607A">
        <w:t>The ruling</w:t>
      </w:r>
      <w:r w:rsidR="007C76F9" w:rsidRPr="00DA607A">
        <w:t xml:space="preserve"> </w:t>
      </w:r>
      <w:r w:rsidR="00B75AEA" w:rsidRPr="00DA607A">
        <w:t xml:space="preserve">was </w:t>
      </w:r>
      <w:r w:rsidR="00C43650" w:rsidRPr="00DA607A">
        <w:t xml:space="preserve">also </w:t>
      </w:r>
      <w:r w:rsidR="00B75AEA" w:rsidRPr="00DA607A">
        <w:t>based on the assumptions that the child, if returned to Canada, would have to be separated from his mother, would be placed in the applicant</w:t>
      </w:r>
      <w:r w:rsidR="00DA607A" w:rsidRPr="00DA607A">
        <w:t>’</w:t>
      </w:r>
      <w:r w:rsidR="00C524B7" w:rsidRPr="00DA607A">
        <w:t xml:space="preserve">s custody or care and </w:t>
      </w:r>
      <w:r w:rsidR="00B75AEA" w:rsidRPr="00DA607A">
        <w:t>that the boy</w:t>
      </w:r>
      <w:r w:rsidR="00DA607A" w:rsidRPr="00DA607A">
        <w:t>’</w:t>
      </w:r>
      <w:r w:rsidR="00B75AEA" w:rsidRPr="00DA607A">
        <w:t xml:space="preserve">s contact with his mother would not be </w:t>
      </w:r>
      <w:r w:rsidR="005F5309" w:rsidRPr="00DA607A">
        <w:t>guaranteed</w:t>
      </w:r>
      <w:r w:rsidR="00B75AEA" w:rsidRPr="00DA607A">
        <w:t xml:space="preserve"> </w:t>
      </w:r>
      <w:r w:rsidR="00B83446" w:rsidRPr="00DA607A">
        <w:t xml:space="preserve">(see paragraphs </w:t>
      </w:r>
      <w:r w:rsidR="00624BCD" w:rsidRPr="00DA607A">
        <w:t>12, 16, 17 and 22</w:t>
      </w:r>
      <w:r w:rsidR="00B83446" w:rsidRPr="00DA607A">
        <w:t xml:space="preserve"> above).</w:t>
      </w:r>
    </w:p>
    <w:p w:rsidR="00A06729" w:rsidRPr="00DA607A" w:rsidRDefault="00EE0166" w:rsidP="00DA607A">
      <w:pPr>
        <w:pStyle w:val="ECHRPara"/>
      </w:pPr>
      <w:r>
        <w:fldChar w:fldCharType="begin"/>
      </w:r>
      <w:r>
        <w:instrText xml:space="preserve"> SEQ level0 \*arabic </w:instrText>
      </w:r>
      <w:r>
        <w:fldChar w:fldCharType="separate"/>
      </w:r>
      <w:r w:rsidR="00DA607A" w:rsidRPr="00DA607A">
        <w:rPr>
          <w:noProof/>
        </w:rPr>
        <w:t>54</w:t>
      </w:r>
      <w:r>
        <w:rPr>
          <w:noProof/>
        </w:rPr>
        <w:fldChar w:fldCharType="end"/>
      </w:r>
      <w:r w:rsidR="00CD460F" w:rsidRPr="00DA607A">
        <w:t>.  </w:t>
      </w:r>
      <w:r w:rsidR="005F5309" w:rsidRPr="00DA607A">
        <w:t xml:space="preserve">Indeed, the </w:t>
      </w:r>
      <w:r w:rsidR="00B75AEA" w:rsidRPr="00DA607A">
        <w:t xml:space="preserve">Court cannot fail to </w:t>
      </w:r>
      <w:r w:rsidR="00685C92" w:rsidRPr="00DA607A">
        <w:t>note</w:t>
      </w:r>
      <w:r w:rsidR="00CD460F" w:rsidRPr="00DA607A">
        <w:t xml:space="preserve"> that the </w:t>
      </w:r>
      <w:r w:rsidR="005F5309" w:rsidRPr="00DA607A">
        <w:t xml:space="preserve">Ontario </w:t>
      </w:r>
      <w:r w:rsidR="00CD460F" w:rsidRPr="00DA607A">
        <w:t xml:space="preserve">Superior Court granted custody </w:t>
      </w:r>
      <w:r w:rsidR="00685C92" w:rsidRPr="00DA607A">
        <w:t>of</w:t>
      </w:r>
      <w:r w:rsidR="00CD460F" w:rsidRPr="00DA607A">
        <w:t xml:space="preserve"> the child to the applicant</w:t>
      </w:r>
      <w:r w:rsidR="00921720" w:rsidRPr="00DA607A">
        <w:t xml:space="preserve"> – </w:t>
      </w:r>
      <w:r w:rsidR="00CD460F" w:rsidRPr="00DA607A">
        <w:t>on 27</w:t>
      </w:r>
      <w:r w:rsidR="00B75AEA" w:rsidRPr="00DA607A">
        <w:t> </w:t>
      </w:r>
      <w:r w:rsidR="00CD460F" w:rsidRPr="00DA607A">
        <w:t>October</w:t>
      </w:r>
      <w:r w:rsidR="00B75AEA" w:rsidRPr="00DA607A">
        <w:t> </w:t>
      </w:r>
      <w:r w:rsidR="00CD460F" w:rsidRPr="00DA607A">
        <w:t xml:space="preserve">2011, by means of a temporary order and on </w:t>
      </w:r>
      <w:r w:rsidR="00CD460F" w:rsidRPr="00DA607A">
        <w:rPr>
          <w:lang w:val="en-GB"/>
        </w:rPr>
        <w:t>11</w:t>
      </w:r>
      <w:r w:rsidR="00B75AEA" w:rsidRPr="00DA607A">
        <w:rPr>
          <w:lang w:val="en-GB"/>
        </w:rPr>
        <w:t> </w:t>
      </w:r>
      <w:r w:rsidR="00CD460F" w:rsidRPr="00DA607A">
        <w:rPr>
          <w:lang w:val="en-GB"/>
        </w:rPr>
        <w:t>September</w:t>
      </w:r>
      <w:r w:rsidR="00B75AEA" w:rsidRPr="00DA607A">
        <w:rPr>
          <w:lang w:val="en-GB"/>
        </w:rPr>
        <w:t> </w:t>
      </w:r>
      <w:r w:rsidR="00CD460F" w:rsidRPr="00DA607A">
        <w:rPr>
          <w:lang w:val="en-GB"/>
        </w:rPr>
        <w:t>2012, by means of a final order</w:t>
      </w:r>
      <w:r w:rsidR="00B75AEA" w:rsidRPr="00DA607A">
        <w:rPr>
          <w:lang w:val="en-GB"/>
        </w:rPr>
        <w:t>.</w:t>
      </w:r>
      <w:r w:rsidR="00CD460F" w:rsidRPr="00DA607A">
        <w:rPr>
          <w:lang w:val="en-GB"/>
        </w:rPr>
        <w:t xml:space="preserve"> </w:t>
      </w:r>
      <w:r w:rsidR="00967A8C" w:rsidRPr="00DA607A">
        <w:t>The</w:t>
      </w:r>
      <w:r w:rsidR="006B616C" w:rsidRPr="00DA607A">
        <w:t xml:space="preserve"> former</w:t>
      </w:r>
      <w:r w:rsidR="00967A8C" w:rsidRPr="00DA607A">
        <w:t xml:space="preserve"> decision also </w:t>
      </w:r>
      <w:r w:rsidR="00967A8C" w:rsidRPr="00DA607A">
        <w:rPr>
          <w:lang w:val="en-GB"/>
        </w:rPr>
        <w:t>authorised</w:t>
      </w:r>
      <w:r w:rsidR="00967A8C" w:rsidRPr="00DA607A">
        <w:t xml:space="preserve"> </w:t>
      </w:r>
      <w:r w:rsidR="00967A8C" w:rsidRPr="00DA607A">
        <w:rPr>
          <w:lang w:val="en-GB"/>
        </w:rPr>
        <w:t xml:space="preserve">the applicant </w:t>
      </w:r>
      <w:r w:rsidR="00CD460F" w:rsidRPr="00DA607A">
        <w:rPr>
          <w:lang w:val="en-GB"/>
        </w:rPr>
        <w:t xml:space="preserve">and the </w:t>
      </w:r>
      <w:r w:rsidR="00B75AEA" w:rsidRPr="00DA607A">
        <w:rPr>
          <w:lang w:val="en-GB"/>
        </w:rPr>
        <w:t xml:space="preserve">Canadian </w:t>
      </w:r>
      <w:r w:rsidR="00685C92" w:rsidRPr="00DA607A">
        <w:rPr>
          <w:lang w:val="en-GB"/>
        </w:rPr>
        <w:t>law-</w:t>
      </w:r>
      <w:r w:rsidR="00CD460F" w:rsidRPr="00DA607A">
        <w:rPr>
          <w:lang w:val="en-GB"/>
        </w:rPr>
        <w:t xml:space="preserve">enforcement authorities to apprehend the child </w:t>
      </w:r>
      <w:r w:rsidR="00967A8C" w:rsidRPr="00DA607A">
        <w:rPr>
          <w:lang w:val="en-GB"/>
        </w:rPr>
        <w:t>(see paragraphs 34 and 36 above)</w:t>
      </w:r>
      <w:r w:rsidR="00967A8C" w:rsidRPr="00DA607A">
        <w:t>.</w:t>
      </w:r>
    </w:p>
    <w:p w:rsidR="00A06729" w:rsidRPr="00DA607A" w:rsidRDefault="00EE0166" w:rsidP="00DA607A">
      <w:pPr>
        <w:pStyle w:val="ECHRPara"/>
      </w:pPr>
      <w:r>
        <w:fldChar w:fldCharType="begin"/>
      </w:r>
      <w:r>
        <w:instrText xml:space="preserve"> SEQ level0 \*arabic </w:instrText>
      </w:r>
      <w:r>
        <w:fldChar w:fldCharType="separate"/>
      </w:r>
      <w:r w:rsidR="00DA607A" w:rsidRPr="00DA607A">
        <w:rPr>
          <w:noProof/>
        </w:rPr>
        <w:t>55</w:t>
      </w:r>
      <w:r>
        <w:rPr>
          <w:noProof/>
        </w:rPr>
        <w:fldChar w:fldCharType="end"/>
      </w:r>
      <w:r w:rsidR="005B45E9" w:rsidRPr="00DA607A">
        <w:t>.  </w:t>
      </w:r>
      <w:r w:rsidR="008A14DD" w:rsidRPr="00DA607A">
        <w:t>The Court cannot speculate</w:t>
      </w:r>
      <w:r w:rsidR="005B45E9" w:rsidRPr="00DA607A">
        <w:t>, however</w:t>
      </w:r>
      <w:r w:rsidR="00685C92" w:rsidRPr="00DA607A">
        <w:t>,</w:t>
      </w:r>
      <w:r w:rsidR="007C76F9" w:rsidRPr="00DA607A">
        <w:t xml:space="preserve"> on the practical consequences which th</w:t>
      </w:r>
      <w:r w:rsidR="006B616C" w:rsidRPr="00DA607A">
        <w:t>e</w:t>
      </w:r>
      <w:r w:rsidR="007C76F9" w:rsidRPr="00DA607A">
        <w:t>se decisions might have produced at any given moment if the child had returned to Canada with E.N.</w:t>
      </w:r>
      <w:r w:rsidR="00765F91" w:rsidRPr="00DA607A">
        <w:t xml:space="preserve"> </w:t>
      </w:r>
      <w:r w:rsidR="006B616C" w:rsidRPr="00DA607A">
        <w:t xml:space="preserve">The parties did not elaborate on this issue in </w:t>
      </w:r>
      <w:r w:rsidR="00C43650" w:rsidRPr="00DA607A">
        <w:t xml:space="preserve">the course of the impugned domestic proceedings or in </w:t>
      </w:r>
      <w:r w:rsidR="006B616C" w:rsidRPr="00DA607A">
        <w:t xml:space="preserve">their submissions to the Court. </w:t>
      </w:r>
      <w:r w:rsidR="00BB6130" w:rsidRPr="00DA607A">
        <w:t>I</w:t>
      </w:r>
      <w:r w:rsidR="007C76F9" w:rsidRPr="00DA607A">
        <w:t xml:space="preserve">n any event, </w:t>
      </w:r>
      <w:r w:rsidR="00765F91" w:rsidRPr="00DA607A">
        <w:t>t</w:t>
      </w:r>
      <w:r w:rsidR="00967A8C" w:rsidRPr="00DA607A">
        <w:rPr>
          <w:lang w:val="en-GB"/>
        </w:rPr>
        <w:t xml:space="preserve">he Polish </w:t>
      </w:r>
      <w:r w:rsidR="00CD460F" w:rsidRPr="00DA607A">
        <w:rPr>
          <w:lang w:val="en-GB"/>
        </w:rPr>
        <w:t>family court</w:t>
      </w:r>
      <w:r w:rsidR="005F2552" w:rsidRPr="00DA607A">
        <w:rPr>
          <w:lang w:val="en-GB"/>
        </w:rPr>
        <w:t xml:space="preserve"> of the first instance explicitly</w:t>
      </w:r>
      <w:r w:rsidR="00CD460F" w:rsidRPr="00DA607A">
        <w:rPr>
          <w:lang w:val="en-GB"/>
        </w:rPr>
        <w:t xml:space="preserve"> decided</w:t>
      </w:r>
      <w:r w:rsidR="006B616C" w:rsidRPr="00DA607A">
        <w:rPr>
          <w:lang w:val="en-GB"/>
        </w:rPr>
        <w:t xml:space="preserve"> </w:t>
      </w:r>
      <w:r w:rsidR="00CD460F" w:rsidRPr="00DA607A">
        <w:rPr>
          <w:lang w:val="en-GB"/>
        </w:rPr>
        <w:t>to disregard the</w:t>
      </w:r>
      <w:r w:rsidR="00967A8C" w:rsidRPr="00DA607A">
        <w:rPr>
          <w:lang w:val="en-GB"/>
        </w:rPr>
        <w:t xml:space="preserve"> </w:t>
      </w:r>
      <w:r w:rsidR="00765F91" w:rsidRPr="00DA607A">
        <w:rPr>
          <w:lang w:val="en-GB"/>
        </w:rPr>
        <w:t>Canadian</w:t>
      </w:r>
      <w:r w:rsidR="00BB6130" w:rsidRPr="00DA607A">
        <w:rPr>
          <w:lang w:val="en-GB"/>
        </w:rPr>
        <w:t xml:space="preserve"> court</w:t>
      </w:r>
      <w:r w:rsidR="00CD460F" w:rsidRPr="00DA607A">
        <w:rPr>
          <w:lang w:val="en-GB"/>
        </w:rPr>
        <w:t xml:space="preserve"> orders </w:t>
      </w:r>
      <w:r w:rsidR="00967A8C" w:rsidRPr="00DA607A">
        <w:rPr>
          <w:lang w:val="en-GB"/>
        </w:rPr>
        <w:t>along with</w:t>
      </w:r>
      <w:r w:rsidR="006B616C" w:rsidRPr="00DA607A">
        <w:rPr>
          <w:lang w:val="en-GB"/>
        </w:rPr>
        <w:t xml:space="preserve"> a similar order on the child</w:t>
      </w:r>
      <w:r w:rsidR="00DA607A" w:rsidRPr="00DA607A">
        <w:rPr>
          <w:lang w:val="en-GB"/>
        </w:rPr>
        <w:t>’</w:t>
      </w:r>
      <w:r w:rsidR="006B616C" w:rsidRPr="00DA607A">
        <w:rPr>
          <w:lang w:val="en-GB"/>
        </w:rPr>
        <w:t>s residence</w:t>
      </w:r>
      <w:r w:rsidR="00CD460F" w:rsidRPr="00DA607A">
        <w:rPr>
          <w:lang w:val="en-GB"/>
        </w:rPr>
        <w:t xml:space="preserve"> issue</w:t>
      </w:r>
      <w:r w:rsidR="006B616C" w:rsidRPr="00DA607A">
        <w:rPr>
          <w:lang w:val="en-GB"/>
        </w:rPr>
        <w:t>d in parallel in the course of the Polish divorce proceedings</w:t>
      </w:r>
      <w:r w:rsidR="00CD460F" w:rsidRPr="00DA607A">
        <w:rPr>
          <w:lang w:val="en-GB"/>
        </w:rPr>
        <w:t xml:space="preserve"> (see paragraph 15</w:t>
      </w:r>
      <w:r w:rsidR="006B616C" w:rsidRPr="00DA607A">
        <w:rPr>
          <w:lang w:val="en-GB"/>
        </w:rPr>
        <w:t xml:space="preserve"> </w:t>
      </w:r>
      <w:r w:rsidR="00CD460F" w:rsidRPr="00DA607A">
        <w:rPr>
          <w:lang w:val="en-GB"/>
        </w:rPr>
        <w:t>above</w:t>
      </w:r>
      <w:r w:rsidR="006B616C" w:rsidRPr="00DA607A">
        <w:rPr>
          <w:lang w:val="en-GB"/>
        </w:rPr>
        <w:t>)</w:t>
      </w:r>
      <w:r w:rsidR="005F2552" w:rsidRPr="00DA607A">
        <w:rPr>
          <w:lang w:val="en-GB"/>
        </w:rPr>
        <w:t xml:space="preserve"> and the court of the second-instance did not elaborate on the existence of the above-mentioned </w:t>
      </w:r>
      <w:r w:rsidR="00173770" w:rsidRPr="00DA607A">
        <w:rPr>
          <w:lang w:val="en-GB"/>
        </w:rPr>
        <w:t>decisions</w:t>
      </w:r>
      <w:r w:rsidR="005F2552" w:rsidRPr="00DA607A">
        <w:rPr>
          <w:lang w:val="en-GB"/>
        </w:rPr>
        <w:t xml:space="preserve"> any further (see paragraphs 20-22 above)</w:t>
      </w:r>
      <w:r w:rsidR="006B616C" w:rsidRPr="00DA607A">
        <w:rPr>
          <w:lang w:val="en-GB"/>
        </w:rPr>
        <w:t>.</w:t>
      </w:r>
    </w:p>
    <w:p w:rsidR="00CD460F" w:rsidRPr="00DA607A" w:rsidRDefault="00EE0166" w:rsidP="00DA607A">
      <w:pPr>
        <w:pStyle w:val="ECHRPara"/>
        <w:rPr>
          <w:lang w:val="en-GB"/>
        </w:rPr>
      </w:pPr>
      <w:r>
        <w:fldChar w:fldCharType="begin"/>
      </w:r>
      <w:r>
        <w:instrText xml:space="preserve"> SEQ level0 \*arabic </w:instrText>
      </w:r>
      <w:r>
        <w:fldChar w:fldCharType="separate"/>
      </w:r>
      <w:r w:rsidR="00DA607A" w:rsidRPr="00DA607A">
        <w:rPr>
          <w:noProof/>
        </w:rPr>
        <w:t>56</w:t>
      </w:r>
      <w:r>
        <w:rPr>
          <w:noProof/>
        </w:rPr>
        <w:fldChar w:fldCharType="end"/>
      </w:r>
      <w:r w:rsidR="005F2552" w:rsidRPr="00DA607A">
        <w:t>.</w:t>
      </w:r>
      <w:r w:rsidR="00173770" w:rsidRPr="00DA607A">
        <w:t xml:space="preserve"> </w:t>
      </w:r>
      <w:r w:rsidR="005B45E9" w:rsidRPr="00DA607A">
        <w:rPr>
          <w:lang w:val="en-GB"/>
        </w:rPr>
        <w:t xml:space="preserve">The </w:t>
      </w:r>
      <w:r w:rsidR="00A42B5E" w:rsidRPr="00DA607A">
        <w:rPr>
          <w:lang w:val="en-GB"/>
        </w:rPr>
        <w:t xml:space="preserve">Polish </w:t>
      </w:r>
      <w:r w:rsidR="00A06729" w:rsidRPr="00DA607A">
        <w:rPr>
          <w:lang w:val="en-GB"/>
        </w:rPr>
        <w:t xml:space="preserve">family </w:t>
      </w:r>
      <w:r w:rsidR="007E6A38" w:rsidRPr="00DA607A">
        <w:rPr>
          <w:lang w:val="en-GB"/>
        </w:rPr>
        <w:t xml:space="preserve">court </w:t>
      </w:r>
      <w:r w:rsidR="00E62D8A" w:rsidRPr="00DA607A">
        <w:rPr>
          <w:lang w:val="en-GB"/>
        </w:rPr>
        <w:t>ultimately</w:t>
      </w:r>
      <w:r w:rsidR="005B45E9" w:rsidRPr="00DA607A">
        <w:rPr>
          <w:lang w:val="en-GB"/>
        </w:rPr>
        <w:t xml:space="preserve"> </w:t>
      </w:r>
      <w:r w:rsidR="00063DBB" w:rsidRPr="00DA607A">
        <w:rPr>
          <w:lang w:val="en-GB"/>
        </w:rPr>
        <w:t xml:space="preserve">examined the case </w:t>
      </w:r>
      <w:r w:rsidR="00404DA1" w:rsidRPr="00DA607A">
        <w:rPr>
          <w:lang w:val="en-GB"/>
        </w:rPr>
        <w:t>on the basis</w:t>
      </w:r>
      <w:r w:rsidR="00A42B5E" w:rsidRPr="00DA607A">
        <w:rPr>
          <w:lang w:val="en-GB"/>
        </w:rPr>
        <w:t xml:space="preserve"> </w:t>
      </w:r>
      <w:r w:rsidR="00063DBB" w:rsidRPr="00DA607A">
        <w:rPr>
          <w:lang w:val="en-GB"/>
        </w:rPr>
        <w:t>o</w:t>
      </w:r>
      <w:r w:rsidR="00404DA1" w:rsidRPr="00DA607A">
        <w:rPr>
          <w:lang w:val="en-GB"/>
        </w:rPr>
        <w:t>f those</w:t>
      </w:r>
      <w:r w:rsidR="00063DBB" w:rsidRPr="00DA607A">
        <w:rPr>
          <w:lang w:val="en-GB"/>
        </w:rPr>
        <w:t xml:space="preserve"> assumptions as discussed above</w:t>
      </w:r>
      <w:r w:rsidR="00063DBB" w:rsidRPr="00DA607A">
        <w:t>.</w:t>
      </w:r>
    </w:p>
    <w:p w:rsidR="00C32DF1" w:rsidRPr="00DA607A" w:rsidRDefault="00EE0166" w:rsidP="00DA607A">
      <w:pPr>
        <w:pStyle w:val="ECHRPara"/>
        <w:rPr>
          <w:lang w:val="en-GB"/>
        </w:rPr>
      </w:pPr>
      <w:r>
        <w:fldChar w:fldCharType="begin"/>
      </w:r>
      <w:r>
        <w:instrText xml:space="preserve"> SEQ level0 \*arabic </w:instrText>
      </w:r>
      <w:r>
        <w:fldChar w:fldCharType="separate"/>
      </w:r>
      <w:r w:rsidR="00DA607A" w:rsidRPr="00DA607A">
        <w:rPr>
          <w:noProof/>
        </w:rPr>
        <w:t>57</w:t>
      </w:r>
      <w:r>
        <w:rPr>
          <w:noProof/>
        </w:rPr>
        <w:fldChar w:fldCharType="end"/>
      </w:r>
      <w:r w:rsidR="00C32DF1" w:rsidRPr="00DA607A">
        <w:t>. </w:t>
      </w:r>
      <w:r w:rsidR="00FC1753" w:rsidRPr="00DA607A">
        <w:t xml:space="preserve"> </w:t>
      </w:r>
      <w:r w:rsidR="009F5606" w:rsidRPr="00DA607A">
        <w:t>In particular</w:t>
      </w:r>
      <w:r w:rsidR="00FC1753" w:rsidRPr="00DA607A">
        <w:t>, t</w:t>
      </w:r>
      <w:r w:rsidR="00C32DF1" w:rsidRPr="00DA607A">
        <w:rPr>
          <w:lang w:val="en-GB"/>
        </w:rPr>
        <w:t>he conclusion of the RODK expert</w:t>
      </w:r>
      <w:r w:rsidR="00A06729" w:rsidRPr="00DA607A">
        <w:rPr>
          <w:lang w:val="en-GB"/>
        </w:rPr>
        <w:t>s</w:t>
      </w:r>
      <w:r w:rsidR="00DA607A" w:rsidRPr="00DA607A">
        <w:rPr>
          <w:lang w:val="en-GB"/>
        </w:rPr>
        <w:t>’</w:t>
      </w:r>
      <w:r w:rsidR="00C32DF1" w:rsidRPr="00DA607A">
        <w:rPr>
          <w:lang w:val="en-GB"/>
        </w:rPr>
        <w:t xml:space="preserve"> report explicitly </w:t>
      </w:r>
      <w:r w:rsidR="00BB6130" w:rsidRPr="00DA607A">
        <w:rPr>
          <w:lang w:val="en-GB"/>
        </w:rPr>
        <w:t xml:space="preserve">stated </w:t>
      </w:r>
      <w:r w:rsidR="00C32DF1" w:rsidRPr="00DA607A">
        <w:rPr>
          <w:lang w:val="en-GB"/>
        </w:rPr>
        <w:t>that “the child</w:t>
      </w:r>
      <w:r w:rsidR="00DA607A" w:rsidRPr="00DA607A">
        <w:rPr>
          <w:lang w:val="en-GB"/>
        </w:rPr>
        <w:t>’</w:t>
      </w:r>
      <w:r w:rsidR="00C32DF1" w:rsidRPr="00DA607A">
        <w:rPr>
          <w:lang w:val="en-GB"/>
        </w:rPr>
        <w:t>s separation from the mother would disturb his sense of security and life stability” and would have adverse effects on the boy</w:t>
      </w:r>
      <w:r w:rsidR="00DA607A" w:rsidRPr="00DA607A">
        <w:rPr>
          <w:lang w:val="en-GB"/>
        </w:rPr>
        <w:t>’</w:t>
      </w:r>
      <w:r w:rsidR="00C32DF1" w:rsidRPr="00DA607A">
        <w:rPr>
          <w:lang w:val="en-GB"/>
        </w:rPr>
        <w:t xml:space="preserve">s psychological development. </w:t>
      </w:r>
      <w:r w:rsidR="00DA55CA" w:rsidRPr="00DA607A">
        <w:rPr>
          <w:lang w:val="en-GB"/>
        </w:rPr>
        <w:t xml:space="preserve">It also </w:t>
      </w:r>
      <w:r w:rsidR="00BB6130" w:rsidRPr="00DA607A">
        <w:rPr>
          <w:lang w:val="en-GB"/>
        </w:rPr>
        <w:t xml:space="preserve">noted </w:t>
      </w:r>
      <w:r w:rsidR="00DA55CA" w:rsidRPr="00DA607A">
        <w:rPr>
          <w:lang w:val="en-GB"/>
        </w:rPr>
        <w:t>that</w:t>
      </w:r>
      <w:r w:rsidR="00C32DF1" w:rsidRPr="00DA607A">
        <w:rPr>
          <w:lang w:val="en-GB"/>
        </w:rPr>
        <w:t xml:space="preserve"> </w:t>
      </w:r>
      <w:r w:rsidR="00DA55CA" w:rsidRPr="00DA607A">
        <w:rPr>
          <w:lang w:val="en-GB"/>
        </w:rPr>
        <w:t>“</w:t>
      </w:r>
      <w:r w:rsidR="00C32DF1" w:rsidRPr="00DA607A">
        <w:rPr>
          <w:lang w:val="en-GB"/>
        </w:rPr>
        <w:t xml:space="preserve">moving the child </w:t>
      </w:r>
      <w:r w:rsidR="005F5309" w:rsidRPr="00DA607A">
        <w:rPr>
          <w:lang w:val="en-GB"/>
        </w:rPr>
        <w:t xml:space="preserve">to </w:t>
      </w:r>
      <w:r w:rsidR="00C32DF1" w:rsidRPr="00DA607A">
        <w:rPr>
          <w:lang w:val="en-GB"/>
        </w:rPr>
        <w:t>his father</w:t>
      </w:r>
      <w:r w:rsidR="00DA607A" w:rsidRPr="00DA607A">
        <w:rPr>
          <w:lang w:val="en-GB"/>
        </w:rPr>
        <w:t>’</w:t>
      </w:r>
      <w:r w:rsidR="00C32DF1" w:rsidRPr="00DA607A">
        <w:rPr>
          <w:lang w:val="en-GB"/>
        </w:rPr>
        <w:t>s care</w:t>
      </w:r>
      <w:r w:rsidR="00DA55CA" w:rsidRPr="00DA607A">
        <w:rPr>
          <w:lang w:val="en-GB"/>
        </w:rPr>
        <w:t>”</w:t>
      </w:r>
      <w:r w:rsidR="00C32DF1" w:rsidRPr="00DA607A">
        <w:rPr>
          <w:lang w:val="en-GB"/>
        </w:rPr>
        <w:t xml:space="preserve"> </w:t>
      </w:r>
      <w:r w:rsidR="00BB6130" w:rsidRPr="00DA607A">
        <w:rPr>
          <w:lang w:val="en-GB"/>
        </w:rPr>
        <w:t>[</w:t>
      </w:r>
      <w:r w:rsidR="00C32DF1" w:rsidRPr="00DA607A">
        <w:rPr>
          <w:lang w:val="en-GB"/>
        </w:rPr>
        <w:t>pose</w:t>
      </w:r>
      <w:r w:rsidR="00BB6130" w:rsidRPr="00DA607A">
        <w:rPr>
          <w:lang w:val="en-GB"/>
        </w:rPr>
        <w:t>d]</w:t>
      </w:r>
      <w:r w:rsidR="00C32DF1" w:rsidRPr="00DA607A">
        <w:rPr>
          <w:lang w:val="en-GB"/>
        </w:rPr>
        <w:t xml:space="preserve"> a grave risk to</w:t>
      </w:r>
      <w:r w:rsidR="00DA55CA" w:rsidRPr="00DA607A">
        <w:rPr>
          <w:lang w:val="en-GB"/>
        </w:rPr>
        <w:t xml:space="preserve"> the boy</w:t>
      </w:r>
      <w:r w:rsidR="00DA607A" w:rsidRPr="00DA607A">
        <w:rPr>
          <w:lang w:val="en-GB"/>
        </w:rPr>
        <w:t>’</w:t>
      </w:r>
      <w:r w:rsidR="00DA55CA" w:rsidRPr="00DA607A">
        <w:rPr>
          <w:lang w:val="en-GB"/>
        </w:rPr>
        <w:t>s emotional and</w:t>
      </w:r>
      <w:r w:rsidR="00C32DF1" w:rsidRPr="00DA607A">
        <w:rPr>
          <w:lang w:val="en-GB"/>
        </w:rPr>
        <w:t xml:space="preserve"> social development, </w:t>
      </w:r>
      <w:r w:rsidR="00DA55CA" w:rsidRPr="00DA607A">
        <w:rPr>
          <w:lang w:val="en-GB"/>
        </w:rPr>
        <w:t>and</w:t>
      </w:r>
      <w:r w:rsidR="00C32DF1" w:rsidRPr="00DA607A">
        <w:rPr>
          <w:lang w:val="en-GB"/>
        </w:rPr>
        <w:t xml:space="preserve"> could cause a situation which </w:t>
      </w:r>
      <w:r w:rsidR="00DA55CA" w:rsidRPr="00DA607A">
        <w:rPr>
          <w:lang w:val="en-GB"/>
        </w:rPr>
        <w:t>would be</w:t>
      </w:r>
      <w:r w:rsidR="00C32DF1" w:rsidRPr="00DA607A">
        <w:rPr>
          <w:lang w:val="en-GB"/>
        </w:rPr>
        <w:t xml:space="preserve"> difficult to bear</w:t>
      </w:r>
      <w:r w:rsidR="00DA55CA" w:rsidRPr="00DA607A">
        <w:t xml:space="preserve"> </w:t>
      </w:r>
      <w:r w:rsidR="00685C92" w:rsidRPr="00DA607A">
        <w:rPr>
          <w:lang w:val="en-GB"/>
        </w:rPr>
        <w:t>for</w:t>
      </w:r>
      <w:r w:rsidR="00DA55CA" w:rsidRPr="00DA607A">
        <w:rPr>
          <w:lang w:val="en-GB"/>
        </w:rPr>
        <w:t xml:space="preserve"> a child as young as the applicant</w:t>
      </w:r>
      <w:r w:rsidR="00DA607A" w:rsidRPr="00DA607A">
        <w:rPr>
          <w:lang w:val="en-GB"/>
        </w:rPr>
        <w:t>’</w:t>
      </w:r>
      <w:r w:rsidR="00DA55CA" w:rsidRPr="00DA607A">
        <w:rPr>
          <w:lang w:val="en-GB"/>
        </w:rPr>
        <w:t>s son</w:t>
      </w:r>
      <w:r w:rsidR="00A1204F" w:rsidRPr="00DA607A">
        <w:rPr>
          <w:lang w:val="en-GB"/>
        </w:rPr>
        <w:t xml:space="preserve"> (see paragraph </w:t>
      </w:r>
      <w:r w:rsidR="00624BCD" w:rsidRPr="00DA607A">
        <w:rPr>
          <w:lang w:val="en-GB"/>
        </w:rPr>
        <w:t xml:space="preserve">12 </w:t>
      </w:r>
      <w:r w:rsidR="00A1204F" w:rsidRPr="00DA607A">
        <w:rPr>
          <w:lang w:val="en-GB"/>
        </w:rPr>
        <w:t>above)</w:t>
      </w:r>
      <w:r w:rsidR="00C32DF1" w:rsidRPr="00DA607A">
        <w:rPr>
          <w:lang w:val="en-GB"/>
        </w:rPr>
        <w:t>.</w:t>
      </w:r>
    </w:p>
    <w:p w:rsidR="00C32DF1" w:rsidRPr="00DA607A" w:rsidRDefault="00B9001C"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58</w:t>
      </w:r>
      <w:r w:rsidRPr="00DA607A">
        <w:rPr>
          <w:lang w:val="en-GB"/>
        </w:rPr>
        <w:fldChar w:fldCharType="end"/>
      </w:r>
      <w:r w:rsidRPr="00DA607A">
        <w:rPr>
          <w:lang w:val="en-GB"/>
        </w:rPr>
        <w:t>.  </w:t>
      </w:r>
      <w:r w:rsidR="009F5606" w:rsidRPr="00DA607A">
        <w:rPr>
          <w:lang w:val="en-GB"/>
        </w:rPr>
        <w:t>T</w:t>
      </w:r>
      <w:r w:rsidR="00A1204F" w:rsidRPr="00DA607A">
        <w:rPr>
          <w:lang w:val="en-GB"/>
        </w:rPr>
        <w:t xml:space="preserve">he </w:t>
      </w:r>
      <w:r w:rsidR="00FC1753" w:rsidRPr="00DA607A">
        <w:rPr>
          <w:lang w:val="en-GB"/>
        </w:rPr>
        <w:t>district</w:t>
      </w:r>
      <w:r w:rsidR="00A1204F" w:rsidRPr="00DA607A">
        <w:rPr>
          <w:lang w:val="en-GB"/>
        </w:rPr>
        <w:t xml:space="preserve"> court </w:t>
      </w:r>
      <w:r w:rsidR="007B6339" w:rsidRPr="00DA607A">
        <w:rPr>
          <w:lang w:val="en-GB"/>
        </w:rPr>
        <w:t>relied on this opinion</w:t>
      </w:r>
      <w:r w:rsidRPr="00DA607A">
        <w:rPr>
          <w:lang w:val="en-GB"/>
        </w:rPr>
        <w:t xml:space="preserve">, </w:t>
      </w:r>
      <w:r w:rsidR="00C32DF1" w:rsidRPr="00DA607A">
        <w:rPr>
          <w:lang w:val="en-GB"/>
        </w:rPr>
        <w:t>h</w:t>
      </w:r>
      <w:r w:rsidRPr="00DA607A">
        <w:rPr>
          <w:lang w:val="en-GB"/>
        </w:rPr>
        <w:t>olding</w:t>
      </w:r>
      <w:r w:rsidR="00C32DF1" w:rsidRPr="00DA607A">
        <w:rPr>
          <w:lang w:val="en-GB"/>
        </w:rPr>
        <w:t xml:space="preserve"> </w:t>
      </w:r>
      <w:r w:rsidR="00400D51" w:rsidRPr="00DA607A">
        <w:rPr>
          <w:lang w:val="en-GB"/>
        </w:rPr>
        <w:t xml:space="preserve">explicitly </w:t>
      </w:r>
      <w:r w:rsidR="00C32DF1" w:rsidRPr="00DA607A">
        <w:rPr>
          <w:lang w:val="en-GB"/>
        </w:rPr>
        <w:t>that separating the two-year</w:t>
      </w:r>
      <w:r w:rsidR="007042DA" w:rsidRPr="00DA607A">
        <w:rPr>
          <w:lang w:val="en-GB"/>
        </w:rPr>
        <w:t>-</w:t>
      </w:r>
      <w:r w:rsidR="00C32DF1" w:rsidRPr="00DA607A">
        <w:rPr>
          <w:lang w:val="en-GB"/>
        </w:rPr>
        <w:t>old child from the mother and returning him to his father</w:t>
      </w:r>
      <w:r w:rsidR="00DA607A" w:rsidRPr="00DA607A">
        <w:rPr>
          <w:lang w:val="en-GB"/>
        </w:rPr>
        <w:t>’</w:t>
      </w:r>
      <w:r w:rsidR="00400D51" w:rsidRPr="00DA607A">
        <w:rPr>
          <w:lang w:val="en-GB"/>
        </w:rPr>
        <w:t>s care</w:t>
      </w:r>
      <w:r w:rsidR="00C32DF1" w:rsidRPr="00DA607A">
        <w:rPr>
          <w:lang w:val="en-GB"/>
        </w:rPr>
        <w:t xml:space="preserve"> in Canada would be traumatic for the child</w:t>
      </w:r>
      <w:r w:rsidRPr="00DA607A">
        <w:rPr>
          <w:lang w:val="en-GB"/>
        </w:rPr>
        <w:t xml:space="preserve">. The family court also made an in-depth analysis of the financial and living </w:t>
      </w:r>
      <w:r w:rsidR="00685C92" w:rsidRPr="00DA607A">
        <w:rPr>
          <w:lang w:val="en-GB"/>
        </w:rPr>
        <w:t>conditions</w:t>
      </w:r>
      <w:r w:rsidRPr="00DA607A">
        <w:rPr>
          <w:lang w:val="en-GB"/>
        </w:rPr>
        <w:t xml:space="preserve"> of the child</w:t>
      </w:r>
      <w:r w:rsidR="00DA607A" w:rsidRPr="00DA607A">
        <w:rPr>
          <w:lang w:val="en-GB"/>
        </w:rPr>
        <w:t>’</w:t>
      </w:r>
      <w:r w:rsidRPr="00DA607A">
        <w:rPr>
          <w:lang w:val="en-GB"/>
        </w:rPr>
        <w:t>s parents and compared their parenting skills and daycare arrangements (see paragraph</w:t>
      </w:r>
      <w:r w:rsidR="00A91CD9" w:rsidRPr="00DA607A">
        <w:rPr>
          <w:lang w:val="en-GB"/>
        </w:rPr>
        <w:t>s</w:t>
      </w:r>
      <w:r w:rsidRPr="00DA607A">
        <w:rPr>
          <w:lang w:val="en-GB"/>
        </w:rPr>
        <w:t xml:space="preserve"> </w:t>
      </w:r>
      <w:r w:rsidR="00624BCD" w:rsidRPr="00DA607A">
        <w:rPr>
          <w:lang w:val="en-GB"/>
        </w:rPr>
        <w:t>16</w:t>
      </w:r>
      <w:r w:rsidR="00A91CD9" w:rsidRPr="00DA607A">
        <w:rPr>
          <w:lang w:val="en-GB"/>
        </w:rPr>
        <w:t xml:space="preserve"> and </w:t>
      </w:r>
      <w:r w:rsidR="00624BCD" w:rsidRPr="00DA607A">
        <w:rPr>
          <w:lang w:val="en-GB"/>
        </w:rPr>
        <w:t>17</w:t>
      </w:r>
      <w:r w:rsidRPr="00DA607A">
        <w:rPr>
          <w:lang w:val="en-GB"/>
        </w:rPr>
        <w:t xml:space="preserve"> above).</w:t>
      </w:r>
    </w:p>
    <w:p w:rsidR="00A06729" w:rsidRPr="00DA607A" w:rsidRDefault="00B9001C" w:rsidP="00DA607A">
      <w:pPr>
        <w:pStyle w:val="ECHRPara"/>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59</w:t>
      </w:r>
      <w:r w:rsidRPr="00DA607A">
        <w:rPr>
          <w:lang w:val="en-GB"/>
        </w:rPr>
        <w:fldChar w:fldCharType="end"/>
      </w:r>
      <w:r w:rsidRPr="00DA607A">
        <w:rPr>
          <w:lang w:val="en-GB"/>
        </w:rPr>
        <w:t>. </w:t>
      </w:r>
      <w:r w:rsidR="00C43650" w:rsidRPr="00DA607A">
        <w:rPr>
          <w:lang w:val="en-GB"/>
        </w:rPr>
        <w:t xml:space="preserve">In the end, </w:t>
      </w:r>
      <w:r w:rsidR="00DF6300" w:rsidRPr="00DA607A">
        <w:rPr>
          <w:lang w:val="en-GB"/>
        </w:rPr>
        <w:t>the appellate court</w:t>
      </w:r>
      <w:r w:rsidR="00A91CD9" w:rsidRPr="00DA607A">
        <w:t xml:space="preserve"> </w:t>
      </w:r>
      <w:r w:rsidR="00685C92" w:rsidRPr="00DA607A">
        <w:t>started by</w:t>
      </w:r>
      <w:r w:rsidR="00DF6300" w:rsidRPr="00DA607A">
        <w:t xml:space="preserve"> </w:t>
      </w:r>
      <w:r w:rsidR="00432891" w:rsidRPr="00DA607A">
        <w:t xml:space="preserve">expressly </w:t>
      </w:r>
      <w:r w:rsidR="00AF0EBD" w:rsidRPr="00DA607A">
        <w:t>acknowledg</w:t>
      </w:r>
      <w:r w:rsidR="00685C92" w:rsidRPr="00DA607A">
        <w:t>ing</w:t>
      </w:r>
      <w:r w:rsidR="00AF0EBD" w:rsidRPr="00DA607A">
        <w:t>, in line with the applicant</w:t>
      </w:r>
      <w:r w:rsidR="00DA607A" w:rsidRPr="00DA607A">
        <w:t>’</w:t>
      </w:r>
      <w:r w:rsidR="00AF0EBD" w:rsidRPr="00DA607A">
        <w:t>s argument,</w:t>
      </w:r>
      <w:r w:rsidR="00624BCD" w:rsidRPr="00DA607A">
        <w:t xml:space="preserve"> the principle that </w:t>
      </w:r>
      <w:r w:rsidR="00DF6300" w:rsidRPr="00DA607A">
        <w:t>even if</w:t>
      </w:r>
      <w:r w:rsidR="00AF0EBD" w:rsidRPr="00DA607A">
        <w:t xml:space="preserve"> </w:t>
      </w:r>
      <w:r w:rsidR="00DF6300" w:rsidRPr="00DA607A">
        <w:t xml:space="preserve">the abducting parent had had a </w:t>
      </w:r>
      <w:r w:rsidR="00432891" w:rsidRPr="00DA607A">
        <w:t xml:space="preserve">dominant </w:t>
      </w:r>
      <w:r w:rsidR="00DF6300" w:rsidRPr="00DA607A">
        <w:t>role in the child</w:t>
      </w:r>
      <w:r w:rsidR="00DA607A" w:rsidRPr="00DA607A">
        <w:t>’</w:t>
      </w:r>
      <w:r w:rsidR="00DF6300" w:rsidRPr="00DA607A">
        <w:t xml:space="preserve">s life, the </w:t>
      </w:r>
      <w:r w:rsidR="00432891" w:rsidRPr="00DA607A">
        <w:t xml:space="preserve">presence </w:t>
      </w:r>
      <w:r w:rsidR="00624BCD" w:rsidRPr="00DA607A">
        <w:t>of objective obstacles</w:t>
      </w:r>
      <w:r w:rsidR="00E808E1" w:rsidRPr="00DA607A">
        <w:t xml:space="preserve"> </w:t>
      </w:r>
      <w:r w:rsidR="00624BCD" w:rsidRPr="00DA607A">
        <w:t xml:space="preserve">to </w:t>
      </w:r>
      <w:r w:rsidR="00DF6300" w:rsidRPr="00DA607A">
        <w:t>the parent</w:t>
      </w:r>
      <w:r w:rsidR="00DA607A" w:rsidRPr="00DA607A">
        <w:t>’</w:t>
      </w:r>
      <w:r w:rsidR="00DF6300" w:rsidRPr="00DA607A">
        <w:t xml:space="preserve">s </w:t>
      </w:r>
      <w:r w:rsidR="00624BCD" w:rsidRPr="00DA607A">
        <w:t xml:space="preserve">return </w:t>
      </w:r>
      <w:r w:rsidR="00DF6300" w:rsidRPr="00DA607A">
        <w:t>was still</w:t>
      </w:r>
      <w:r w:rsidR="00624BCD" w:rsidRPr="00DA607A">
        <w:t xml:space="preserve"> </w:t>
      </w:r>
      <w:r w:rsidR="00DF6300" w:rsidRPr="00DA607A">
        <w:t xml:space="preserve">required </w:t>
      </w:r>
      <w:r w:rsidR="00624BCD" w:rsidRPr="00DA607A">
        <w:t>under Article</w:t>
      </w:r>
      <w:r w:rsidR="00DF6300" w:rsidRPr="00DA607A">
        <w:t> </w:t>
      </w:r>
      <w:r w:rsidR="00624BCD" w:rsidRPr="00DA607A">
        <w:t>13</w:t>
      </w:r>
      <w:r w:rsidR="00DF6300" w:rsidRPr="00DA607A">
        <w:t> </w:t>
      </w:r>
      <w:r w:rsidR="00624BCD" w:rsidRPr="00DA607A">
        <w:t>(b) of the Hague Convention</w:t>
      </w:r>
      <w:r w:rsidR="00DF6300" w:rsidRPr="00DA607A">
        <w:t xml:space="preserve">. </w:t>
      </w:r>
      <w:r w:rsidR="00C3413E" w:rsidRPr="00DA607A">
        <w:t>In its final analysis</w:t>
      </w:r>
      <w:r w:rsidR="00A4341C" w:rsidRPr="00DA607A">
        <w:t xml:space="preserve"> however,</w:t>
      </w:r>
      <w:r w:rsidR="00DF6300" w:rsidRPr="00DA607A">
        <w:t xml:space="preserve"> the </w:t>
      </w:r>
      <w:r w:rsidR="00432891" w:rsidRPr="00DA607A">
        <w:t xml:space="preserve">Regional Court </w:t>
      </w:r>
      <w:r w:rsidR="00220E77" w:rsidRPr="00DA607A">
        <w:t xml:space="preserve">departed from that rule, </w:t>
      </w:r>
      <w:r w:rsidR="00A4341C" w:rsidRPr="00DA607A">
        <w:t>consider</w:t>
      </w:r>
      <w:r w:rsidR="00220E77" w:rsidRPr="00DA607A">
        <w:t>ing it</w:t>
      </w:r>
      <w:r w:rsidR="00A4341C" w:rsidRPr="00DA607A">
        <w:t xml:space="preserve"> inapplicable</w:t>
      </w:r>
      <w:r w:rsidR="00AF0EBD" w:rsidRPr="00DA607A">
        <w:t xml:space="preserve"> in a case concerning the abduction of an infant by the </w:t>
      </w:r>
      <w:r w:rsidR="00432891" w:rsidRPr="00DA607A">
        <w:t xml:space="preserve">parent </w:t>
      </w:r>
      <w:r w:rsidR="00AF0EBD" w:rsidRPr="00DA607A">
        <w:t xml:space="preserve">who was the primary </w:t>
      </w:r>
      <w:r w:rsidR="00432891" w:rsidRPr="00DA607A">
        <w:t>carer</w:t>
      </w:r>
      <w:r w:rsidR="00AF0EBD" w:rsidRPr="00DA607A">
        <w:t xml:space="preserve">, </w:t>
      </w:r>
      <w:r w:rsidR="00A4341C" w:rsidRPr="00DA607A">
        <w:t>in view of a special bond between them. Consequently, the appellate</w:t>
      </w:r>
      <w:r w:rsidR="00C43650" w:rsidRPr="00DA607A">
        <w:t xml:space="preserve"> court</w:t>
      </w:r>
      <w:r w:rsidR="00A4341C" w:rsidRPr="00DA607A">
        <w:t xml:space="preserve"> </w:t>
      </w:r>
      <w:r w:rsidR="00A91CD9" w:rsidRPr="00DA607A">
        <w:t>uph</w:t>
      </w:r>
      <w:r w:rsidR="00220E77" w:rsidRPr="00DA607A">
        <w:t>eld</w:t>
      </w:r>
      <w:r w:rsidR="00A91CD9" w:rsidRPr="00DA607A">
        <w:t xml:space="preserve"> the decision to dismiss the applicant</w:t>
      </w:r>
      <w:r w:rsidR="00DA607A" w:rsidRPr="00DA607A">
        <w:t>’</w:t>
      </w:r>
      <w:r w:rsidR="00A91CD9" w:rsidRPr="00DA607A">
        <w:t>s Hague Convention request</w:t>
      </w:r>
      <w:r w:rsidR="00C43650" w:rsidRPr="00DA607A">
        <w:t>,</w:t>
      </w:r>
      <w:r w:rsidR="00220E77" w:rsidRPr="00DA607A">
        <w:t xml:space="preserve"> relying on the </w:t>
      </w:r>
      <w:r w:rsidR="00C43650" w:rsidRPr="00DA607A">
        <w:t>factor</w:t>
      </w:r>
      <w:r w:rsidR="00220E77" w:rsidRPr="00DA607A">
        <w:t xml:space="preserve"> of the child</w:t>
      </w:r>
      <w:r w:rsidR="00DA607A" w:rsidRPr="00DA607A">
        <w:t>’</w:t>
      </w:r>
      <w:r w:rsidR="00220E77" w:rsidRPr="00DA607A">
        <w:t>s separation from E.N. even in the absence of any objective obstacles to the mother</w:t>
      </w:r>
      <w:r w:rsidR="00DA607A" w:rsidRPr="00DA607A">
        <w:t>’</w:t>
      </w:r>
      <w:r w:rsidR="00220E77" w:rsidRPr="00DA607A">
        <w:t>s own return</w:t>
      </w:r>
      <w:r w:rsidR="006620A0" w:rsidRPr="00DA607A">
        <w:t xml:space="preserve"> (see paragraph</w:t>
      </w:r>
      <w:r w:rsidR="0040777C" w:rsidRPr="00DA607A">
        <w:t>s 21 and</w:t>
      </w:r>
      <w:r w:rsidR="006620A0" w:rsidRPr="00DA607A">
        <w:t xml:space="preserve"> 2</w:t>
      </w:r>
      <w:r w:rsidR="00220E77" w:rsidRPr="00DA607A">
        <w:t>2</w:t>
      </w:r>
      <w:r w:rsidR="00B63D03" w:rsidRPr="00DA607A">
        <w:t> </w:t>
      </w:r>
      <w:r w:rsidR="006620A0" w:rsidRPr="00DA607A">
        <w:t>above).</w:t>
      </w:r>
    </w:p>
    <w:p w:rsidR="001435AF" w:rsidRPr="00DA607A" w:rsidRDefault="00EE0166" w:rsidP="00DA607A">
      <w:pPr>
        <w:pStyle w:val="ECHRPara"/>
      </w:pPr>
      <w:r>
        <w:fldChar w:fldCharType="begin"/>
      </w:r>
      <w:r>
        <w:instrText xml:space="preserve"> SEQ level0 \*arabic </w:instrText>
      </w:r>
      <w:r>
        <w:fldChar w:fldCharType="separate"/>
      </w:r>
      <w:r w:rsidR="00DA607A" w:rsidRPr="00DA607A">
        <w:rPr>
          <w:noProof/>
        </w:rPr>
        <w:t>60</w:t>
      </w:r>
      <w:r>
        <w:rPr>
          <w:noProof/>
        </w:rPr>
        <w:fldChar w:fldCharType="end"/>
      </w:r>
      <w:r w:rsidR="0040777C" w:rsidRPr="00DA607A">
        <w:t>.  </w:t>
      </w:r>
      <w:r w:rsidR="00063C58" w:rsidRPr="00DA607A">
        <w:t>The Court observes that it was the applicant</w:t>
      </w:r>
      <w:r w:rsidR="00DA607A" w:rsidRPr="00DA607A">
        <w:t>’</w:t>
      </w:r>
      <w:r w:rsidR="00063C58" w:rsidRPr="00DA607A">
        <w:t>s estranged wife who opposed the child</w:t>
      </w:r>
      <w:r w:rsidR="00DA607A" w:rsidRPr="00DA607A">
        <w:t>’</w:t>
      </w:r>
      <w:r w:rsidR="00063C58" w:rsidRPr="00DA607A">
        <w:t xml:space="preserve">s return. It was therefore for her to make and to substantiate any potential allegation of specific risks under Article 13 </w:t>
      </w:r>
      <w:r w:rsidR="00C524B7" w:rsidRPr="00DA607A">
        <w:t>(b) of the Hague Convention</w:t>
      </w:r>
      <w:r w:rsidR="00063C58" w:rsidRPr="00DA607A">
        <w:t>.</w:t>
      </w:r>
    </w:p>
    <w:p w:rsidR="00E87C89" w:rsidRPr="00DA607A" w:rsidRDefault="00EE0166" w:rsidP="00DA607A">
      <w:pPr>
        <w:pStyle w:val="ECHRPara"/>
        <w:rPr>
          <w:lang w:val="en-GB"/>
        </w:rPr>
      </w:pPr>
      <w:r>
        <w:fldChar w:fldCharType="begin"/>
      </w:r>
      <w:r>
        <w:instrText xml:space="preserve"> SEQ level0 \*arabic </w:instrText>
      </w:r>
      <w:r>
        <w:fldChar w:fldCharType="separate"/>
      </w:r>
      <w:r w:rsidR="00DA607A" w:rsidRPr="00DA607A">
        <w:rPr>
          <w:noProof/>
        </w:rPr>
        <w:t>61</w:t>
      </w:r>
      <w:r>
        <w:rPr>
          <w:noProof/>
        </w:rPr>
        <w:fldChar w:fldCharType="end"/>
      </w:r>
      <w:r w:rsidR="00E87C89" w:rsidRPr="00DA607A">
        <w:t>.</w:t>
      </w:r>
      <w:r w:rsidR="00B63D03" w:rsidRPr="00DA607A">
        <w:t>  </w:t>
      </w:r>
      <w:r w:rsidR="00E87C89" w:rsidRPr="00DA607A">
        <w:rPr>
          <w:lang w:val="en-GB"/>
        </w:rPr>
        <w:t xml:space="preserve">In addition to restating consistently that the exceptions to return under the Hague Convention must be interpreted strictly (see </w:t>
      </w:r>
      <w:r w:rsidR="00E87C89" w:rsidRPr="00DA607A">
        <w:rPr>
          <w:i/>
          <w:lang w:val="en-GB"/>
        </w:rPr>
        <w:t>X v.</w:t>
      </w:r>
      <w:r w:rsidR="00B63D03" w:rsidRPr="00DA607A">
        <w:rPr>
          <w:i/>
          <w:lang w:val="en-GB"/>
        </w:rPr>
        <w:t> </w:t>
      </w:r>
      <w:r w:rsidR="00E87C89" w:rsidRPr="00DA607A">
        <w:rPr>
          <w:i/>
          <w:lang w:val="en-GB"/>
        </w:rPr>
        <w:t>Latvia</w:t>
      </w:r>
      <w:r w:rsidR="00E87C89" w:rsidRPr="00DA607A">
        <w:rPr>
          <w:lang w:val="en-GB"/>
        </w:rPr>
        <w:t xml:space="preserve">, cited above, § 116), this Court has also specifically held that the harm referred to in Article 13 (b) of the Hague Convention cannot arise solely from separation from the parent who was responsible for the wrongful removal or retention. This separation, however difficult for the child, would not automatically meet the grave risk test (see, </w:t>
      </w:r>
      <w:r w:rsidR="00E87C89" w:rsidRPr="00DA607A">
        <w:rPr>
          <w:i/>
          <w:lang w:val="en-GB"/>
        </w:rPr>
        <w:t>mutatis mutandis</w:t>
      </w:r>
      <w:r w:rsidR="00E87C89" w:rsidRPr="00DA607A">
        <w:rPr>
          <w:lang w:val="en-GB"/>
        </w:rPr>
        <w:t xml:space="preserve">, </w:t>
      </w:r>
      <w:r w:rsidR="00E87C89" w:rsidRPr="00DA607A">
        <w:rPr>
          <w:i/>
          <w:lang w:val="en-GB"/>
        </w:rPr>
        <w:t>K.J. v. Poland</w:t>
      </w:r>
      <w:r w:rsidR="00E87C89" w:rsidRPr="00DA607A">
        <w:rPr>
          <w:lang w:val="en-GB"/>
        </w:rPr>
        <w:t xml:space="preserve">, cited above, § 67, and </w:t>
      </w:r>
      <w:r w:rsidR="00E87C89" w:rsidRPr="00DA607A">
        <w:rPr>
          <w:i/>
        </w:rPr>
        <w:t>G.S.</w:t>
      </w:r>
      <w:r w:rsidR="00E87C89" w:rsidRPr="00DA607A">
        <w:t xml:space="preserve"> </w:t>
      </w:r>
      <w:r w:rsidR="00E87C89" w:rsidRPr="00DA607A">
        <w:rPr>
          <w:i/>
        </w:rPr>
        <w:t>v. Georgia</w:t>
      </w:r>
      <w:r w:rsidR="00E87C89" w:rsidRPr="00DA607A">
        <w:t>, no. 2361/13</w:t>
      </w:r>
      <w:r w:rsidR="00E87C89" w:rsidRPr="00DA607A">
        <w:rPr>
          <w:snapToGrid w:val="0"/>
        </w:rPr>
        <w:t>, §</w:t>
      </w:r>
      <w:r w:rsidR="00B63D03" w:rsidRPr="00DA607A">
        <w:rPr>
          <w:snapToGrid w:val="0"/>
        </w:rPr>
        <w:t> </w:t>
      </w:r>
      <w:r w:rsidR="00E87C89" w:rsidRPr="00DA607A">
        <w:rPr>
          <w:snapToGrid w:val="0"/>
        </w:rPr>
        <w:t>56, 21 July 2015)</w:t>
      </w:r>
      <w:r w:rsidR="00E87C89" w:rsidRPr="00DA607A">
        <w:rPr>
          <w:lang w:val="en-GB"/>
        </w:rPr>
        <w:t>.</w:t>
      </w:r>
    </w:p>
    <w:p w:rsidR="00063C58" w:rsidRPr="00DA607A" w:rsidRDefault="00EE0166" w:rsidP="00DA607A">
      <w:pPr>
        <w:pStyle w:val="ECHRPara"/>
      </w:pPr>
      <w:r>
        <w:fldChar w:fldCharType="begin"/>
      </w:r>
      <w:r>
        <w:instrText xml:space="preserve"> SEQ level0 \*arabic </w:instrText>
      </w:r>
      <w:r>
        <w:fldChar w:fldCharType="separate"/>
      </w:r>
      <w:r w:rsidR="00DA607A" w:rsidRPr="00DA607A">
        <w:rPr>
          <w:noProof/>
        </w:rPr>
        <w:t>62</w:t>
      </w:r>
      <w:r>
        <w:rPr>
          <w:noProof/>
        </w:rPr>
        <w:fldChar w:fldCharType="end"/>
      </w:r>
      <w:r w:rsidR="00033578" w:rsidRPr="00DA607A">
        <w:t>.  </w:t>
      </w:r>
      <w:r w:rsidR="00063C58" w:rsidRPr="00DA607A">
        <w:t xml:space="preserve">In the instant case, </w:t>
      </w:r>
      <w:r w:rsidR="00544618" w:rsidRPr="00DA607A">
        <w:t xml:space="preserve">it is unclear what reasons were adduced by </w:t>
      </w:r>
      <w:r w:rsidR="003E7346" w:rsidRPr="00DA607A">
        <w:t>E.N.</w:t>
      </w:r>
      <w:r w:rsidR="00063C58" w:rsidRPr="00DA607A">
        <w:t xml:space="preserve"> </w:t>
      </w:r>
      <w:r w:rsidR="00544618" w:rsidRPr="00DA607A">
        <w:t xml:space="preserve">when she </w:t>
      </w:r>
      <w:r w:rsidR="00063C58" w:rsidRPr="00DA607A">
        <w:t>objec</w:t>
      </w:r>
      <w:r w:rsidR="00D640C0" w:rsidRPr="00DA607A">
        <w:t>ted</w:t>
      </w:r>
      <w:r w:rsidR="00063C58" w:rsidRPr="00DA607A">
        <w:t xml:space="preserve"> to the child</w:t>
      </w:r>
      <w:r w:rsidR="00DA607A" w:rsidRPr="00DA607A">
        <w:t>’</w:t>
      </w:r>
      <w:r w:rsidR="00063C58" w:rsidRPr="00DA607A">
        <w:t>s return</w:t>
      </w:r>
      <w:r w:rsidR="00D640C0" w:rsidRPr="00DA607A">
        <w:t xml:space="preserve"> to Canada</w:t>
      </w:r>
      <w:r w:rsidR="00A067B1" w:rsidRPr="00DA607A">
        <w:t xml:space="preserve"> and when she refused</w:t>
      </w:r>
      <w:r w:rsidR="00544618" w:rsidRPr="00DA607A">
        <w:t xml:space="preserve"> to accompany the child</w:t>
      </w:r>
      <w:r w:rsidR="00A067B1" w:rsidRPr="00DA607A">
        <w:t>. The family court</w:t>
      </w:r>
      <w:r w:rsidR="008B4EE3" w:rsidRPr="00DA607A">
        <w:t xml:space="preserve"> </w:t>
      </w:r>
      <w:r w:rsidR="00C3413E" w:rsidRPr="00DA607A">
        <w:t>accepted the</w:t>
      </w:r>
      <w:r w:rsidR="008B4EE3" w:rsidRPr="00DA607A">
        <w:t xml:space="preserve"> </w:t>
      </w:r>
      <w:r w:rsidR="00A067B1" w:rsidRPr="00DA607A">
        <w:t xml:space="preserve">proposition that, if returned to Canada, the boy would be separated </w:t>
      </w:r>
      <w:r w:rsidR="00D640C0" w:rsidRPr="00DA607A">
        <w:t xml:space="preserve">from </w:t>
      </w:r>
      <w:r w:rsidR="00A067B1" w:rsidRPr="00DA607A">
        <w:t>his mother</w:t>
      </w:r>
      <w:r w:rsidR="00D3780C" w:rsidRPr="00DA607A">
        <w:t>. Furthermore, the family court took account of the following elements</w:t>
      </w:r>
      <w:r w:rsidR="003A2C4E" w:rsidRPr="00DA607A">
        <w:t xml:space="preserve">, which were identified </w:t>
      </w:r>
      <w:r w:rsidR="003E7346" w:rsidRPr="00DA607A">
        <w:t>by</w:t>
      </w:r>
      <w:r w:rsidR="003A2C4E" w:rsidRPr="00DA607A">
        <w:t xml:space="preserve"> the RODK experts</w:t>
      </w:r>
      <w:r w:rsidR="00D3780C" w:rsidRPr="00DA607A">
        <w:t>: the boy was only an infant when</w:t>
      </w:r>
      <w:r w:rsidR="00A067B1" w:rsidRPr="00DA607A">
        <w:t xml:space="preserve"> </w:t>
      </w:r>
      <w:r w:rsidR="00D3780C" w:rsidRPr="00DA607A">
        <w:t xml:space="preserve">he arrived in Poland; he did not have any memories of his life in Canada; the most important </w:t>
      </w:r>
      <w:r w:rsidR="00113655" w:rsidRPr="00DA607A">
        <w:t>element in his life</w:t>
      </w:r>
      <w:r w:rsidR="003A2C4E" w:rsidRPr="00DA607A">
        <w:t xml:space="preserve"> wa</w:t>
      </w:r>
      <w:r w:rsidR="00D3780C" w:rsidRPr="00DA607A">
        <w:t xml:space="preserve">s his contact with </w:t>
      </w:r>
      <w:r w:rsidR="00685C92" w:rsidRPr="00DA607A">
        <w:t>his</w:t>
      </w:r>
      <w:r w:rsidR="00D3780C" w:rsidRPr="00DA607A">
        <w:t xml:space="preserve"> mother; since the abduction</w:t>
      </w:r>
      <w:r w:rsidR="00113655" w:rsidRPr="00DA607A">
        <w:t xml:space="preserve"> </w:t>
      </w:r>
      <w:r w:rsidR="00214CCF" w:rsidRPr="00DA607A">
        <w:t>his mother</w:t>
      </w:r>
      <w:r w:rsidR="00D3780C" w:rsidRPr="00DA607A">
        <w:t xml:space="preserve"> had been</w:t>
      </w:r>
      <w:r w:rsidR="00A067B1" w:rsidRPr="00DA607A">
        <w:t xml:space="preserve"> his </w:t>
      </w:r>
      <w:r w:rsidR="00D3780C" w:rsidRPr="00DA607A">
        <w:t>sole</w:t>
      </w:r>
      <w:r w:rsidR="00A067B1" w:rsidRPr="00DA607A">
        <w:t xml:space="preserve"> </w:t>
      </w:r>
      <w:r w:rsidR="00FA3CDD" w:rsidRPr="00DA607A">
        <w:t>carer</w:t>
      </w:r>
      <w:r w:rsidR="00D3780C" w:rsidRPr="00DA607A">
        <w:t xml:space="preserve">; the applicant contested that state of affairs as late as six months </w:t>
      </w:r>
      <w:r w:rsidR="00113655" w:rsidRPr="00DA607A">
        <w:t xml:space="preserve">after </w:t>
      </w:r>
      <w:r w:rsidR="00D3780C" w:rsidRPr="00DA607A">
        <w:t>the child</w:t>
      </w:r>
      <w:r w:rsidR="00DA607A" w:rsidRPr="00DA607A">
        <w:t>’</w:t>
      </w:r>
      <w:r w:rsidR="00D3780C" w:rsidRPr="00DA607A">
        <w:t>s arrival in Polan</w:t>
      </w:r>
      <w:r w:rsidR="00132B14" w:rsidRPr="00DA607A">
        <w:t xml:space="preserve">d. </w:t>
      </w:r>
      <w:r w:rsidR="003A2C4E" w:rsidRPr="00DA607A">
        <w:t>Lastly, the domestic court relied on the fact that the applicant had only seen his child</w:t>
      </w:r>
      <w:r w:rsidR="00113655" w:rsidRPr="00DA607A">
        <w:t xml:space="preserve"> once</w:t>
      </w:r>
      <w:r w:rsidR="003A2C4E" w:rsidRPr="00DA607A">
        <w:t xml:space="preserve"> since </w:t>
      </w:r>
      <w:r w:rsidR="00C43650" w:rsidRPr="00DA607A">
        <w:t>July 2011</w:t>
      </w:r>
      <w:r w:rsidR="001772F1" w:rsidRPr="00DA607A">
        <w:t xml:space="preserve"> </w:t>
      </w:r>
      <w:r w:rsidR="00132B14" w:rsidRPr="00DA607A">
        <w:t xml:space="preserve">and deduced that by not appearing at the RODK interview, the applicant had waived his right to demonstrate that he </w:t>
      </w:r>
      <w:r w:rsidR="00C43650" w:rsidRPr="00DA607A">
        <w:t>was capable of</w:t>
      </w:r>
      <w:r w:rsidR="00132B14" w:rsidRPr="00DA607A">
        <w:t xml:space="preserve"> establish</w:t>
      </w:r>
      <w:r w:rsidR="00C43650" w:rsidRPr="00DA607A">
        <w:t>ing adequate</w:t>
      </w:r>
      <w:r w:rsidR="00132B14" w:rsidRPr="00DA607A">
        <w:t xml:space="preserve"> contact with his young child </w:t>
      </w:r>
      <w:r w:rsidR="001772F1" w:rsidRPr="00DA607A">
        <w:t>(see paragraph 22 above)</w:t>
      </w:r>
      <w:r w:rsidR="003A2C4E" w:rsidRPr="00DA607A">
        <w:t>.</w:t>
      </w:r>
    </w:p>
    <w:p w:rsidR="001435AF" w:rsidRPr="00DA607A" w:rsidRDefault="00EE0166" w:rsidP="00DA607A">
      <w:pPr>
        <w:pStyle w:val="ECHRPara"/>
      </w:pPr>
      <w:r>
        <w:fldChar w:fldCharType="begin"/>
      </w:r>
      <w:r>
        <w:instrText xml:space="preserve"> SEQ level0 \*arabic </w:instrText>
      </w:r>
      <w:r>
        <w:fldChar w:fldCharType="separate"/>
      </w:r>
      <w:r w:rsidR="00DA607A" w:rsidRPr="00DA607A">
        <w:rPr>
          <w:noProof/>
        </w:rPr>
        <w:t>63</w:t>
      </w:r>
      <w:r>
        <w:rPr>
          <w:noProof/>
        </w:rPr>
        <w:fldChar w:fldCharType="end"/>
      </w:r>
      <w:r w:rsidR="00033578" w:rsidRPr="00DA607A">
        <w:t>.  </w:t>
      </w:r>
      <w:r w:rsidR="00CC3EB1" w:rsidRPr="00DA607A">
        <w:t xml:space="preserve">The Court considers that </w:t>
      </w:r>
      <w:r w:rsidR="00716801" w:rsidRPr="00DA607A">
        <w:t>the reasoning of the domestic c</w:t>
      </w:r>
      <w:r w:rsidR="0040777C" w:rsidRPr="00DA607A">
        <w:t>o</w:t>
      </w:r>
      <w:r w:rsidR="00716801" w:rsidRPr="00DA607A">
        <w:t>urts</w:t>
      </w:r>
      <w:r w:rsidR="00CC3EB1" w:rsidRPr="00DA607A">
        <w:t xml:space="preserve"> fell short of the requirements of Article 13 (b) of the Hague Convention</w:t>
      </w:r>
      <w:r w:rsidR="00404DA1" w:rsidRPr="00DA607A">
        <w:t xml:space="preserve"> which were described above</w:t>
      </w:r>
      <w:r w:rsidR="00CC3EB1" w:rsidRPr="00DA607A">
        <w:t>.</w:t>
      </w:r>
    </w:p>
    <w:p w:rsidR="00A06729" w:rsidRPr="00DA607A" w:rsidRDefault="00747CA5" w:rsidP="00DA607A">
      <w:pPr>
        <w:pStyle w:val="ECHRPara"/>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64</w:t>
      </w:r>
      <w:r w:rsidRPr="00DA607A">
        <w:rPr>
          <w:lang w:val="en-GB"/>
        </w:rPr>
        <w:fldChar w:fldCharType="end"/>
      </w:r>
      <w:r w:rsidRPr="00DA607A">
        <w:rPr>
          <w:lang w:val="en-GB"/>
        </w:rPr>
        <w:t>. </w:t>
      </w:r>
      <w:r w:rsidR="0018402B" w:rsidRPr="00DA607A">
        <w:rPr>
          <w:lang w:val="en-GB"/>
        </w:rPr>
        <w:t>As a matter of fact, n</w:t>
      </w:r>
      <w:r w:rsidR="00D542FE" w:rsidRPr="00DA607A">
        <w:t>othing</w:t>
      </w:r>
      <w:r w:rsidR="00CC3EB1" w:rsidRPr="00DA607A">
        <w:t xml:space="preserve"> in the circumstances </w:t>
      </w:r>
      <w:r w:rsidR="00BB6130" w:rsidRPr="00DA607A">
        <w:t xml:space="preserve">revealed </w:t>
      </w:r>
      <w:r w:rsidR="00CC3EB1" w:rsidRPr="00DA607A">
        <w:t>before the domestic courts objectively ruled out the possibility of the mother</w:t>
      </w:r>
      <w:r w:rsidR="00DA607A" w:rsidRPr="00DA607A">
        <w:t>’</w:t>
      </w:r>
      <w:r w:rsidR="00CC3EB1" w:rsidRPr="00DA607A">
        <w:t xml:space="preserve">s return together with the child. It was not implied that </w:t>
      </w:r>
      <w:r w:rsidR="0018402B" w:rsidRPr="00DA607A">
        <w:t>E.N.</w:t>
      </w:r>
      <w:r w:rsidR="00CC3EB1" w:rsidRPr="00DA607A">
        <w:t xml:space="preserve"> did not have access to Canada (see, </w:t>
      </w:r>
      <w:r w:rsidR="00CC3EB1" w:rsidRPr="00DA607A">
        <w:rPr>
          <w:i/>
        </w:rPr>
        <w:t>mutatis mutandis</w:t>
      </w:r>
      <w:r w:rsidR="00CC3EB1" w:rsidRPr="00DA607A">
        <w:t xml:space="preserve">, </w:t>
      </w:r>
      <w:r w:rsidR="00CC3EB1" w:rsidRPr="00DA607A">
        <w:rPr>
          <w:i/>
          <w:lang w:val="en-GB"/>
        </w:rPr>
        <w:t>K.J. v. Poland</w:t>
      </w:r>
      <w:r w:rsidR="00CC3EB1" w:rsidRPr="00DA607A">
        <w:rPr>
          <w:lang w:val="en-GB"/>
        </w:rPr>
        <w:t xml:space="preserve">, cited above, § 68 and </w:t>
      </w:r>
      <w:r w:rsidR="00CC3EB1" w:rsidRPr="00DA607A">
        <w:rPr>
          <w:i/>
        </w:rPr>
        <w:t>Maumousseau</w:t>
      </w:r>
      <w:r w:rsidR="00685C92" w:rsidRPr="00DA607A">
        <w:rPr>
          <w:i/>
        </w:rPr>
        <w:t xml:space="preserve"> and Washington</w:t>
      </w:r>
      <w:r w:rsidR="00CC3EB1" w:rsidRPr="00DA607A">
        <w:t>, cited above, § 74)</w:t>
      </w:r>
      <w:r w:rsidR="009F5606" w:rsidRPr="00DA607A">
        <w:t xml:space="preserve">. Moreover, even </w:t>
      </w:r>
      <w:r w:rsidR="00BB6130" w:rsidRPr="00DA607A">
        <w:t xml:space="preserve">though </w:t>
      </w:r>
      <w:r w:rsidR="009F5606" w:rsidRPr="00DA607A">
        <w:t xml:space="preserve">the </w:t>
      </w:r>
      <w:r w:rsidR="005F5309" w:rsidRPr="00DA607A">
        <w:t xml:space="preserve">Ontario </w:t>
      </w:r>
      <w:r w:rsidR="009F5606" w:rsidRPr="00DA607A">
        <w:t>Superior Court held E.N. in contempt of court for non</w:t>
      </w:r>
      <w:r w:rsidR="00B63D03" w:rsidRPr="00DA607A">
        <w:noBreakHyphen/>
      </w:r>
      <w:r w:rsidR="009F5606" w:rsidRPr="00DA607A">
        <w:t>compliance with its orders</w:t>
      </w:r>
      <w:r w:rsidR="00D92BBB" w:rsidRPr="00DA607A">
        <w:t xml:space="preserve"> and </w:t>
      </w:r>
      <w:r w:rsidR="00F6109A" w:rsidRPr="00DA607A">
        <w:t xml:space="preserve">a </w:t>
      </w:r>
      <w:r w:rsidR="00D92BBB" w:rsidRPr="00DA607A">
        <w:t>wanted notice was issued by Interpol for the offence of kidnapping (see paragraphs 34 and 35 above)</w:t>
      </w:r>
      <w:r w:rsidR="009F5606" w:rsidRPr="00DA607A">
        <w:t>, to the Court</w:t>
      </w:r>
      <w:r w:rsidR="00DA607A" w:rsidRPr="00DA607A">
        <w:t>’</w:t>
      </w:r>
      <w:r w:rsidR="009F5606" w:rsidRPr="00DA607A">
        <w:t>s knowledge</w:t>
      </w:r>
      <w:r w:rsidR="00D92BBB" w:rsidRPr="00DA607A">
        <w:t>,</w:t>
      </w:r>
      <w:r w:rsidR="009F5606" w:rsidRPr="00DA607A">
        <w:t xml:space="preserve"> </w:t>
      </w:r>
      <w:r w:rsidR="00E84AEC" w:rsidRPr="00DA607A">
        <w:t>the extent of</w:t>
      </w:r>
      <w:r w:rsidR="00CC3EB1" w:rsidRPr="00DA607A">
        <w:t xml:space="preserve"> </w:t>
      </w:r>
      <w:r w:rsidR="00F6109A" w:rsidRPr="00DA607A">
        <w:t xml:space="preserve">the </w:t>
      </w:r>
      <w:r w:rsidR="00CC3EB1" w:rsidRPr="00DA607A">
        <w:t>criminal sanctions</w:t>
      </w:r>
      <w:r w:rsidR="00E84AEC" w:rsidRPr="00DA607A">
        <w:t xml:space="preserve"> </w:t>
      </w:r>
      <w:r w:rsidR="00F6109A" w:rsidRPr="00DA607A">
        <w:t xml:space="preserve">awaiting </w:t>
      </w:r>
      <w:r w:rsidR="00E84AEC" w:rsidRPr="00DA607A">
        <w:t>her upon return,</w:t>
      </w:r>
      <w:r w:rsidR="00CC3EB1" w:rsidRPr="00DA607A">
        <w:t xml:space="preserve"> </w:t>
      </w:r>
      <w:r w:rsidR="00E84AEC" w:rsidRPr="00DA607A">
        <w:t xml:space="preserve">if any, </w:t>
      </w:r>
      <w:r w:rsidR="00F6109A" w:rsidRPr="00DA607A">
        <w:t>were not</w:t>
      </w:r>
      <w:r w:rsidR="00E84AEC" w:rsidRPr="00DA607A">
        <w:t xml:space="preserve"> determined </w:t>
      </w:r>
      <w:r w:rsidR="00CC3EB1" w:rsidRPr="00DA607A">
        <w:t xml:space="preserve">(see, </w:t>
      </w:r>
      <w:r w:rsidR="00F6109A" w:rsidRPr="00DA607A">
        <w:t>by contrast</w:t>
      </w:r>
      <w:r w:rsidR="00CC3EB1" w:rsidRPr="00DA607A">
        <w:t xml:space="preserve">, </w:t>
      </w:r>
      <w:r w:rsidR="00D92BBB" w:rsidRPr="00DA607A">
        <w:rPr>
          <w:i/>
        </w:rPr>
        <w:t>Paradis and Others v</w:t>
      </w:r>
      <w:r w:rsidR="00B63D03" w:rsidRPr="00DA607A">
        <w:rPr>
          <w:i/>
        </w:rPr>
        <w:t>. </w:t>
      </w:r>
      <w:r w:rsidR="00D92BBB" w:rsidRPr="00DA607A">
        <w:rPr>
          <w:i/>
        </w:rPr>
        <w:t>Germany</w:t>
      </w:r>
      <w:r w:rsidR="00D92BBB" w:rsidRPr="00DA607A">
        <w:t xml:space="preserve"> (dec.), no. </w:t>
      </w:r>
      <w:hyperlink r:id="rId11" w:anchor="{&quot;appno&quot;:[&quot;4783/03&quot;]}" w:tgtFrame="_blank" w:history="1">
        <w:r w:rsidR="00D92BBB" w:rsidRPr="00DA607A">
          <w:t>4783/03</w:t>
        </w:r>
      </w:hyperlink>
      <w:r w:rsidR="00D92BBB" w:rsidRPr="00DA607A">
        <w:t>, 15 May 2003</w:t>
      </w:r>
      <w:r w:rsidR="00CC3EB1" w:rsidRPr="00DA607A">
        <w:t xml:space="preserve">). </w:t>
      </w:r>
      <w:r w:rsidR="00E713C5" w:rsidRPr="00DA607A">
        <w:t xml:space="preserve">The Court is unaware of any attempts to apprehend E.N. in Poland even though her whereabouts were known to the authorities. In addition, nothing indicated </w:t>
      </w:r>
      <w:r w:rsidR="00CC3EB1" w:rsidRPr="00DA607A">
        <w:t>that the applicant might</w:t>
      </w:r>
      <w:r w:rsidR="00F6109A" w:rsidRPr="00DA607A">
        <w:t xml:space="preserve"> have</w:t>
      </w:r>
      <w:r w:rsidR="00CC3EB1" w:rsidRPr="00DA607A">
        <w:t xml:space="preserve"> actively prevent</w:t>
      </w:r>
      <w:r w:rsidR="00F6109A" w:rsidRPr="00DA607A">
        <w:t>ed</w:t>
      </w:r>
      <w:r w:rsidR="00CC3EB1" w:rsidRPr="00DA607A">
        <w:t xml:space="preserve"> E.N. from seeing her child in Canada</w:t>
      </w:r>
      <w:r w:rsidR="00E713C5" w:rsidRPr="00DA607A">
        <w:t xml:space="preserve"> or that she would not have </w:t>
      </w:r>
      <w:r w:rsidR="00F6109A" w:rsidRPr="00DA607A">
        <w:t xml:space="preserve">had </w:t>
      </w:r>
      <w:r w:rsidR="00E713C5" w:rsidRPr="00DA607A">
        <w:t>access to effective</w:t>
      </w:r>
      <w:r w:rsidR="000D6808" w:rsidRPr="00DA607A">
        <w:t xml:space="preserve"> legal</w:t>
      </w:r>
      <w:r w:rsidR="00E713C5" w:rsidRPr="00DA607A">
        <w:t xml:space="preserve"> remedies in that country</w:t>
      </w:r>
      <w:r w:rsidR="000D6808" w:rsidRPr="00DA607A">
        <w:t xml:space="preserve"> to ensure the </w:t>
      </w:r>
      <w:r w:rsidR="000D6808" w:rsidRPr="00DA607A">
        <w:rPr>
          <w:lang w:val="en-GB"/>
        </w:rPr>
        <w:t>defence</w:t>
      </w:r>
      <w:r w:rsidR="000D6808" w:rsidRPr="00DA607A">
        <w:t xml:space="preserve"> of her interests and those of her child, should this </w:t>
      </w:r>
      <w:r w:rsidR="00F6109A" w:rsidRPr="00DA607A">
        <w:t xml:space="preserve">have become </w:t>
      </w:r>
      <w:r w:rsidR="000D6808" w:rsidRPr="00DA607A">
        <w:t>necessary</w:t>
      </w:r>
      <w:r w:rsidR="00CC3EB1" w:rsidRPr="00DA607A">
        <w:t xml:space="preserve"> (see, </w:t>
      </w:r>
      <w:r w:rsidR="00CC3EB1" w:rsidRPr="00DA607A">
        <w:rPr>
          <w:i/>
        </w:rPr>
        <w:t>mutatis mutandis</w:t>
      </w:r>
      <w:r w:rsidR="00CC3EB1" w:rsidRPr="00DA607A">
        <w:t xml:space="preserve">, </w:t>
      </w:r>
      <w:r w:rsidR="00F6109A" w:rsidRPr="00DA607A">
        <w:t>ibid</w:t>
      </w:r>
      <w:r w:rsidR="00F6109A" w:rsidRPr="00DA607A">
        <w:rPr>
          <w:i/>
        </w:rPr>
        <w:t>.</w:t>
      </w:r>
      <w:r w:rsidR="00CC3EB1" w:rsidRPr="00DA607A">
        <w:t>).</w:t>
      </w:r>
    </w:p>
    <w:p w:rsidR="00A06729" w:rsidRPr="00DA607A" w:rsidRDefault="00EE0166" w:rsidP="00DA607A">
      <w:pPr>
        <w:pStyle w:val="ECHRPara"/>
      </w:pPr>
      <w:r>
        <w:fldChar w:fldCharType="begin"/>
      </w:r>
      <w:r>
        <w:instrText xml:space="preserve"> SEQ level0 \*arabic </w:instrText>
      </w:r>
      <w:r>
        <w:fldChar w:fldCharType="separate"/>
      </w:r>
      <w:r w:rsidR="00DA607A" w:rsidRPr="00DA607A">
        <w:rPr>
          <w:noProof/>
        </w:rPr>
        <w:t>65</w:t>
      </w:r>
      <w:r>
        <w:rPr>
          <w:noProof/>
        </w:rPr>
        <w:fldChar w:fldCharType="end"/>
      </w:r>
      <w:r w:rsidR="003611C0" w:rsidRPr="00DA607A">
        <w:t>.  All things considered,</w:t>
      </w:r>
      <w:r w:rsidR="00C07A49" w:rsidRPr="00DA607A">
        <w:t xml:space="preserve"> bearing in mind the aim and object of the Hague Convention, which is to protect children from wrongful removal from the State of their habitual residence, the Court finds that </w:t>
      </w:r>
      <w:r w:rsidR="00404DA1" w:rsidRPr="00DA607A">
        <w:t>the reasoning of the Polish family courts</w:t>
      </w:r>
      <w:r w:rsidR="00B73850" w:rsidRPr="00DA607A">
        <w:t xml:space="preserve"> in the present case</w:t>
      </w:r>
      <w:r w:rsidR="00404DA1" w:rsidRPr="00DA607A">
        <w:t xml:space="preserve"> </w:t>
      </w:r>
      <w:r w:rsidR="00B73850" w:rsidRPr="00DA607A">
        <w:t>lacked</w:t>
      </w:r>
      <w:r w:rsidR="00404DA1" w:rsidRPr="00DA607A">
        <w:t xml:space="preserve"> the </w:t>
      </w:r>
      <w:r w:rsidR="00B73850" w:rsidRPr="00DA607A">
        <w:t>elements</w:t>
      </w:r>
      <w:r w:rsidR="00404DA1" w:rsidRPr="00DA607A">
        <w:t xml:space="preserve"> which are necessary for the </w:t>
      </w:r>
      <w:r w:rsidR="00B73850" w:rsidRPr="00DA607A">
        <w:t xml:space="preserve">proper </w:t>
      </w:r>
      <w:r w:rsidR="00404DA1" w:rsidRPr="00DA607A">
        <w:t xml:space="preserve">assessment of the best interests of the child in the context of specific </w:t>
      </w:r>
      <w:r w:rsidR="00B73850" w:rsidRPr="00DA607A">
        <w:t>proceedings</w:t>
      </w:r>
      <w:r w:rsidR="00404DA1" w:rsidRPr="00DA607A">
        <w:t xml:space="preserve"> under the Hague Convention.</w:t>
      </w:r>
    </w:p>
    <w:p w:rsidR="00917A89" w:rsidRPr="00DA607A" w:rsidRDefault="0070446F"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66</w:t>
      </w:r>
      <w:r w:rsidRPr="00DA607A">
        <w:rPr>
          <w:lang w:val="en-GB"/>
        </w:rPr>
        <w:fldChar w:fldCharType="end"/>
      </w:r>
      <w:r w:rsidRPr="00DA607A">
        <w:rPr>
          <w:lang w:val="en-GB"/>
        </w:rPr>
        <w:t>.  </w:t>
      </w:r>
      <w:r w:rsidR="00747CA5" w:rsidRPr="00DA607A">
        <w:rPr>
          <w:lang w:val="en-GB"/>
        </w:rPr>
        <w:t>The Court also observes that, as regards the length of the impugned domestic proceedings, despite the recognised urgent nature of the Hague Convention proceedings, a period of one year</w:t>
      </w:r>
      <w:r w:rsidR="003559FE" w:rsidRPr="00DA607A">
        <w:rPr>
          <w:lang w:val="en-GB"/>
        </w:rPr>
        <w:t>,</w:t>
      </w:r>
      <w:r w:rsidR="00E054A9" w:rsidRPr="00DA607A">
        <w:rPr>
          <w:lang w:val="en-GB"/>
        </w:rPr>
        <w:t xml:space="preserve"> five months </w:t>
      </w:r>
      <w:r w:rsidR="003559FE" w:rsidRPr="00DA607A">
        <w:rPr>
          <w:lang w:val="en-GB"/>
        </w:rPr>
        <w:t xml:space="preserve">and two weeks </w:t>
      </w:r>
      <w:r w:rsidR="00747CA5" w:rsidRPr="00DA607A">
        <w:rPr>
          <w:lang w:val="en-GB"/>
        </w:rPr>
        <w:t>elapsed from the date on which the applicant</w:t>
      </w:r>
      <w:r w:rsidR="00DA607A" w:rsidRPr="00DA607A">
        <w:rPr>
          <w:lang w:val="en-GB"/>
        </w:rPr>
        <w:t>’</w:t>
      </w:r>
      <w:r w:rsidR="00747CA5" w:rsidRPr="00DA607A">
        <w:rPr>
          <w:lang w:val="en-GB"/>
        </w:rPr>
        <w:t xml:space="preserve">s request for the return of the child was registered with the </w:t>
      </w:r>
      <w:r w:rsidR="00E054A9" w:rsidRPr="00DA607A">
        <w:rPr>
          <w:lang w:val="en-GB"/>
        </w:rPr>
        <w:t>Kielce</w:t>
      </w:r>
      <w:r w:rsidR="00747CA5" w:rsidRPr="00DA607A">
        <w:rPr>
          <w:lang w:val="en-GB"/>
        </w:rPr>
        <w:t xml:space="preserve"> District Court to the date of the final decision. </w:t>
      </w:r>
      <w:r w:rsidR="00917A89" w:rsidRPr="00DA607A">
        <w:rPr>
          <w:lang w:val="en-GB"/>
        </w:rPr>
        <w:t>No explanation was put forward by the Government for the delay.</w:t>
      </w:r>
    </w:p>
    <w:p w:rsidR="009C62B1" w:rsidRPr="00DA607A" w:rsidRDefault="00917A89"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67</w:t>
      </w:r>
      <w:r w:rsidRPr="00DA607A">
        <w:rPr>
          <w:lang w:val="en-GB"/>
        </w:rPr>
        <w:fldChar w:fldCharType="end"/>
      </w:r>
      <w:r w:rsidRPr="00DA607A">
        <w:rPr>
          <w:lang w:val="en-GB"/>
        </w:rPr>
        <w:t>.  T</w:t>
      </w:r>
      <w:r w:rsidR="009C62B1" w:rsidRPr="00DA607A">
        <w:rPr>
          <w:lang w:val="en-GB"/>
        </w:rPr>
        <w:t xml:space="preserve">he Court is </w:t>
      </w:r>
      <w:r w:rsidRPr="00DA607A">
        <w:rPr>
          <w:lang w:val="en-GB"/>
        </w:rPr>
        <w:t xml:space="preserve">particularly </w:t>
      </w:r>
      <w:r w:rsidR="007D73CF" w:rsidRPr="00DA607A">
        <w:rPr>
          <w:lang w:val="en-GB"/>
        </w:rPr>
        <w:t xml:space="preserve">concerned about </w:t>
      </w:r>
      <w:r w:rsidR="009C62B1" w:rsidRPr="00DA607A">
        <w:rPr>
          <w:lang w:val="en-GB"/>
        </w:rPr>
        <w:t xml:space="preserve">the fact that the case had </w:t>
      </w:r>
      <w:r w:rsidR="00BB6130" w:rsidRPr="00DA607A">
        <w:rPr>
          <w:lang w:val="en-GB"/>
        </w:rPr>
        <w:t xml:space="preserve">already </w:t>
      </w:r>
      <w:r w:rsidR="009C62B1" w:rsidRPr="00DA607A">
        <w:rPr>
          <w:lang w:val="en-GB"/>
        </w:rPr>
        <w:t>been with the first-instance court for ten months when the RODK report was finally ordered</w:t>
      </w:r>
      <w:r w:rsidR="0037356D" w:rsidRPr="00DA607A">
        <w:rPr>
          <w:lang w:val="en-GB"/>
        </w:rPr>
        <w:t>,</w:t>
      </w:r>
      <w:r w:rsidR="009C62B1" w:rsidRPr="00DA607A">
        <w:rPr>
          <w:lang w:val="en-GB"/>
        </w:rPr>
        <w:t xml:space="preserve"> </w:t>
      </w:r>
      <w:r w:rsidR="00716801" w:rsidRPr="00DA607A">
        <w:rPr>
          <w:lang w:val="en-GB"/>
        </w:rPr>
        <w:t>whereas</w:t>
      </w:r>
      <w:r w:rsidR="009C62B1" w:rsidRPr="00DA607A">
        <w:rPr>
          <w:lang w:val="en-GB"/>
        </w:rPr>
        <w:t xml:space="preserve"> the experts </w:t>
      </w:r>
      <w:r w:rsidRPr="00DA607A">
        <w:rPr>
          <w:lang w:val="en-GB"/>
        </w:rPr>
        <w:t xml:space="preserve">rushed to </w:t>
      </w:r>
      <w:r w:rsidR="009C62B1" w:rsidRPr="00DA607A">
        <w:rPr>
          <w:lang w:val="en-GB"/>
        </w:rPr>
        <w:t>complete their work</w:t>
      </w:r>
      <w:r w:rsidRPr="00DA607A">
        <w:rPr>
          <w:lang w:val="en-GB"/>
        </w:rPr>
        <w:t xml:space="preserve"> in </w:t>
      </w:r>
      <w:r w:rsidR="0018402B" w:rsidRPr="00DA607A">
        <w:rPr>
          <w:lang w:val="en-GB"/>
        </w:rPr>
        <w:t>ten</w:t>
      </w:r>
      <w:r w:rsidR="009C62B1" w:rsidRPr="00DA607A">
        <w:rPr>
          <w:lang w:val="en-GB"/>
        </w:rPr>
        <w:t xml:space="preserve"> days</w:t>
      </w:r>
      <w:r w:rsidRPr="00DA607A">
        <w:rPr>
          <w:lang w:val="en-GB"/>
        </w:rPr>
        <w:t xml:space="preserve">, even though they </w:t>
      </w:r>
      <w:r w:rsidR="0018402B" w:rsidRPr="00DA607A">
        <w:rPr>
          <w:lang w:val="en-GB"/>
        </w:rPr>
        <w:t>were expected</w:t>
      </w:r>
      <w:r w:rsidRPr="00DA607A">
        <w:rPr>
          <w:lang w:val="en-GB"/>
        </w:rPr>
        <w:t xml:space="preserve"> to analyse four volumes of the case</w:t>
      </w:r>
      <w:r w:rsidR="0037356D" w:rsidRPr="00DA607A">
        <w:rPr>
          <w:lang w:val="en-GB"/>
        </w:rPr>
        <w:t xml:space="preserve"> </w:t>
      </w:r>
      <w:r w:rsidRPr="00DA607A">
        <w:rPr>
          <w:lang w:val="en-GB"/>
        </w:rPr>
        <w:t>file and to carry out interviews and psy</w:t>
      </w:r>
      <w:r w:rsidR="0018402B" w:rsidRPr="00DA607A">
        <w:rPr>
          <w:lang w:val="en-GB"/>
        </w:rPr>
        <w:t xml:space="preserve">chological examinations of E.N., </w:t>
      </w:r>
      <w:r w:rsidRPr="00DA607A">
        <w:rPr>
          <w:lang w:val="en-GB"/>
        </w:rPr>
        <w:t>the child</w:t>
      </w:r>
      <w:r w:rsidR="0018402B" w:rsidRPr="00DA607A">
        <w:rPr>
          <w:lang w:val="en-GB"/>
        </w:rPr>
        <w:t xml:space="preserve"> and the applicant if he had attended</w:t>
      </w:r>
      <w:r w:rsidRPr="00DA607A">
        <w:rPr>
          <w:lang w:val="en-GB"/>
        </w:rPr>
        <w:t>.</w:t>
      </w:r>
    </w:p>
    <w:p w:rsidR="00747CA5" w:rsidRPr="00DA607A" w:rsidRDefault="00747CA5"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68</w:t>
      </w:r>
      <w:r w:rsidRPr="00DA607A">
        <w:rPr>
          <w:lang w:val="en-GB"/>
        </w:rPr>
        <w:fldChar w:fldCharType="end"/>
      </w:r>
      <w:r w:rsidRPr="00DA607A">
        <w:rPr>
          <w:lang w:val="en-GB"/>
        </w:rPr>
        <w:t>.  Consequently, even though the six-week time-limit is non-obligatory</w:t>
      </w:r>
      <w:r w:rsidR="00C524B7" w:rsidRPr="00DA607A">
        <w:rPr>
          <w:lang w:val="en-GB"/>
        </w:rPr>
        <w:t xml:space="preserve"> under the Hague Convention</w:t>
      </w:r>
      <w:r w:rsidRPr="00DA607A">
        <w:rPr>
          <w:lang w:val="en-GB"/>
        </w:rPr>
        <w:t xml:space="preserve">, the Court considers that exceeding it by </w:t>
      </w:r>
      <w:r w:rsidR="003559FE" w:rsidRPr="00DA607A">
        <w:rPr>
          <w:lang w:val="en-GB"/>
        </w:rPr>
        <w:t xml:space="preserve">sixty-four </w:t>
      </w:r>
      <w:r w:rsidRPr="00DA607A">
        <w:rPr>
          <w:lang w:val="en-GB"/>
        </w:rPr>
        <w:t xml:space="preserve">weeks, in the absence of any circumstances capable of exempting the domestic courts from the duty to strictly observe it, does not meet the urgency of the situation and is not in compliance with the positive obligation to act expeditiously in proceedings for the return of children (see </w:t>
      </w:r>
      <w:r w:rsidR="00EC0E41" w:rsidRPr="00DA607A">
        <w:rPr>
          <w:i/>
          <w:lang w:val="en-GB"/>
        </w:rPr>
        <w:t>K.J</w:t>
      </w:r>
      <w:r w:rsidR="00EC0E41" w:rsidRPr="00DA607A">
        <w:rPr>
          <w:lang w:val="en-GB"/>
        </w:rPr>
        <w:t>.</w:t>
      </w:r>
      <w:r w:rsidR="00F6779D" w:rsidRPr="00DA607A">
        <w:rPr>
          <w:i/>
          <w:lang w:val="en-GB"/>
        </w:rPr>
        <w:t xml:space="preserve"> v. Poland</w:t>
      </w:r>
      <w:r w:rsidR="00EC0E41" w:rsidRPr="00DA607A">
        <w:rPr>
          <w:lang w:val="en-GB"/>
        </w:rPr>
        <w:t xml:space="preserve">, cited above, § 72; </w:t>
      </w:r>
      <w:r w:rsidRPr="00DA607A">
        <w:rPr>
          <w:i/>
          <w:lang w:val="en-GB"/>
        </w:rPr>
        <w:t>Carlson v. Switzerland</w:t>
      </w:r>
      <w:r w:rsidR="00670BE1" w:rsidRPr="00DA607A">
        <w:rPr>
          <w:lang w:val="en-GB"/>
        </w:rPr>
        <w:t>, no. </w:t>
      </w:r>
      <w:r w:rsidR="0044448E" w:rsidRPr="00DA607A">
        <w:rPr>
          <w:lang w:val="en-GB"/>
        </w:rPr>
        <w:t>49492/06, § </w:t>
      </w:r>
      <w:r w:rsidRPr="00DA607A">
        <w:rPr>
          <w:lang w:val="en-GB"/>
        </w:rPr>
        <w:t xml:space="preserve">76, 6 November 2008; </w:t>
      </w:r>
      <w:r w:rsidRPr="00DA607A">
        <w:rPr>
          <w:i/>
          <w:lang w:val="en-GB"/>
        </w:rPr>
        <w:t>Karrer v. Romania</w:t>
      </w:r>
      <w:r w:rsidRPr="00DA607A">
        <w:rPr>
          <w:lang w:val="en-GB"/>
        </w:rPr>
        <w:t>, no. 16965/10</w:t>
      </w:r>
      <w:r w:rsidRPr="00DA607A">
        <w:rPr>
          <w:snapToGrid w:val="0"/>
          <w:szCs w:val="24"/>
          <w:lang w:val="en-GB"/>
        </w:rPr>
        <w:t>, §</w:t>
      </w:r>
      <w:r w:rsidR="0044448E" w:rsidRPr="00DA607A">
        <w:rPr>
          <w:snapToGrid w:val="0"/>
          <w:szCs w:val="24"/>
          <w:lang w:val="en-GB"/>
        </w:rPr>
        <w:t> </w:t>
      </w:r>
      <w:r w:rsidRPr="00DA607A">
        <w:rPr>
          <w:snapToGrid w:val="0"/>
          <w:szCs w:val="24"/>
          <w:lang w:val="en-GB"/>
        </w:rPr>
        <w:t xml:space="preserve">54, 21 February 2012; </w:t>
      </w:r>
      <w:r w:rsidRPr="00DA607A">
        <w:rPr>
          <w:i/>
        </w:rPr>
        <w:t>R.S.</w:t>
      </w:r>
      <w:r w:rsidRPr="00DA607A">
        <w:t xml:space="preserve"> </w:t>
      </w:r>
      <w:r w:rsidRPr="00DA607A">
        <w:rPr>
          <w:i/>
        </w:rPr>
        <w:t>v. Poland</w:t>
      </w:r>
      <w:r w:rsidRPr="00DA607A">
        <w:t>, no. 63777/09</w:t>
      </w:r>
      <w:r w:rsidRPr="00DA607A">
        <w:rPr>
          <w:snapToGrid w:val="0"/>
        </w:rPr>
        <w:t>,</w:t>
      </w:r>
      <w:r w:rsidRPr="00DA607A">
        <w:t xml:space="preserve"> </w:t>
      </w:r>
      <w:r w:rsidRPr="00DA607A">
        <w:rPr>
          <w:snapToGrid w:val="0"/>
        </w:rPr>
        <w:t xml:space="preserve">§ 70, 21 July 2015; </w:t>
      </w:r>
      <w:r w:rsidR="00A33E4B" w:rsidRPr="00DA607A">
        <w:rPr>
          <w:i/>
        </w:rPr>
        <w:t>Blaga v. </w:t>
      </w:r>
      <w:r w:rsidRPr="00DA607A">
        <w:rPr>
          <w:i/>
        </w:rPr>
        <w:t>Romania</w:t>
      </w:r>
      <w:r w:rsidRPr="00DA607A">
        <w:t>, no. 54443/10</w:t>
      </w:r>
      <w:r w:rsidRPr="00DA607A">
        <w:rPr>
          <w:snapToGrid w:val="0"/>
        </w:rPr>
        <w:t xml:space="preserve">, § 83, 1 July 2014; and </w:t>
      </w:r>
      <w:r w:rsidR="00670BE1" w:rsidRPr="00DA607A">
        <w:rPr>
          <w:i/>
          <w:lang w:val="en-GB"/>
        </w:rPr>
        <w:t>Monory v. </w:t>
      </w:r>
      <w:r w:rsidR="00A06729" w:rsidRPr="00DA607A">
        <w:rPr>
          <w:i/>
          <w:lang w:val="en-GB"/>
        </w:rPr>
        <w:t>Romania and Hungary</w:t>
      </w:r>
      <w:r w:rsidR="00A06729" w:rsidRPr="00DA607A">
        <w:rPr>
          <w:lang w:val="en-GB"/>
        </w:rPr>
        <w:t>, no. 71099/01, § 82, 5 April 2005</w:t>
      </w:r>
      <w:r w:rsidRPr="00DA607A">
        <w:rPr>
          <w:snapToGrid w:val="0"/>
        </w:rPr>
        <w:t xml:space="preserve">; see also, </w:t>
      </w:r>
      <w:r w:rsidR="00645F5C" w:rsidRPr="00DA607A">
        <w:rPr>
          <w:snapToGrid w:val="0"/>
        </w:rPr>
        <w:t>in contrast</w:t>
      </w:r>
      <w:r w:rsidRPr="00DA607A">
        <w:rPr>
          <w:snapToGrid w:val="0"/>
        </w:rPr>
        <w:t>,</w:t>
      </w:r>
      <w:r w:rsidRPr="00DA607A">
        <w:rPr>
          <w:i/>
        </w:rPr>
        <w:t xml:space="preserve"> Lipkowsky </w:t>
      </w:r>
      <w:r w:rsidRPr="00DA607A">
        <w:t>(dec.), cited above</w:t>
      </w:r>
      <w:r w:rsidRPr="00DA607A">
        <w:rPr>
          <w:lang w:val="en-GB"/>
        </w:rPr>
        <w:t>).</w:t>
      </w:r>
    </w:p>
    <w:p w:rsidR="00747CA5" w:rsidRPr="00DA607A" w:rsidRDefault="00747CA5"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69</w:t>
      </w:r>
      <w:r w:rsidRPr="00DA607A">
        <w:rPr>
          <w:lang w:val="en-GB"/>
        </w:rPr>
        <w:fldChar w:fldCharType="end"/>
      </w:r>
      <w:r w:rsidRPr="00DA607A">
        <w:rPr>
          <w:lang w:val="en-GB"/>
        </w:rPr>
        <w:t>.  In conclusion, in the circumstances of the case seen as a whole and notwithstanding the respondent States</w:t>
      </w:r>
      <w:r w:rsidR="00DA607A" w:rsidRPr="00DA607A">
        <w:rPr>
          <w:lang w:val="en-GB"/>
        </w:rPr>
        <w:t>’</w:t>
      </w:r>
      <w:r w:rsidRPr="00DA607A">
        <w:rPr>
          <w:lang w:val="en-GB"/>
        </w:rPr>
        <w:t xml:space="preserve"> margin of appreciation in the matter, the Court considers that the State failed to comply with its positive obligations under Article 8 of the Convention.</w:t>
      </w:r>
    </w:p>
    <w:p w:rsidR="00963EDA" w:rsidRPr="00DA607A" w:rsidRDefault="00EE0166" w:rsidP="00DA607A">
      <w:pPr>
        <w:pStyle w:val="ECHRPara"/>
        <w:rPr>
          <w:lang w:val="en-GB"/>
        </w:rPr>
      </w:pPr>
      <w:r>
        <w:fldChar w:fldCharType="begin"/>
      </w:r>
      <w:r>
        <w:instrText xml:space="preserve"> SEQ level0 \*arabic </w:instrText>
      </w:r>
      <w:r>
        <w:fldChar w:fldCharType="separate"/>
      </w:r>
      <w:r w:rsidR="00DA607A" w:rsidRPr="00DA607A">
        <w:rPr>
          <w:noProof/>
        </w:rPr>
        <w:t>70</w:t>
      </w:r>
      <w:r>
        <w:rPr>
          <w:noProof/>
        </w:rPr>
        <w:fldChar w:fldCharType="end"/>
      </w:r>
      <w:r w:rsidR="00963EDA" w:rsidRPr="00DA607A">
        <w:t>.  In view of the above conclusion, it is unnecessary that the remainder of the applicant</w:t>
      </w:r>
      <w:r w:rsidR="00DA607A" w:rsidRPr="00DA607A">
        <w:t>’</w:t>
      </w:r>
      <w:r w:rsidR="00963EDA" w:rsidRPr="00DA607A">
        <w:t>s complaint about the allegedly defective procedure be examined by the Court.</w:t>
      </w:r>
    </w:p>
    <w:p w:rsidR="000A5A2B" w:rsidRPr="00DA607A" w:rsidRDefault="000A5A2B"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71</w:t>
      </w:r>
      <w:r w:rsidRPr="00DA607A">
        <w:rPr>
          <w:lang w:val="en-GB"/>
        </w:rPr>
        <w:fldChar w:fldCharType="end"/>
      </w:r>
      <w:r w:rsidRPr="00DA607A">
        <w:rPr>
          <w:lang w:val="en-GB"/>
        </w:rPr>
        <w:t>. There has accordingly been a violation of Article 8 of the Convention.</w:t>
      </w:r>
    </w:p>
    <w:p w:rsidR="000A5A2B" w:rsidRPr="00DA607A" w:rsidRDefault="000A5A2B"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72</w:t>
      </w:r>
      <w:r w:rsidRPr="00DA607A">
        <w:rPr>
          <w:lang w:val="en-GB"/>
        </w:rPr>
        <w:fldChar w:fldCharType="end"/>
      </w:r>
      <w:r w:rsidRPr="00DA607A">
        <w:rPr>
          <w:lang w:val="en-GB"/>
        </w:rPr>
        <w:t xml:space="preserve">.  Lastly, the Court observes that, as the child </w:t>
      </w:r>
      <w:r w:rsidR="005D3F13" w:rsidRPr="00DA607A">
        <w:rPr>
          <w:lang w:val="en-GB"/>
        </w:rPr>
        <w:t xml:space="preserve">lost contact with his father at the age of six months and has </w:t>
      </w:r>
      <w:r w:rsidRPr="00DA607A">
        <w:rPr>
          <w:lang w:val="en-GB"/>
        </w:rPr>
        <w:t xml:space="preserve">lived with his mother in Poland for over </w:t>
      </w:r>
      <w:r w:rsidR="005D3F13" w:rsidRPr="00DA607A">
        <w:rPr>
          <w:lang w:val="en-GB"/>
        </w:rPr>
        <w:t>four years</w:t>
      </w:r>
      <w:r w:rsidRPr="00DA607A">
        <w:rPr>
          <w:lang w:val="en-GB"/>
        </w:rPr>
        <w:t xml:space="preserve">, the present judgment </w:t>
      </w:r>
      <w:r w:rsidR="00A01A0F" w:rsidRPr="00DA607A">
        <w:rPr>
          <w:lang w:val="en-GB"/>
        </w:rPr>
        <w:t>should in no way</w:t>
      </w:r>
      <w:r w:rsidRPr="00DA607A">
        <w:rPr>
          <w:lang w:val="en-GB"/>
        </w:rPr>
        <w:t xml:space="preserve"> be interpreted as </w:t>
      </w:r>
      <w:r w:rsidR="00A01A0F" w:rsidRPr="00DA607A">
        <w:rPr>
          <w:lang w:val="en-GB"/>
        </w:rPr>
        <w:t xml:space="preserve">suggesting that </w:t>
      </w:r>
      <w:r w:rsidRPr="00DA607A">
        <w:rPr>
          <w:lang w:val="en-GB"/>
        </w:rPr>
        <w:t xml:space="preserve">the respondent State </w:t>
      </w:r>
      <w:r w:rsidR="00A01A0F" w:rsidRPr="00DA607A">
        <w:rPr>
          <w:lang w:val="en-GB"/>
        </w:rPr>
        <w:t xml:space="preserve">should </w:t>
      </w:r>
      <w:r w:rsidRPr="00DA607A">
        <w:rPr>
          <w:lang w:val="en-GB"/>
        </w:rPr>
        <w:t xml:space="preserve">take steps </w:t>
      </w:r>
      <w:r w:rsidR="00A8046A" w:rsidRPr="00DA607A">
        <w:rPr>
          <w:lang w:val="en-GB"/>
        </w:rPr>
        <w:t xml:space="preserve">to order </w:t>
      </w:r>
      <w:r w:rsidR="00DA55CA" w:rsidRPr="00DA607A">
        <w:rPr>
          <w:lang w:val="en-GB"/>
        </w:rPr>
        <w:t>the child</w:t>
      </w:r>
      <w:r w:rsidR="00DA607A" w:rsidRPr="00DA607A">
        <w:rPr>
          <w:lang w:val="en-GB"/>
        </w:rPr>
        <w:t>’</w:t>
      </w:r>
      <w:r w:rsidR="00DA55CA" w:rsidRPr="00DA607A">
        <w:rPr>
          <w:lang w:val="en-GB"/>
        </w:rPr>
        <w:t>s</w:t>
      </w:r>
      <w:r w:rsidRPr="00DA607A">
        <w:rPr>
          <w:lang w:val="en-GB"/>
        </w:rPr>
        <w:t xml:space="preserve"> return to </w:t>
      </w:r>
      <w:r w:rsidR="005D3F13" w:rsidRPr="00DA607A">
        <w:rPr>
          <w:lang w:val="en-GB"/>
        </w:rPr>
        <w:t>Canada</w:t>
      </w:r>
      <w:r w:rsidRPr="00DA607A">
        <w:rPr>
          <w:lang w:val="en-GB"/>
        </w:rPr>
        <w:t>.</w:t>
      </w:r>
    </w:p>
    <w:p w:rsidR="000A5A2B" w:rsidRPr="00DA607A" w:rsidRDefault="000602A3" w:rsidP="00DA607A">
      <w:pPr>
        <w:pStyle w:val="ECHRHeading1"/>
        <w:rPr>
          <w:lang w:val="en-GB"/>
        </w:rPr>
      </w:pPr>
      <w:r w:rsidRPr="00DA607A">
        <w:rPr>
          <w:lang w:val="en-GB"/>
        </w:rPr>
        <w:t>II. </w:t>
      </w:r>
      <w:r w:rsidR="00483780" w:rsidRPr="00DA607A">
        <w:rPr>
          <w:lang w:val="en-GB"/>
        </w:rPr>
        <w:t> </w:t>
      </w:r>
      <w:r w:rsidR="000A5A2B" w:rsidRPr="00DA607A">
        <w:rPr>
          <w:lang w:val="en-GB"/>
        </w:rPr>
        <w:t>ALLEGED VIOLATION OF ARTICLE 8 OF THE CONVENTION ON ACCOUNT OF T</w:t>
      </w:r>
      <w:r w:rsidR="006B1BD9" w:rsidRPr="00DA607A">
        <w:rPr>
          <w:lang w:val="en-GB"/>
        </w:rPr>
        <w:t>HE DOMESTIC COURTS</w:t>
      </w:r>
      <w:r w:rsidR="00DA607A" w:rsidRPr="00DA607A">
        <w:rPr>
          <w:lang w:val="en-GB"/>
        </w:rPr>
        <w:t>’</w:t>
      </w:r>
      <w:r w:rsidR="006B1BD9" w:rsidRPr="00DA607A">
        <w:rPr>
          <w:lang w:val="en-GB"/>
        </w:rPr>
        <w:t xml:space="preserve"> FAILURE TO</w:t>
      </w:r>
      <w:r w:rsidR="000A5A2B" w:rsidRPr="00DA607A">
        <w:rPr>
          <w:lang w:val="en-GB"/>
        </w:rPr>
        <w:t xml:space="preserve"> </w:t>
      </w:r>
      <w:r w:rsidR="006B1BD9" w:rsidRPr="00DA607A">
        <w:rPr>
          <w:lang w:val="en-GB"/>
        </w:rPr>
        <w:t xml:space="preserve">SECURE </w:t>
      </w:r>
      <w:r w:rsidR="007D73CF" w:rsidRPr="00DA607A">
        <w:rPr>
          <w:lang w:val="en-GB"/>
        </w:rPr>
        <w:t xml:space="preserve">THE </w:t>
      </w:r>
      <w:r w:rsidR="006B1BD9" w:rsidRPr="00DA607A">
        <w:rPr>
          <w:lang w:val="en-GB"/>
        </w:rPr>
        <w:t>APPLICANT</w:t>
      </w:r>
      <w:r w:rsidR="00DA607A" w:rsidRPr="00DA607A">
        <w:rPr>
          <w:lang w:val="en-GB"/>
        </w:rPr>
        <w:t>’</w:t>
      </w:r>
      <w:r w:rsidR="006B1BD9" w:rsidRPr="00DA607A">
        <w:rPr>
          <w:lang w:val="en-GB"/>
        </w:rPr>
        <w:t>S</w:t>
      </w:r>
      <w:r w:rsidR="000A5A2B" w:rsidRPr="00DA607A">
        <w:rPr>
          <w:lang w:val="en-GB"/>
        </w:rPr>
        <w:t xml:space="preserve"> CONTACT </w:t>
      </w:r>
      <w:r w:rsidR="006B1BD9" w:rsidRPr="00DA607A">
        <w:rPr>
          <w:lang w:val="en-GB"/>
        </w:rPr>
        <w:t>RIGHT</w:t>
      </w:r>
    </w:p>
    <w:p w:rsidR="00930825" w:rsidRPr="00DA607A" w:rsidRDefault="000A5A2B"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73</w:t>
      </w:r>
      <w:r w:rsidRPr="00DA607A">
        <w:rPr>
          <w:lang w:val="en-GB"/>
        </w:rPr>
        <w:fldChar w:fldCharType="end"/>
      </w:r>
      <w:r w:rsidRPr="00DA607A">
        <w:rPr>
          <w:lang w:val="en-GB"/>
        </w:rPr>
        <w:t xml:space="preserve">.  The applicant also complained that the </w:t>
      </w:r>
      <w:r w:rsidR="00A06729" w:rsidRPr="00DA607A">
        <w:rPr>
          <w:lang w:val="en-GB"/>
        </w:rPr>
        <w:t>domestic court</w:t>
      </w:r>
      <w:r w:rsidR="00EB58AD" w:rsidRPr="00DA607A">
        <w:rPr>
          <w:lang w:val="en-GB"/>
        </w:rPr>
        <w:t xml:space="preserve"> had </w:t>
      </w:r>
      <w:r w:rsidRPr="00DA607A">
        <w:rPr>
          <w:lang w:val="en-GB"/>
        </w:rPr>
        <w:t xml:space="preserve">failed to secure the </w:t>
      </w:r>
      <w:r w:rsidR="00EB58AD" w:rsidRPr="00DA607A">
        <w:rPr>
          <w:lang w:val="en-GB"/>
        </w:rPr>
        <w:t xml:space="preserve">effective </w:t>
      </w:r>
      <w:r w:rsidRPr="00DA607A">
        <w:rPr>
          <w:lang w:val="en-GB"/>
        </w:rPr>
        <w:t xml:space="preserve">exercise of his right of contact during the Hague Convention proceedings. </w:t>
      </w:r>
      <w:r w:rsidR="00EB58AD" w:rsidRPr="00DA607A">
        <w:rPr>
          <w:lang w:val="en-GB"/>
        </w:rPr>
        <w:t xml:space="preserve">As </w:t>
      </w:r>
      <w:r w:rsidR="00214CCF" w:rsidRPr="00DA607A">
        <w:rPr>
          <w:lang w:val="en-GB"/>
        </w:rPr>
        <w:t>a result</w:t>
      </w:r>
      <w:r w:rsidRPr="00DA607A">
        <w:rPr>
          <w:lang w:val="en-GB"/>
        </w:rPr>
        <w:t xml:space="preserve">, his contact with the child </w:t>
      </w:r>
      <w:r w:rsidR="00EB58AD" w:rsidRPr="00DA607A">
        <w:rPr>
          <w:lang w:val="en-GB"/>
        </w:rPr>
        <w:t xml:space="preserve">had been </w:t>
      </w:r>
      <w:r w:rsidRPr="00DA607A">
        <w:rPr>
          <w:lang w:val="en-GB"/>
        </w:rPr>
        <w:t xml:space="preserve">irregular and rare, as it </w:t>
      </w:r>
      <w:r w:rsidR="00EB58AD" w:rsidRPr="00DA607A">
        <w:rPr>
          <w:lang w:val="en-GB"/>
        </w:rPr>
        <w:t xml:space="preserve">had been </w:t>
      </w:r>
      <w:r w:rsidRPr="00DA607A">
        <w:rPr>
          <w:lang w:val="en-GB"/>
        </w:rPr>
        <w:t>at the absolute discretion of the abducting mother. That, in the applicant</w:t>
      </w:r>
      <w:r w:rsidR="00DA607A" w:rsidRPr="00DA607A">
        <w:rPr>
          <w:lang w:val="en-GB"/>
        </w:rPr>
        <w:t>’</w:t>
      </w:r>
      <w:r w:rsidRPr="00DA607A">
        <w:rPr>
          <w:lang w:val="en-GB"/>
        </w:rPr>
        <w:t xml:space="preserve">s view, </w:t>
      </w:r>
      <w:r w:rsidR="00EB58AD" w:rsidRPr="00DA607A">
        <w:rPr>
          <w:lang w:val="en-GB"/>
        </w:rPr>
        <w:t xml:space="preserve">had </w:t>
      </w:r>
      <w:r w:rsidR="000602A3" w:rsidRPr="00DA607A">
        <w:rPr>
          <w:lang w:val="en-GB"/>
        </w:rPr>
        <w:t>led to the break</w:t>
      </w:r>
      <w:r w:rsidR="00930825" w:rsidRPr="00DA607A">
        <w:rPr>
          <w:lang w:val="en-GB"/>
        </w:rPr>
        <w:t>-up</w:t>
      </w:r>
      <w:r w:rsidR="000602A3" w:rsidRPr="00DA607A">
        <w:rPr>
          <w:lang w:val="en-GB"/>
        </w:rPr>
        <w:t xml:space="preserve"> </w:t>
      </w:r>
      <w:r w:rsidR="00685C92" w:rsidRPr="00DA607A">
        <w:rPr>
          <w:lang w:val="en-GB"/>
        </w:rPr>
        <w:t xml:space="preserve">of </w:t>
      </w:r>
      <w:r w:rsidR="00574E5A" w:rsidRPr="00DA607A">
        <w:rPr>
          <w:lang w:val="en-GB"/>
        </w:rPr>
        <w:t>the father</w:t>
      </w:r>
      <w:r w:rsidR="00574E5A" w:rsidRPr="00DA607A">
        <w:rPr>
          <w:lang w:val="en-GB"/>
        </w:rPr>
        <w:noBreakHyphen/>
      </w:r>
      <w:r w:rsidR="000602A3" w:rsidRPr="00DA607A">
        <w:rPr>
          <w:lang w:val="en-GB"/>
        </w:rPr>
        <w:t>son relationship</w:t>
      </w:r>
      <w:r w:rsidR="00EB58AD" w:rsidRPr="00DA607A">
        <w:rPr>
          <w:lang w:val="en-GB"/>
        </w:rPr>
        <w:t>,</w:t>
      </w:r>
      <w:r w:rsidR="000602A3" w:rsidRPr="00DA607A">
        <w:rPr>
          <w:lang w:val="en-GB"/>
        </w:rPr>
        <w:t xml:space="preserve"> and </w:t>
      </w:r>
      <w:r w:rsidR="00EB58AD" w:rsidRPr="00DA607A">
        <w:rPr>
          <w:lang w:val="en-GB"/>
        </w:rPr>
        <w:t xml:space="preserve">it had been </w:t>
      </w:r>
      <w:r w:rsidRPr="00DA607A">
        <w:rPr>
          <w:lang w:val="en-GB"/>
        </w:rPr>
        <w:t>in breach of Article 21 of the Hague Convention and in violation of his and his son</w:t>
      </w:r>
      <w:r w:rsidR="00DA607A" w:rsidRPr="00DA607A">
        <w:rPr>
          <w:lang w:val="en-GB"/>
        </w:rPr>
        <w:t>’</w:t>
      </w:r>
      <w:r w:rsidRPr="00DA607A">
        <w:rPr>
          <w:lang w:val="en-GB"/>
        </w:rPr>
        <w:t xml:space="preserve">s right </w:t>
      </w:r>
      <w:r w:rsidR="00DA234B" w:rsidRPr="00DA607A">
        <w:rPr>
          <w:lang w:val="en-GB"/>
        </w:rPr>
        <w:t xml:space="preserve">to </w:t>
      </w:r>
      <w:r w:rsidRPr="00DA607A">
        <w:rPr>
          <w:lang w:val="en-GB"/>
        </w:rPr>
        <w:t>respect for their family life under Article 8 of the Convention.</w:t>
      </w:r>
    </w:p>
    <w:p w:rsidR="00AF69D5" w:rsidRPr="00DA607A" w:rsidRDefault="00370113"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74</w:t>
      </w:r>
      <w:r w:rsidRPr="00DA607A">
        <w:rPr>
          <w:lang w:val="en-GB"/>
        </w:rPr>
        <w:fldChar w:fldCharType="end"/>
      </w:r>
      <w:r w:rsidRPr="00DA607A">
        <w:rPr>
          <w:lang w:val="en-GB"/>
        </w:rPr>
        <w:t>.  The Government did not comment</w:t>
      </w:r>
      <w:r w:rsidR="00AF69D5" w:rsidRPr="00DA607A">
        <w:rPr>
          <w:lang w:val="en-GB"/>
        </w:rPr>
        <w:t>.</w:t>
      </w:r>
    </w:p>
    <w:p w:rsidR="0098389A" w:rsidRPr="00DA607A" w:rsidRDefault="00370113" w:rsidP="00DA607A">
      <w:pPr>
        <w:pStyle w:val="ECHRPara"/>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75</w:t>
      </w:r>
      <w:r w:rsidRPr="00DA607A">
        <w:rPr>
          <w:lang w:val="en-GB"/>
        </w:rPr>
        <w:fldChar w:fldCharType="end"/>
      </w:r>
      <w:r w:rsidRPr="00DA607A">
        <w:rPr>
          <w:lang w:val="en-GB"/>
        </w:rPr>
        <w:t>.  </w:t>
      </w:r>
      <w:r w:rsidR="00AF69D5" w:rsidRPr="00DA607A">
        <w:rPr>
          <w:rFonts w:ascii="Times New Roman" w:eastAsia="Times New Roman" w:hAnsi="Times New Roman" w:cs="Times New Roman"/>
          <w:szCs w:val="24"/>
        </w:rPr>
        <w:t xml:space="preserve">The Court reiterates </w:t>
      </w:r>
      <w:r w:rsidR="0098389A" w:rsidRPr="00DA607A">
        <w:t xml:space="preserve">that Article 8 includes a right for a parent to have measures taken with a view to his or her being reunited with the child or to having his or her contact with the child secured, and an obligation </w:t>
      </w:r>
      <w:r w:rsidR="00961988" w:rsidRPr="00DA607A">
        <w:t xml:space="preserve">on </w:t>
      </w:r>
      <w:r w:rsidR="0098389A" w:rsidRPr="00DA607A">
        <w:t>the national authorities to take such measures. This applies not only to cases dealing with the compulsory taking of children into public care and the implementation of care measures but also to cases where contact and residence disputes concerning children arise between parents and/or other members of the children</w:t>
      </w:r>
      <w:r w:rsidR="00DA607A" w:rsidRPr="00DA607A">
        <w:t>’</w:t>
      </w:r>
      <w:r w:rsidR="0098389A" w:rsidRPr="00DA607A">
        <w:t>s family.</w:t>
      </w:r>
    </w:p>
    <w:p w:rsidR="0098389A" w:rsidRPr="00DA607A" w:rsidRDefault="0098389A" w:rsidP="00DA607A">
      <w:pPr>
        <w:pStyle w:val="ECHRPara"/>
        <w:rPr>
          <w:lang w:val="en-GB"/>
        </w:rPr>
      </w:pPr>
      <w:r w:rsidRPr="00DA607A">
        <w:t xml:space="preserve">The obligation of the national authorities to take measures to facilitate contact by a non-custodial parent with children </w:t>
      </w:r>
      <w:r w:rsidR="0040777C" w:rsidRPr="00DA607A">
        <w:t xml:space="preserve">during or after </w:t>
      </w:r>
      <w:r w:rsidRPr="00DA607A">
        <w:t xml:space="preserve">divorce is not, however, absolute. The key consideration is whether those authorities have taken all necessary steps to facilitate contact as can reasonably be demanded in the special circumstances of each case. Other important factors in proceedings concerning children are that time takes on a particular significance as there is always a danger that any procedural delay will result in the </w:t>
      </w:r>
      <w:r w:rsidRPr="00DA607A">
        <w:rPr>
          <w:i/>
        </w:rPr>
        <w:t>de facto</w:t>
      </w:r>
      <w:r w:rsidRPr="00DA607A">
        <w:t xml:space="preserve"> determination of the issue before the court, and that the decision-making procedure provides requisite protection of parental interests (see, </w:t>
      </w:r>
      <w:r w:rsidRPr="00DA607A">
        <w:rPr>
          <w:i/>
        </w:rPr>
        <w:t>mutatis mutandis</w:t>
      </w:r>
      <w:r w:rsidRPr="00DA607A">
        <w:t xml:space="preserve">, </w:t>
      </w:r>
      <w:r w:rsidRPr="00DA607A">
        <w:rPr>
          <w:i/>
          <w:szCs w:val="24"/>
          <w:lang w:val="en-GB"/>
        </w:rPr>
        <w:t>Zawadka v. Poland</w:t>
      </w:r>
      <w:r w:rsidR="00670BE1" w:rsidRPr="00DA607A">
        <w:rPr>
          <w:szCs w:val="24"/>
          <w:lang w:val="en-GB"/>
        </w:rPr>
        <w:t>, no. 48542/99, §</w:t>
      </w:r>
      <w:r w:rsidR="00267A3C" w:rsidRPr="00DA607A">
        <w:rPr>
          <w:szCs w:val="24"/>
          <w:lang w:val="en-GB"/>
        </w:rPr>
        <w:t>§</w:t>
      </w:r>
      <w:r w:rsidR="00670BE1" w:rsidRPr="00DA607A">
        <w:rPr>
          <w:szCs w:val="24"/>
          <w:lang w:val="en-GB"/>
        </w:rPr>
        <w:t> 55 and </w:t>
      </w:r>
      <w:r w:rsidRPr="00DA607A">
        <w:rPr>
          <w:szCs w:val="24"/>
          <w:lang w:val="en-GB"/>
        </w:rPr>
        <w:t>56, 23 June 2005 with further references).</w:t>
      </w:r>
    </w:p>
    <w:p w:rsidR="000602A3" w:rsidRPr="00DA607A" w:rsidRDefault="000A5A2B"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76</w:t>
      </w:r>
      <w:r w:rsidRPr="00DA607A">
        <w:rPr>
          <w:lang w:val="en-GB"/>
        </w:rPr>
        <w:fldChar w:fldCharType="end"/>
      </w:r>
      <w:r w:rsidRPr="00DA607A">
        <w:rPr>
          <w:lang w:val="en-GB"/>
        </w:rPr>
        <w:t>.  </w:t>
      </w:r>
      <w:r w:rsidR="00370113" w:rsidRPr="00DA607A">
        <w:rPr>
          <w:lang w:val="en-GB"/>
        </w:rPr>
        <w:t>In the circumstances of the present case,</w:t>
      </w:r>
      <w:r w:rsidR="000602A3" w:rsidRPr="00DA607A">
        <w:rPr>
          <w:lang w:val="en-GB"/>
        </w:rPr>
        <w:t xml:space="preserve"> since </w:t>
      </w:r>
      <w:r w:rsidR="00930825" w:rsidRPr="00DA607A">
        <w:rPr>
          <w:lang w:val="en-GB"/>
        </w:rPr>
        <w:t>July</w:t>
      </w:r>
      <w:r w:rsidR="000602A3" w:rsidRPr="00DA607A">
        <w:rPr>
          <w:lang w:val="en-GB"/>
        </w:rPr>
        <w:t xml:space="preserve"> 2011, the applicant visited his son once in March 2012 during his </w:t>
      </w:r>
      <w:r w:rsidR="003B156D" w:rsidRPr="00DA607A">
        <w:rPr>
          <w:lang w:val="en-GB"/>
        </w:rPr>
        <w:t xml:space="preserve">month-long </w:t>
      </w:r>
      <w:r w:rsidR="000602A3" w:rsidRPr="00DA607A">
        <w:rPr>
          <w:lang w:val="en-GB"/>
        </w:rPr>
        <w:t>stay in Poland</w:t>
      </w:r>
      <w:r w:rsidR="00114E3B" w:rsidRPr="00DA607A">
        <w:rPr>
          <w:lang w:val="en-GB"/>
        </w:rPr>
        <w:t xml:space="preserve"> (see paragraphs </w:t>
      </w:r>
      <w:r w:rsidR="00930825" w:rsidRPr="00DA607A">
        <w:rPr>
          <w:lang w:val="en-GB"/>
        </w:rPr>
        <w:t xml:space="preserve">16, </w:t>
      </w:r>
      <w:r w:rsidR="00114E3B" w:rsidRPr="00DA607A">
        <w:rPr>
          <w:lang w:val="en-GB"/>
        </w:rPr>
        <w:t>23 and 25 above)</w:t>
      </w:r>
      <w:r w:rsidR="000602A3" w:rsidRPr="00DA607A">
        <w:rPr>
          <w:lang w:val="en-GB"/>
        </w:rPr>
        <w:t>.</w:t>
      </w:r>
    </w:p>
    <w:p w:rsidR="00E502C2" w:rsidRPr="00DA607A" w:rsidRDefault="00E502C2"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77</w:t>
      </w:r>
      <w:r w:rsidRPr="00DA607A">
        <w:rPr>
          <w:lang w:val="en-GB"/>
        </w:rPr>
        <w:fldChar w:fldCharType="end"/>
      </w:r>
      <w:r w:rsidRPr="00DA607A">
        <w:rPr>
          <w:lang w:val="en-GB"/>
        </w:rPr>
        <w:t>.  In the Government</w:t>
      </w:r>
      <w:r w:rsidR="00DA607A" w:rsidRPr="00DA607A">
        <w:rPr>
          <w:lang w:val="en-GB"/>
        </w:rPr>
        <w:t>’</w:t>
      </w:r>
      <w:r w:rsidRPr="00DA607A">
        <w:rPr>
          <w:lang w:val="en-GB"/>
        </w:rPr>
        <w:t>s submission, the applicant had not enquired about or sought contact with the child. The applicant</w:t>
      </w:r>
      <w:r w:rsidR="00DA607A" w:rsidRPr="00DA607A">
        <w:rPr>
          <w:lang w:val="en-GB"/>
        </w:rPr>
        <w:t>’</w:t>
      </w:r>
      <w:r w:rsidRPr="00DA607A">
        <w:rPr>
          <w:lang w:val="en-GB"/>
        </w:rPr>
        <w:t xml:space="preserve">s </w:t>
      </w:r>
      <w:r w:rsidR="003B156D" w:rsidRPr="00DA607A">
        <w:rPr>
          <w:lang w:val="en-GB"/>
        </w:rPr>
        <w:t xml:space="preserve">submissions </w:t>
      </w:r>
      <w:r w:rsidRPr="00DA607A">
        <w:rPr>
          <w:lang w:val="en-GB"/>
        </w:rPr>
        <w:t xml:space="preserve">to the contrary </w:t>
      </w:r>
      <w:r w:rsidR="00B7130D" w:rsidRPr="00DA607A">
        <w:rPr>
          <w:lang w:val="en-GB"/>
        </w:rPr>
        <w:t>are to a large extent un</w:t>
      </w:r>
      <w:r w:rsidR="00CB3082" w:rsidRPr="00DA607A">
        <w:rPr>
          <w:lang w:val="en-GB"/>
        </w:rPr>
        <w:t>corroborated (see paragraph</w:t>
      </w:r>
      <w:r w:rsidR="00B7130D" w:rsidRPr="00DA607A">
        <w:rPr>
          <w:lang w:val="en-GB"/>
        </w:rPr>
        <w:t>s</w:t>
      </w:r>
      <w:r w:rsidR="00CB3082" w:rsidRPr="00DA607A">
        <w:rPr>
          <w:lang w:val="en-GB"/>
        </w:rPr>
        <w:t xml:space="preserve"> 24</w:t>
      </w:r>
      <w:r w:rsidR="00930825" w:rsidRPr="00DA607A">
        <w:rPr>
          <w:lang w:val="en-GB"/>
        </w:rPr>
        <w:t xml:space="preserve"> and</w:t>
      </w:r>
      <w:r w:rsidR="00A33E4B" w:rsidRPr="00DA607A">
        <w:rPr>
          <w:lang w:val="en-GB"/>
        </w:rPr>
        <w:t xml:space="preserve"> 28 </w:t>
      </w:r>
      <w:r w:rsidR="00CB3082" w:rsidRPr="00DA607A">
        <w:rPr>
          <w:lang w:val="en-GB"/>
        </w:rPr>
        <w:t>above).</w:t>
      </w:r>
    </w:p>
    <w:p w:rsidR="000602A3" w:rsidRPr="00DA607A" w:rsidRDefault="00CB3082"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78</w:t>
      </w:r>
      <w:r w:rsidRPr="00DA607A">
        <w:rPr>
          <w:lang w:val="en-GB"/>
        </w:rPr>
        <w:fldChar w:fldCharType="end"/>
      </w:r>
      <w:r w:rsidRPr="00DA607A">
        <w:rPr>
          <w:lang w:val="en-GB"/>
        </w:rPr>
        <w:t xml:space="preserve">.  The </w:t>
      </w:r>
      <w:r w:rsidR="00B7130D" w:rsidRPr="00DA607A">
        <w:rPr>
          <w:lang w:val="en-GB"/>
        </w:rPr>
        <w:t xml:space="preserve">scarce </w:t>
      </w:r>
      <w:r w:rsidRPr="00DA607A">
        <w:rPr>
          <w:lang w:val="en-GB"/>
        </w:rPr>
        <w:t xml:space="preserve">documents </w:t>
      </w:r>
      <w:r w:rsidR="00114E3B" w:rsidRPr="00DA607A">
        <w:rPr>
          <w:lang w:val="en-GB"/>
        </w:rPr>
        <w:t>in the case</w:t>
      </w:r>
      <w:r w:rsidR="003B156D" w:rsidRPr="00DA607A">
        <w:rPr>
          <w:lang w:val="en-GB"/>
        </w:rPr>
        <w:t xml:space="preserve"> </w:t>
      </w:r>
      <w:r w:rsidR="00114E3B" w:rsidRPr="00DA607A">
        <w:rPr>
          <w:lang w:val="en-GB"/>
        </w:rPr>
        <w:t>file</w:t>
      </w:r>
      <w:r w:rsidRPr="00DA607A">
        <w:rPr>
          <w:lang w:val="en-GB"/>
        </w:rPr>
        <w:t xml:space="preserve"> reveal that on 23</w:t>
      </w:r>
      <w:r w:rsidR="00670BE1" w:rsidRPr="00DA607A">
        <w:rPr>
          <w:lang w:val="en-GB"/>
        </w:rPr>
        <w:t> </w:t>
      </w:r>
      <w:r w:rsidRPr="00DA607A">
        <w:rPr>
          <w:lang w:val="en-GB"/>
        </w:rPr>
        <w:t>February 2012</w:t>
      </w:r>
      <w:r w:rsidR="000602A3" w:rsidRPr="00DA607A">
        <w:rPr>
          <w:lang w:val="en-GB"/>
        </w:rPr>
        <w:t xml:space="preserve"> the applicant appli</w:t>
      </w:r>
      <w:r w:rsidR="00205E90" w:rsidRPr="00DA607A">
        <w:rPr>
          <w:lang w:val="en-GB"/>
        </w:rPr>
        <w:t>ed</w:t>
      </w:r>
      <w:r w:rsidR="000602A3" w:rsidRPr="00DA607A">
        <w:t xml:space="preserve"> </w:t>
      </w:r>
      <w:r w:rsidR="00205E90" w:rsidRPr="00DA607A">
        <w:t>for an interim order on the right of contact for the duration of</w:t>
      </w:r>
      <w:r w:rsidR="000602A3" w:rsidRPr="00DA607A">
        <w:rPr>
          <w:lang w:val="en-GB"/>
        </w:rPr>
        <w:t xml:space="preserve"> the Hague Convention proceedings. </w:t>
      </w:r>
      <w:r w:rsidR="00114E3B" w:rsidRPr="00DA607A">
        <w:rPr>
          <w:lang w:val="en-GB"/>
        </w:rPr>
        <w:t>In particular, h</w:t>
      </w:r>
      <w:r w:rsidR="000602A3" w:rsidRPr="00DA607A">
        <w:rPr>
          <w:lang w:val="en-GB"/>
        </w:rPr>
        <w:t xml:space="preserve">e </w:t>
      </w:r>
      <w:r w:rsidR="00114E3B" w:rsidRPr="00DA607A">
        <w:rPr>
          <w:lang w:val="en-GB"/>
        </w:rPr>
        <w:t>sought</w:t>
      </w:r>
      <w:r w:rsidR="000602A3" w:rsidRPr="00DA607A">
        <w:rPr>
          <w:lang w:val="en-GB"/>
        </w:rPr>
        <w:t xml:space="preserve"> to meet with his son </w:t>
      </w:r>
      <w:r w:rsidR="003B156D" w:rsidRPr="00DA607A">
        <w:rPr>
          <w:lang w:val="en-GB"/>
        </w:rPr>
        <w:t xml:space="preserve">away from </w:t>
      </w:r>
      <w:r w:rsidR="000602A3" w:rsidRPr="00DA607A">
        <w:rPr>
          <w:lang w:val="en-GB"/>
        </w:rPr>
        <w:t>E.N.</w:t>
      </w:r>
      <w:r w:rsidR="00DA607A" w:rsidRPr="00DA607A">
        <w:rPr>
          <w:lang w:val="en-GB"/>
        </w:rPr>
        <w:t>’</w:t>
      </w:r>
      <w:r w:rsidR="000602A3" w:rsidRPr="00DA607A">
        <w:rPr>
          <w:lang w:val="en-GB"/>
        </w:rPr>
        <w:t>s house one day before and on the day of the court hearing</w:t>
      </w:r>
      <w:r w:rsidR="00205E90" w:rsidRPr="00DA607A">
        <w:rPr>
          <w:lang w:val="en-GB"/>
        </w:rPr>
        <w:t xml:space="preserve"> (see paragraph 25 above)</w:t>
      </w:r>
      <w:r w:rsidR="000602A3" w:rsidRPr="00DA607A">
        <w:rPr>
          <w:lang w:val="en-GB"/>
        </w:rPr>
        <w:t>. On 2 March 2012 the Kielce District Court</w:t>
      </w:r>
      <w:r w:rsidR="00A06729" w:rsidRPr="00DA607A">
        <w:rPr>
          <w:lang w:val="en-GB"/>
        </w:rPr>
        <w:t xml:space="preserve"> </w:t>
      </w:r>
      <w:r w:rsidR="000602A3" w:rsidRPr="00DA607A">
        <w:rPr>
          <w:lang w:val="en-GB"/>
        </w:rPr>
        <w:t xml:space="preserve">decided to return the application </w:t>
      </w:r>
      <w:r w:rsidR="00205E90" w:rsidRPr="00DA607A">
        <w:rPr>
          <w:lang w:val="en-GB"/>
        </w:rPr>
        <w:t>as unsubstantiated,</w:t>
      </w:r>
      <w:r w:rsidR="000602A3" w:rsidRPr="00DA607A">
        <w:rPr>
          <w:lang w:val="en-GB"/>
        </w:rPr>
        <w:t xml:space="preserve"> consider</w:t>
      </w:r>
      <w:r w:rsidR="00205E90" w:rsidRPr="00DA607A">
        <w:rPr>
          <w:lang w:val="en-GB"/>
        </w:rPr>
        <w:t>ing</w:t>
      </w:r>
      <w:r w:rsidR="000602A3" w:rsidRPr="00DA607A">
        <w:rPr>
          <w:lang w:val="en-GB"/>
        </w:rPr>
        <w:t xml:space="preserve"> that the applicant had not demonstrated that the child</w:t>
      </w:r>
      <w:r w:rsidR="00DA607A" w:rsidRPr="00DA607A">
        <w:rPr>
          <w:lang w:val="en-GB"/>
        </w:rPr>
        <w:t>’</w:t>
      </w:r>
      <w:r w:rsidR="000602A3" w:rsidRPr="00DA607A">
        <w:rPr>
          <w:lang w:val="en-GB"/>
        </w:rPr>
        <w:t>s mother</w:t>
      </w:r>
      <w:r w:rsidR="00205E90" w:rsidRPr="00DA607A">
        <w:rPr>
          <w:lang w:val="en-GB"/>
        </w:rPr>
        <w:t xml:space="preserve"> </w:t>
      </w:r>
      <w:r w:rsidR="000602A3" w:rsidRPr="00DA607A">
        <w:rPr>
          <w:lang w:val="en-GB"/>
        </w:rPr>
        <w:t>had obstructed his contact with the child</w:t>
      </w:r>
      <w:r w:rsidR="00205E90" w:rsidRPr="00DA607A">
        <w:rPr>
          <w:lang w:val="en-GB"/>
        </w:rPr>
        <w:t xml:space="preserve"> (see paragraph 26 above)</w:t>
      </w:r>
      <w:r w:rsidR="000602A3" w:rsidRPr="00DA607A">
        <w:rPr>
          <w:lang w:val="en-GB"/>
        </w:rPr>
        <w:t>.</w:t>
      </w:r>
    </w:p>
    <w:p w:rsidR="00205E90" w:rsidRPr="00DA607A" w:rsidRDefault="00B7130D"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79</w:t>
      </w:r>
      <w:r w:rsidRPr="00DA607A">
        <w:rPr>
          <w:lang w:val="en-GB"/>
        </w:rPr>
        <w:fldChar w:fldCharType="end"/>
      </w:r>
      <w:r w:rsidRPr="00DA607A">
        <w:rPr>
          <w:lang w:val="en-GB"/>
        </w:rPr>
        <w:t>.  </w:t>
      </w:r>
      <w:r w:rsidR="00205E90" w:rsidRPr="00DA607A">
        <w:rPr>
          <w:lang w:val="en-GB"/>
        </w:rPr>
        <w:t>It appear</w:t>
      </w:r>
      <w:r w:rsidRPr="00DA607A">
        <w:rPr>
          <w:lang w:val="en-GB"/>
        </w:rPr>
        <w:t>s</w:t>
      </w:r>
      <w:r w:rsidR="00205E90" w:rsidRPr="00DA607A">
        <w:rPr>
          <w:lang w:val="en-GB"/>
        </w:rPr>
        <w:t xml:space="preserve"> that</w:t>
      </w:r>
      <w:r w:rsidRPr="00DA607A">
        <w:rPr>
          <w:lang w:val="en-GB"/>
        </w:rPr>
        <w:t xml:space="preserve"> </w:t>
      </w:r>
      <w:r w:rsidR="00205E90" w:rsidRPr="00DA607A">
        <w:rPr>
          <w:lang w:val="en-GB"/>
        </w:rPr>
        <w:t xml:space="preserve">the applicant </w:t>
      </w:r>
      <w:r w:rsidR="00251832" w:rsidRPr="00DA607A">
        <w:rPr>
          <w:lang w:val="en-GB"/>
        </w:rPr>
        <w:t>did not pursue</w:t>
      </w:r>
      <w:r w:rsidR="00205E90" w:rsidRPr="00DA607A">
        <w:rPr>
          <w:lang w:val="en-GB"/>
        </w:rPr>
        <w:t xml:space="preserve"> </w:t>
      </w:r>
      <w:r w:rsidRPr="00DA607A">
        <w:rPr>
          <w:lang w:val="en-GB"/>
        </w:rPr>
        <w:t>the above-mentioned allegation</w:t>
      </w:r>
      <w:r w:rsidR="00205E90" w:rsidRPr="00DA607A">
        <w:rPr>
          <w:lang w:val="en-GB"/>
        </w:rPr>
        <w:t xml:space="preserve"> </w:t>
      </w:r>
      <w:r w:rsidR="00251832" w:rsidRPr="00DA607A">
        <w:rPr>
          <w:lang w:val="en-GB"/>
        </w:rPr>
        <w:t>through</w:t>
      </w:r>
      <w:r w:rsidR="00205E90" w:rsidRPr="00DA607A">
        <w:rPr>
          <w:lang w:val="en-GB"/>
        </w:rPr>
        <w:t xml:space="preserve"> other legal actions</w:t>
      </w:r>
      <w:r w:rsidRPr="00DA607A">
        <w:rPr>
          <w:lang w:val="en-GB"/>
        </w:rPr>
        <w:t xml:space="preserve"> </w:t>
      </w:r>
      <w:r w:rsidR="00930825" w:rsidRPr="00DA607A">
        <w:rPr>
          <w:lang w:val="en-GB"/>
        </w:rPr>
        <w:t>brought when the Hague Convention proceedings were pending. He</w:t>
      </w:r>
      <w:r w:rsidR="00251832" w:rsidRPr="00DA607A">
        <w:rPr>
          <w:lang w:val="en-GB"/>
        </w:rPr>
        <w:t xml:space="preserve"> lodged </w:t>
      </w:r>
      <w:r w:rsidR="00930825" w:rsidRPr="00DA607A">
        <w:rPr>
          <w:lang w:val="en-GB"/>
        </w:rPr>
        <w:t>such an action</w:t>
      </w:r>
      <w:r w:rsidR="00D809C7" w:rsidRPr="00DA607A">
        <w:rPr>
          <w:lang w:val="en-GB"/>
        </w:rPr>
        <w:t xml:space="preserve"> only</w:t>
      </w:r>
      <w:r w:rsidR="00930825" w:rsidRPr="00DA607A">
        <w:rPr>
          <w:lang w:val="en-GB"/>
        </w:rPr>
        <w:t xml:space="preserve"> in September 2014 </w:t>
      </w:r>
      <w:r w:rsidRPr="00DA607A">
        <w:rPr>
          <w:lang w:val="en-GB"/>
        </w:rPr>
        <w:t>(see paragraph 31 above)</w:t>
      </w:r>
      <w:r w:rsidR="00205E90" w:rsidRPr="00DA607A">
        <w:rPr>
          <w:lang w:val="en-GB"/>
        </w:rPr>
        <w:t>.</w:t>
      </w:r>
    </w:p>
    <w:p w:rsidR="00A06729" w:rsidRPr="00DA607A" w:rsidRDefault="000602A3"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80</w:t>
      </w:r>
      <w:r w:rsidRPr="00DA607A">
        <w:rPr>
          <w:lang w:val="en-GB"/>
        </w:rPr>
        <w:fldChar w:fldCharType="end"/>
      </w:r>
      <w:r w:rsidRPr="00DA607A">
        <w:rPr>
          <w:lang w:val="en-GB"/>
        </w:rPr>
        <w:t>.  </w:t>
      </w:r>
      <w:r w:rsidR="00B7130D" w:rsidRPr="00DA607A">
        <w:rPr>
          <w:lang w:val="en-GB"/>
        </w:rPr>
        <w:t>Moreover, a</w:t>
      </w:r>
      <w:r w:rsidR="00205E90" w:rsidRPr="00DA607A">
        <w:rPr>
          <w:lang w:val="en-GB"/>
        </w:rPr>
        <w:t xml:space="preserve">s submitted by the applicant, he </w:t>
      </w:r>
      <w:r w:rsidR="005759B7" w:rsidRPr="00DA607A">
        <w:rPr>
          <w:lang w:val="en-GB"/>
        </w:rPr>
        <w:t xml:space="preserve">had </w:t>
      </w:r>
      <w:r w:rsidR="00B7130D" w:rsidRPr="00DA607A">
        <w:rPr>
          <w:lang w:val="en-GB"/>
        </w:rPr>
        <w:t>waived</w:t>
      </w:r>
      <w:r w:rsidR="00205E90" w:rsidRPr="00DA607A">
        <w:rPr>
          <w:lang w:val="en-GB"/>
        </w:rPr>
        <w:t xml:space="preserve"> the right to</w:t>
      </w:r>
      <w:r w:rsidR="00205E90" w:rsidRPr="00DA607A">
        <w:t xml:space="preserve"> have</w:t>
      </w:r>
      <w:r w:rsidR="00205E90" w:rsidRPr="00DA607A">
        <w:rPr>
          <w:lang w:val="en-GB"/>
        </w:rPr>
        <w:t xml:space="preserve"> a supervised visit with his son for two hours daily in E.N.</w:t>
      </w:r>
      <w:r w:rsidR="00DA607A" w:rsidRPr="00DA607A">
        <w:rPr>
          <w:lang w:val="en-GB"/>
        </w:rPr>
        <w:t>’</w:t>
      </w:r>
      <w:r w:rsidR="00205E90" w:rsidRPr="00DA607A">
        <w:rPr>
          <w:lang w:val="en-GB"/>
        </w:rPr>
        <w:t>s house</w:t>
      </w:r>
      <w:r w:rsidR="00B7130D" w:rsidRPr="00DA607A">
        <w:rPr>
          <w:lang w:val="en-GB"/>
        </w:rPr>
        <w:t>,</w:t>
      </w:r>
      <w:r w:rsidR="00205E90" w:rsidRPr="00DA607A">
        <w:rPr>
          <w:lang w:val="en-GB"/>
        </w:rPr>
        <w:t xml:space="preserve"> which </w:t>
      </w:r>
      <w:r w:rsidR="005759B7" w:rsidRPr="00DA607A">
        <w:rPr>
          <w:lang w:val="en-GB"/>
        </w:rPr>
        <w:t xml:space="preserve">had been </w:t>
      </w:r>
      <w:r w:rsidR="00205E90" w:rsidRPr="00DA607A">
        <w:rPr>
          <w:lang w:val="en-GB"/>
        </w:rPr>
        <w:t>granted by the decision of</w:t>
      </w:r>
      <w:r w:rsidRPr="00DA607A">
        <w:rPr>
          <w:lang w:val="en-GB"/>
        </w:rPr>
        <w:t xml:space="preserve"> 1 July 2013</w:t>
      </w:r>
      <w:r w:rsidR="00A33E4B" w:rsidRPr="00DA607A">
        <w:rPr>
          <w:lang w:val="en-GB"/>
        </w:rPr>
        <w:t xml:space="preserve"> (see paragraph 27 </w:t>
      </w:r>
      <w:r w:rsidR="00B7130D" w:rsidRPr="00DA607A">
        <w:rPr>
          <w:lang w:val="en-GB"/>
        </w:rPr>
        <w:t>above)</w:t>
      </w:r>
      <w:r w:rsidR="00205E90" w:rsidRPr="00DA607A">
        <w:rPr>
          <w:lang w:val="en-GB"/>
        </w:rPr>
        <w:t>.</w:t>
      </w:r>
    </w:p>
    <w:p w:rsidR="00205E90" w:rsidRPr="00DA607A" w:rsidRDefault="00B7130D"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81</w:t>
      </w:r>
      <w:r w:rsidRPr="00DA607A">
        <w:rPr>
          <w:lang w:val="en-GB"/>
        </w:rPr>
        <w:fldChar w:fldCharType="end"/>
      </w:r>
      <w:r w:rsidRPr="00DA607A">
        <w:rPr>
          <w:lang w:val="en-GB"/>
        </w:rPr>
        <w:t>.  It appears that the domestic court issued a number of orders concerning the schedule of the applicant</w:t>
      </w:r>
      <w:r w:rsidR="00DA607A" w:rsidRPr="00DA607A">
        <w:rPr>
          <w:lang w:val="en-GB"/>
        </w:rPr>
        <w:t>’</w:t>
      </w:r>
      <w:r w:rsidRPr="00DA607A">
        <w:rPr>
          <w:lang w:val="en-GB"/>
        </w:rPr>
        <w:t xml:space="preserve">s contact </w:t>
      </w:r>
      <w:r w:rsidR="00BB6130" w:rsidRPr="00DA607A">
        <w:rPr>
          <w:lang w:val="en-GB"/>
        </w:rPr>
        <w:t xml:space="preserve">sessions </w:t>
      </w:r>
      <w:r w:rsidRPr="00DA607A">
        <w:rPr>
          <w:lang w:val="en-GB"/>
        </w:rPr>
        <w:t>with his child. In the light of the applicant</w:t>
      </w:r>
      <w:r w:rsidR="00DA607A" w:rsidRPr="00DA607A">
        <w:rPr>
          <w:lang w:val="en-GB"/>
        </w:rPr>
        <w:t>’</w:t>
      </w:r>
      <w:r w:rsidRPr="00DA607A">
        <w:rPr>
          <w:lang w:val="en-GB"/>
        </w:rPr>
        <w:t xml:space="preserve">s failure to submit </w:t>
      </w:r>
      <w:r w:rsidR="00BB6130" w:rsidRPr="00DA607A">
        <w:rPr>
          <w:lang w:val="en-GB"/>
        </w:rPr>
        <w:t xml:space="preserve">the </w:t>
      </w:r>
      <w:r w:rsidRPr="00DA607A">
        <w:rPr>
          <w:lang w:val="en-GB"/>
        </w:rPr>
        <w:t>relevant documents, the Court is unable to establish the course of the proceedings and the content of the impugned decisions.</w:t>
      </w:r>
    </w:p>
    <w:p w:rsidR="00285819" w:rsidRPr="00DA607A" w:rsidRDefault="00285819" w:rsidP="00DA607A">
      <w:pPr>
        <w:pStyle w:val="ECHRPara"/>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82</w:t>
      </w:r>
      <w:r w:rsidRPr="00DA607A">
        <w:rPr>
          <w:lang w:val="en-GB"/>
        </w:rPr>
        <w:fldChar w:fldCharType="end"/>
      </w:r>
      <w:r w:rsidRPr="00DA607A">
        <w:rPr>
          <w:lang w:val="en-GB"/>
        </w:rPr>
        <w:t xml:space="preserve">.   It follows that </w:t>
      </w:r>
      <w:r w:rsidRPr="00DA607A">
        <w:t>in the light of all the material in its possession, and in so far as the matters complained of are within its competence, the Court finds that they do not disclose any appearance of a violation of the rights and freedoms set out in the Convention or its Protocols.</w:t>
      </w:r>
    </w:p>
    <w:p w:rsidR="000602A3" w:rsidRPr="00DA607A" w:rsidRDefault="00285819" w:rsidP="00DA607A">
      <w:pPr>
        <w:pStyle w:val="ECHRPara"/>
      </w:pPr>
      <w:r w:rsidRPr="00DA607A">
        <w:t>Accordingly, this part of the application is manifestly ill-founded and must be rejected in accordance with Article 35 §§ 3 (a) and 4 of the Convention.</w:t>
      </w:r>
    </w:p>
    <w:p w:rsidR="00014566" w:rsidRPr="00DA607A" w:rsidRDefault="000A5A2B" w:rsidP="00DA607A">
      <w:pPr>
        <w:pStyle w:val="ECHRHeading1"/>
        <w:rPr>
          <w:lang w:val="en-GB"/>
        </w:rPr>
      </w:pPr>
      <w:r w:rsidRPr="00DA607A">
        <w:rPr>
          <w:lang w:val="en-GB"/>
        </w:rPr>
        <w:t>III</w:t>
      </w:r>
      <w:r w:rsidR="00014566" w:rsidRPr="00DA607A">
        <w:rPr>
          <w:lang w:val="en-GB"/>
        </w:rPr>
        <w:t>.  APPLICATION OF ARTICLE 41 OF THE CONVENTION</w:t>
      </w:r>
    </w:p>
    <w:p w:rsidR="004D2E9A" w:rsidRPr="00DA607A" w:rsidRDefault="00D76D54"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83</w:t>
      </w:r>
      <w:r w:rsidRPr="00DA607A">
        <w:rPr>
          <w:lang w:val="en-GB"/>
        </w:rPr>
        <w:fldChar w:fldCharType="end"/>
      </w:r>
      <w:r w:rsidR="00014566" w:rsidRPr="00DA607A">
        <w:rPr>
          <w:lang w:val="en-GB"/>
        </w:rPr>
        <w:t>.  Article 41 of the Convention provides:</w:t>
      </w:r>
    </w:p>
    <w:p w:rsidR="001435AF" w:rsidRPr="00DA607A" w:rsidRDefault="00014566" w:rsidP="00DA607A">
      <w:pPr>
        <w:pStyle w:val="ECHRParaQuote"/>
        <w:rPr>
          <w:lang w:val="en-GB"/>
        </w:rPr>
      </w:pPr>
      <w:r w:rsidRPr="00DA607A">
        <w:rPr>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014566" w:rsidRPr="00DA607A" w:rsidRDefault="00014566" w:rsidP="00DA607A">
      <w:pPr>
        <w:pStyle w:val="ECHRHeading2"/>
      </w:pPr>
      <w:r w:rsidRPr="00DA607A">
        <w:t>A.  Damage</w:t>
      </w:r>
    </w:p>
    <w:p w:rsidR="000A5A2B" w:rsidRPr="00DA607A" w:rsidRDefault="000A5A2B"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84</w:t>
      </w:r>
      <w:r w:rsidRPr="00DA607A">
        <w:rPr>
          <w:lang w:val="en-GB"/>
        </w:rPr>
        <w:fldChar w:fldCharType="end"/>
      </w:r>
      <w:r w:rsidRPr="00DA607A">
        <w:rPr>
          <w:lang w:val="en-GB"/>
        </w:rPr>
        <w:t xml:space="preserve">.  The applicant claimed </w:t>
      </w:r>
      <w:r w:rsidR="006634DF" w:rsidRPr="00DA607A">
        <w:rPr>
          <w:lang w:val="en-GB"/>
        </w:rPr>
        <w:t>18,501</w:t>
      </w:r>
      <w:r w:rsidRPr="00DA607A">
        <w:rPr>
          <w:lang w:val="en-GB"/>
        </w:rPr>
        <w:t xml:space="preserve"> euros (EUR) in respect</w:t>
      </w:r>
      <w:r w:rsidR="00D809C7" w:rsidRPr="00DA607A">
        <w:rPr>
          <w:lang w:val="en-GB"/>
        </w:rPr>
        <w:t xml:space="preserve"> of</w:t>
      </w:r>
      <w:r w:rsidRPr="00DA607A">
        <w:rPr>
          <w:lang w:val="en-GB"/>
        </w:rPr>
        <w:t xml:space="preserve"> pecuniary damage, representing </w:t>
      </w:r>
      <w:r w:rsidR="006634DF" w:rsidRPr="00DA607A">
        <w:rPr>
          <w:lang w:val="en-GB"/>
        </w:rPr>
        <w:t xml:space="preserve">the </w:t>
      </w:r>
      <w:r w:rsidRPr="00DA607A">
        <w:rPr>
          <w:lang w:val="en-GB"/>
        </w:rPr>
        <w:t xml:space="preserve">loss of </w:t>
      </w:r>
      <w:r w:rsidR="006634DF" w:rsidRPr="00DA607A">
        <w:rPr>
          <w:lang w:val="en-GB"/>
        </w:rPr>
        <w:t xml:space="preserve">child </w:t>
      </w:r>
      <w:r w:rsidR="00BB6130" w:rsidRPr="00DA607A">
        <w:rPr>
          <w:lang w:val="en-GB"/>
        </w:rPr>
        <w:t xml:space="preserve">benefit </w:t>
      </w:r>
      <w:r w:rsidR="006634DF" w:rsidRPr="00DA607A">
        <w:rPr>
          <w:lang w:val="en-GB"/>
        </w:rPr>
        <w:t>and tax deductions</w:t>
      </w:r>
      <w:r w:rsidR="006B6895" w:rsidRPr="00DA607A">
        <w:rPr>
          <w:lang w:val="en-GB"/>
        </w:rPr>
        <w:t xml:space="preserve"> available in Canada. The applicant also claime</w:t>
      </w:r>
      <w:r w:rsidR="00A33E4B" w:rsidRPr="00DA607A">
        <w:rPr>
          <w:lang w:val="en-GB"/>
        </w:rPr>
        <w:t>d EUR 200,000 in respect of non</w:t>
      </w:r>
      <w:r w:rsidR="009C70F6" w:rsidRPr="00DA607A">
        <w:rPr>
          <w:lang w:val="en-GB"/>
        </w:rPr>
        <w:noBreakHyphen/>
      </w:r>
      <w:r w:rsidR="006B6895" w:rsidRPr="00DA607A">
        <w:rPr>
          <w:lang w:val="en-GB"/>
        </w:rPr>
        <w:t>pecuniary damage.</w:t>
      </w:r>
    </w:p>
    <w:p w:rsidR="000A5A2B" w:rsidRPr="00DA607A" w:rsidRDefault="000A5A2B"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85</w:t>
      </w:r>
      <w:r w:rsidRPr="00DA607A">
        <w:rPr>
          <w:lang w:val="en-GB"/>
        </w:rPr>
        <w:fldChar w:fldCharType="end"/>
      </w:r>
      <w:r w:rsidRPr="00DA607A">
        <w:rPr>
          <w:lang w:val="en-GB"/>
        </w:rPr>
        <w:t>.  The Government submitted that no causal link existed between the applicant</w:t>
      </w:r>
      <w:r w:rsidR="00DA607A" w:rsidRPr="00DA607A">
        <w:rPr>
          <w:lang w:val="en-GB"/>
        </w:rPr>
        <w:t>’</w:t>
      </w:r>
      <w:r w:rsidRPr="00DA607A">
        <w:rPr>
          <w:lang w:val="en-GB"/>
        </w:rPr>
        <w:t xml:space="preserve">s Article 8 application and the pecuniary damage which he had allegedly suffered. Moreover, they argued that the </w:t>
      </w:r>
      <w:r w:rsidR="00D809C7" w:rsidRPr="00DA607A">
        <w:rPr>
          <w:lang w:val="en-GB"/>
        </w:rPr>
        <w:t xml:space="preserve">amount sought in respect of </w:t>
      </w:r>
      <w:r w:rsidRPr="00DA607A">
        <w:rPr>
          <w:lang w:val="en-GB"/>
        </w:rPr>
        <w:t>non-pecuniar</w:t>
      </w:r>
      <w:r w:rsidR="008220AF" w:rsidRPr="00DA607A">
        <w:rPr>
          <w:lang w:val="en-GB"/>
        </w:rPr>
        <w:t xml:space="preserve">y damage </w:t>
      </w:r>
      <w:r w:rsidR="00D809C7" w:rsidRPr="00DA607A">
        <w:rPr>
          <w:lang w:val="en-GB"/>
        </w:rPr>
        <w:t>was</w:t>
      </w:r>
      <w:r w:rsidR="008220AF" w:rsidRPr="00DA607A">
        <w:rPr>
          <w:lang w:val="en-GB"/>
        </w:rPr>
        <w:t xml:space="preserve"> excessive</w:t>
      </w:r>
      <w:r w:rsidRPr="00DA607A">
        <w:rPr>
          <w:lang w:val="en-GB"/>
        </w:rPr>
        <w:t>.</w:t>
      </w:r>
    </w:p>
    <w:p w:rsidR="004D3F54" w:rsidRPr="00DA607A" w:rsidRDefault="000A5A2B"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86</w:t>
      </w:r>
      <w:r w:rsidRPr="00DA607A">
        <w:rPr>
          <w:lang w:val="en-GB"/>
        </w:rPr>
        <w:fldChar w:fldCharType="end"/>
      </w:r>
      <w:r w:rsidRPr="00DA607A">
        <w:rPr>
          <w:lang w:val="en-GB"/>
        </w:rPr>
        <w:t>.  </w:t>
      </w:r>
      <w:r w:rsidR="004D3F54" w:rsidRPr="00DA607A">
        <w:t>The Court does not discern any causal link between the violation found and the pecuniary damage alleged; it therefore rejects this claim. On the other hand, the Court accepts that the applicant must have suffered distress and emotional hardship as a result of the Polish court</w:t>
      </w:r>
      <w:r w:rsidR="00DA607A" w:rsidRPr="00DA607A">
        <w:t>’</w:t>
      </w:r>
      <w:r w:rsidR="004D3F54" w:rsidRPr="00DA607A">
        <w:t>s refusal to order his son</w:t>
      </w:r>
      <w:r w:rsidR="00DA607A" w:rsidRPr="00DA607A">
        <w:t>’</w:t>
      </w:r>
      <w:r w:rsidR="004D3F54" w:rsidRPr="00DA607A">
        <w:t xml:space="preserve">s return to Canada which is not sufficiently compensated for by the finding of a violation of the Convention. Having regard to the sums awarded in comparable cases, and making an assessment on an equitable basis, the Court awards the applicant EUR 9,000 in respect </w:t>
      </w:r>
      <w:r w:rsidR="00A33E4B" w:rsidRPr="00DA607A">
        <w:t>of non</w:t>
      </w:r>
      <w:r w:rsidR="00670BE1" w:rsidRPr="00DA607A">
        <w:noBreakHyphen/>
      </w:r>
      <w:r w:rsidR="004D3F54" w:rsidRPr="00DA607A">
        <w:t>pecuniary damage.</w:t>
      </w:r>
    </w:p>
    <w:p w:rsidR="00014566" w:rsidRPr="00DA607A" w:rsidRDefault="00014566" w:rsidP="00DA607A">
      <w:pPr>
        <w:pStyle w:val="ECHRHeading2"/>
      </w:pPr>
      <w:r w:rsidRPr="00DA607A">
        <w:t>B.  Costs and expenses</w:t>
      </w:r>
    </w:p>
    <w:p w:rsidR="00CC60FD" w:rsidRPr="00DA607A" w:rsidRDefault="00EE0166" w:rsidP="00DA607A">
      <w:pPr>
        <w:pStyle w:val="ECHRPara"/>
      </w:pPr>
      <w:r>
        <w:fldChar w:fldCharType="begin"/>
      </w:r>
      <w:r>
        <w:instrText xml:space="preserve"> SEQ level0 \*arabic </w:instrText>
      </w:r>
      <w:r>
        <w:fldChar w:fldCharType="separate"/>
      </w:r>
      <w:r w:rsidR="00DA607A" w:rsidRPr="00DA607A">
        <w:rPr>
          <w:noProof/>
        </w:rPr>
        <w:t>87</w:t>
      </w:r>
      <w:r>
        <w:rPr>
          <w:noProof/>
        </w:rPr>
        <w:fldChar w:fldCharType="end"/>
      </w:r>
      <w:r w:rsidR="004D3F54" w:rsidRPr="00DA607A">
        <w:t>.  The applicant also claimed EUR 8,392 for costs and expenses incurred in relation to the proceedings before the Court, EUR</w:t>
      </w:r>
      <w:r w:rsidR="009C70F6" w:rsidRPr="00DA607A">
        <w:t> </w:t>
      </w:r>
      <w:r w:rsidR="004D3F54" w:rsidRPr="00DA607A">
        <w:t>24,716</w:t>
      </w:r>
      <w:r w:rsidR="00406D1D" w:rsidRPr="00DA607A">
        <w:t xml:space="preserve"> for</w:t>
      </w:r>
      <w:r w:rsidR="004D3F54" w:rsidRPr="00DA607A">
        <w:t xml:space="preserve"> those incurred in relation to the proceedings in Canada</w:t>
      </w:r>
      <w:r w:rsidR="00251832" w:rsidRPr="00DA607A">
        <w:t>,</w:t>
      </w:r>
      <w:r w:rsidR="004D3F54" w:rsidRPr="00DA607A">
        <w:t xml:space="preserve"> and EUR</w:t>
      </w:r>
      <w:r w:rsidR="009C70F6" w:rsidRPr="00DA607A">
        <w:t> </w:t>
      </w:r>
      <w:r w:rsidR="006C0921" w:rsidRPr="00DA607A">
        <w:t xml:space="preserve">29,373 </w:t>
      </w:r>
      <w:r w:rsidR="004D3F54" w:rsidRPr="00DA607A">
        <w:t xml:space="preserve">for those incurred in relation to the proceedings before </w:t>
      </w:r>
      <w:r w:rsidR="00D809C7" w:rsidRPr="00DA607A">
        <w:t xml:space="preserve">the </w:t>
      </w:r>
      <w:r w:rsidR="004D3F54" w:rsidRPr="00DA607A">
        <w:t xml:space="preserve">domestic courts in Poland. The latter amount comprised </w:t>
      </w:r>
      <w:r w:rsidR="003F77FD" w:rsidRPr="00DA607A">
        <w:t xml:space="preserve">EUR </w:t>
      </w:r>
      <w:r w:rsidR="003126E9" w:rsidRPr="00DA607A">
        <w:t>1,809.06</w:t>
      </w:r>
      <w:r w:rsidR="004D3F54" w:rsidRPr="00DA607A">
        <w:t xml:space="preserve"> </w:t>
      </w:r>
      <w:r w:rsidR="00251832" w:rsidRPr="00DA607A">
        <w:t xml:space="preserve">for </w:t>
      </w:r>
      <w:r w:rsidR="003F77FD" w:rsidRPr="00DA607A">
        <w:t xml:space="preserve">legal representation and </w:t>
      </w:r>
      <w:r w:rsidR="004D3F54" w:rsidRPr="00DA607A">
        <w:t>translation fees</w:t>
      </w:r>
      <w:r w:rsidR="00446728" w:rsidRPr="00DA607A">
        <w:t xml:space="preserve"> in so far as they were documented as relat</w:t>
      </w:r>
      <w:r w:rsidR="003126E9" w:rsidRPr="00DA607A">
        <w:t>ing</w:t>
      </w:r>
      <w:r w:rsidR="00446728" w:rsidRPr="00DA607A">
        <w:t xml:space="preserve"> to the Hague Convention </w:t>
      </w:r>
      <w:r w:rsidR="003126E9" w:rsidRPr="00DA607A">
        <w:t>proceedings</w:t>
      </w:r>
      <w:r w:rsidR="006C0921" w:rsidRPr="00DA607A">
        <w:t xml:space="preserve">, and EUR 4,244.89 </w:t>
      </w:r>
      <w:r w:rsidR="00251832" w:rsidRPr="00DA607A">
        <w:t xml:space="preserve">for </w:t>
      </w:r>
      <w:r w:rsidR="006C0921" w:rsidRPr="00DA607A">
        <w:t>the applicant</w:t>
      </w:r>
      <w:r w:rsidR="00DA607A" w:rsidRPr="00DA607A">
        <w:t>’</w:t>
      </w:r>
      <w:r w:rsidR="006C0921" w:rsidRPr="00DA607A">
        <w:t xml:space="preserve">s </w:t>
      </w:r>
      <w:r w:rsidR="00CC60FD" w:rsidRPr="00DA607A">
        <w:t xml:space="preserve">documented </w:t>
      </w:r>
      <w:r w:rsidR="006C0921" w:rsidRPr="00DA607A">
        <w:t>travel expenses (transport and hotels) incurred when the Hague Convention proceedings were pending, that is between October 2011 and early</w:t>
      </w:r>
      <w:r w:rsidR="00251832" w:rsidRPr="00DA607A">
        <w:t xml:space="preserve"> </w:t>
      </w:r>
      <w:r w:rsidR="006C0921" w:rsidRPr="00DA607A">
        <w:t>July 2013</w:t>
      </w:r>
      <w:r w:rsidR="004D3F54" w:rsidRPr="00DA607A">
        <w:t>.</w:t>
      </w:r>
    </w:p>
    <w:p w:rsidR="008220AF" w:rsidRPr="00DA607A" w:rsidRDefault="00EE0166" w:rsidP="00DA607A">
      <w:pPr>
        <w:pStyle w:val="ECHRPara"/>
      </w:pPr>
      <w:r>
        <w:fldChar w:fldCharType="begin"/>
      </w:r>
      <w:r>
        <w:instrText xml:space="preserve"> SEQ level0 \*arabic </w:instrText>
      </w:r>
      <w:r>
        <w:fldChar w:fldCharType="separate"/>
      </w:r>
      <w:r w:rsidR="00DA607A" w:rsidRPr="00DA607A">
        <w:rPr>
          <w:noProof/>
        </w:rPr>
        <w:t>88</w:t>
      </w:r>
      <w:r>
        <w:rPr>
          <w:noProof/>
        </w:rPr>
        <w:fldChar w:fldCharType="end"/>
      </w:r>
      <w:r w:rsidR="00CC60FD" w:rsidRPr="00DA607A">
        <w:t>.  </w:t>
      </w:r>
      <w:r w:rsidR="004D3F54" w:rsidRPr="00DA607A">
        <w:t xml:space="preserve">The Government </w:t>
      </w:r>
      <w:r w:rsidR="008220AF" w:rsidRPr="00DA607A">
        <w:t>raised doubts as to the credibility of the applicant</w:t>
      </w:r>
      <w:r w:rsidR="00DA607A" w:rsidRPr="00DA607A">
        <w:t>’</w:t>
      </w:r>
      <w:r w:rsidR="008220AF" w:rsidRPr="00DA607A">
        <w:t xml:space="preserve">s claim and </w:t>
      </w:r>
      <w:r w:rsidR="004D3F54" w:rsidRPr="00DA607A">
        <w:t>argued that only costs actually incurred in the preparation and defence of the applicant</w:t>
      </w:r>
      <w:r w:rsidR="00DA607A" w:rsidRPr="00DA607A">
        <w:t>’</w:t>
      </w:r>
      <w:r w:rsidR="004D3F54" w:rsidRPr="00DA607A">
        <w:t>s case before the Court should be taken into consideration.</w:t>
      </w:r>
      <w:r w:rsidR="008220AF" w:rsidRPr="00DA607A">
        <w:t xml:space="preserve"> The Government pointed out that the expenses claimed were documented only in part and that a number of invoices issued by lawyers in Canada and Poland did not specify whether or not they had been issued in connection with the applicant</w:t>
      </w:r>
      <w:r w:rsidR="00DA607A" w:rsidRPr="00DA607A">
        <w:t>’</w:t>
      </w:r>
      <w:r w:rsidR="008220AF" w:rsidRPr="00DA607A">
        <w:t>s Hague Convention case.</w:t>
      </w:r>
    </w:p>
    <w:p w:rsidR="00945D72" w:rsidRPr="00DA607A" w:rsidRDefault="00EE0166" w:rsidP="00DA607A">
      <w:pPr>
        <w:pStyle w:val="ECHRPara"/>
      </w:pPr>
      <w:r>
        <w:fldChar w:fldCharType="begin"/>
      </w:r>
      <w:r>
        <w:instrText xml:space="preserve"> SEQ level0 \*arabic </w:instrText>
      </w:r>
      <w:r>
        <w:fldChar w:fldCharType="separate"/>
      </w:r>
      <w:r w:rsidR="00DA607A" w:rsidRPr="00DA607A">
        <w:rPr>
          <w:noProof/>
        </w:rPr>
        <w:t>89</w:t>
      </w:r>
      <w:r>
        <w:rPr>
          <w:noProof/>
        </w:rPr>
        <w:fldChar w:fldCharType="end"/>
      </w:r>
      <w:r w:rsidR="008220AF" w:rsidRPr="00DA607A">
        <w:t>.  </w:t>
      </w:r>
      <w:r w:rsidR="004D3F54" w:rsidRPr="00DA607A">
        <w:t>According to the Court</w:t>
      </w:r>
      <w:r w:rsidR="00DA607A" w:rsidRPr="00DA607A">
        <w:t>’</w:t>
      </w:r>
      <w:r w:rsidR="004D3F54" w:rsidRPr="00DA607A">
        <w:t xml:space="preserve">s case-law, an applicant is entitled to the reimbursement of costs and expenses only in so far as it has been shown that these </w:t>
      </w:r>
      <w:r w:rsidR="0072091A" w:rsidRPr="00DA607A">
        <w:t xml:space="preserve">related to the steps taken to prevent or redress the situation the Court has held to be contrary to Article 8 of the Convention, that they were </w:t>
      </w:r>
      <w:r w:rsidR="004D3F54" w:rsidRPr="00DA607A">
        <w:t>actually and necessarily incurred and are reasonable as to quantum. In the present case, regard being had to the documents in its possession and the above criteria, the Court considers it rea</w:t>
      </w:r>
      <w:r w:rsidR="009C70F6" w:rsidRPr="00DA607A">
        <w:t>sonable to award the sum of EUR </w:t>
      </w:r>
      <w:r w:rsidR="006B1BD9" w:rsidRPr="00DA607A">
        <w:t>1</w:t>
      </w:r>
      <w:r w:rsidR="003126E9" w:rsidRPr="00DA607A">
        <w:t>4</w:t>
      </w:r>
      <w:r w:rsidR="006B1BD9" w:rsidRPr="00DA607A">
        <w:t>,</w:t>
      </w:r>
      <w:r w:rsidR="003126E9" w:rsidRPr="00DA607A">
        <w:t>446</w:t>
      </w:r>
      <w:r w:rsidR="004D3F54" w:rsidRPr="00DA607A">
        <w:t xml:space="preserve"> covering</w:t>
      </w:r>
      <w:r w:rsidR="0072091A" w:rsidRPr="00DA607A">
        <w:t>:</w:t>
      </w:r>
      <w:r w:rsidR="004D3F54" w:rsidRPr="00DA607A">
        <w:t xml:space="preserve"> </w:t>
      </w:r>
      <w:r w:rsidR="0072091A" w:rsidRPr="00DA607A">
        <w:t>the fees of the lawyers representing the applicant in the Hague Convention proceedings before the domestic courts in Poland and in the proceedings before this Court; and translation fees and the applicant</w:t>
      </w:r>
      <w:r w:rsidR="00DA607A" w:rsidRPr="00DA607A">
        <w:t>’</w:t>
      </w:r>
      <w:r w:rsidR="0072091A" w:rsidRPr="00DA607A">
        <w:t xml:space="preserve">s travel expenses </w:t>
      </w:r>
      <w:r w:rsidR="00251832" w:rsidRPr="00DA607A">
        <w:t>(</w:t>
      </w:r>
      <w:r w:rsidR="0072091A" w:rsidRPr="00DA607A">
        <w:t>in so far as they were documented as</w:t>
      </w:r>
      <w:r w:rsidR="00674C5B" w:rsidRPr="00DA607A">
        <w:t xml:space="preserve"> occurring during and</w:t>
      </w:r>
      <w:r w:rsidR="0072091A" w:rsidRPr="00DA607A">
        <w:t xml:space="preserve"> relating to the Hague Convention proceedings</w:t>
      </w:r>
      <w:r w:rsidR="00251832" w:rsidRPr="00DA607A">
        <w:t>)</w:t>
      </w:r>
      <w:r w:rsidR="0072091A" w:rsidRPr="00DA607A">
        <w:t>.</w:t>
      </w:r>
    </w:p>
    <w:p w:rsidR="00014566" w:rsidRPr="00DA607A" w:rsidRDefault="00014566" w:rsidP="00DA607A">
      <w:pPr>
        <w:pStyle w:val="ECHRHeading2"/>
      </w:pPr>
      <w:r w:rsidRPr="00DA607A">
        <w:t>C.  Default interest</w:t>
      </w:r>
    </w:p>
    <w:p w:rsidR="00014566" w:rsidRPr="00DA607A" w:rsidRDefault="00D76D54" w:rsidP="00DA607A">
      <w:pPr>
        <w:pStyle w:val="ECHRPara"/>
        <w:rPr>
          <w:lang w:val="en-GB"/>
        </w:rPr>
      </w:pPr>
      <w:r w:rsidRPr="00DA607A">
        <w:rPr>
          <w:lang w:val="en-GB"/>
        </w:rPr>
        <w:fldChar w:fldCharType="begin"/>
      </w:r>
      <w:r w:rsidRPr="00DA607A">
        <w:rPr>
          <w:lang w:val="en-GB"/>
        </w:rPr>
        <w:instrText xml:space="preserve"> SEQ level0 \*arabic </w:instrText>
      </w:r>
      <w:r w:rsidRPr="00DA607A">
        <w:rPr>
          <w:lang w:val="en-GB"/>
        </w:rPr>
        <w:fldChar w:fldCharType="separate"/>
      </w:r>
      <w:r w:rsidR="00DA607A" w:rsidRPr="00DA607A">
        <w:rPr>
          <w:noProof/>
          <w:lang w:val="en-GB"/>
        </w:rPr>
        <w:t>90</w:t>
      </w:r>
      <w:r w:rsidRPr="00DA607A">
        <w:rPr>
          <w:lang w:val="en-GB"/>
        </w:rPr>
        <w:fldChar w:fldCharType="end"/>
      </w:r>
      <w:r w:rsidR="00014566" w:rsidRPr="00DA607A">
        <w:rPr>
          <w:lang w:val="en-GB"/>
        </w:rPr>
        <w:t>.  The Court considers it appropriate that the default interest rate should be based on the marginal lending rate of the European Central Bank, to which should be added three percentage points.</w:t>
      </w:r>
    </w:p>
    <w:p w:rsidR="00014566" w:rsidRPr="00DA607A" w:rsidRDefault="00BB5883" w:rsidP="00DA607A">
      <w:pPr>
        <w:pStyle w:val="ECHRTitle1"/>
        <w:rPr>
          <w:lang w:val="en-GB"/>
        </w:rPr>
      </w:pPr>
      <w:r w:rsidRPr="00DA607A">
        <w:rPr>
          <w:lang w:val="en-GB"/>
        </w:rPr>
        <w:t>FOR THESE REASONS, THE COURT</w:t>
      </w:r>
    </w:p>
    <w:p w:rsidR="00B637B9" w:rsidRPr="00DA607A" w:rsidRDefault="00B637B9" w:rsidP="00DA607A">
      <w:pPr>
        <w:pStyle w:val="JuList"/>
        <w:rPr>
          <w:lang w:val="en-GB"/>
        </w:rPr>
      </w:pPr>
      <w:r w:rsidRPr="00DA607A">
        <w:rPr>
          <w:lang w:val="en-GB"/>
        </w:rPr>
        <w:t>1.  </w:t>
      </w:r>
      <w:r w:rsidR="006B1BD9" w:rsidRPr="00DA607A">
        <w:rPr>
          <w:i/>
        </w:rPr>
        <w:t>Declares</w:t>
      </w:r>
      <w:r w:rsidR="006B1BD9" w:rsidRPr="00DA607A">
        <w:rPr>
          <w:lang w:val="en-GB"/>
        </w:rPr>
        <w:t>,</w:t>
      </w:r>
      <w:r w:rsidR="0040777C" w:rsidRPr="00DA607A">
        <w:rPr>
          <w:lang w:val="en-GB"/>
        </w:rPr>
        <w:t xml:space="preserve"> </w:t>
      </w:r>
      <w:r w:rsidR="006B1BD9" w:rsidRPr="00DA607A">
        <w:rPr>
          <w:lang w:val="en-GB"/>
        </w:rPr>
        <w:t>unanimously,</w:t>
      </w:r>
      <w:r w:rsidR="0040777C" w:rsidRPr="00DA607A">
        <w:rPr>
          <w:lang w:val="en-GB"/>
        </w:rPr>
        <w:t xml:space="preserve"> </w:t>
      </w:r>
      <w:r w:rsidR="006B1BD9" w:rsidRPr="00DA607A">
        <w:t>the Article 8 complaint about the outcome of the Hague Convention proceedings and the decision-making process admissible and the remainder of the application inadmissible;</w:t>
      </w:r>
    </w:p>
    <w:p w:rsidR="00014566" w:rsidRPr="00DA607A" w:rsidRDefault="00014566" w:rsidP="00DA607A">
      <w:pPr>
        <w:pStyle w:val="JuList"/>
        <w:ind w:left="0" w:firstLine="0"/>
        <w:rPr>
          <w:lang w:val="en-GB"/>
        </w:rPr>
      </w:pPr>
    </w:p>
    <w:p w:rsidR="00014566" w:rsidRPr="00DA607A" w:rsidRDefault="006B1BD9" w:rsidP="00DA607A">
      <w:pPr>
        <w:pStyle w:val="JuList"/>
        <w:rPr>
          <w:lang w:val="en-GB"/>
        </w:rPr>
      </w:pPr>
      <w:r w:rsidRPr="00DA607A">
        <w:rPr>
          <w:lang w:val="en-GB"/>
        </w:rPr>
        <w:t>2</w:t>
      </w:r>
      <w:r w:rsidR="00014566" w:rsidRPr="00DA607A">
        <w:rPr>
          <w:lang w:val="en-GB"/>
        </w:rPr>
        <w:t>.  </w:t>
      </w:r>
      <w:r w:rsidR="00014566" w:rsidRPr="00DA607A">
        <w:rPr>
          <w:i/>
          <w:lang w:val="en-GB"/>
        </w:rPr>
        <w:t>Holds</w:t>
      </w:r>
      <w:r w:rsidR="00D76D54" w:rsidRPr="00DA607A">
        <w:rPr>
          <w:lang w:val="en-GB"/>
        </w:rPr>
        <w:t xml:space="preserve">, by </w:t>
      </w:r>
      <w:r w:rsidR="0040777C" w:rsidRPr="00DA607A">
        <w:rPr>
          <w:lang w:val="en-GB"/>
        </w:rPr>
        <w:t xml:space="preserve">six </w:t>
      </w:r>
      <w:r w:rsidR="00D76D54" w:rsidRPr="00DA607A">
        <w:rPr>
          <w:lang w:val="en-GB"/>
        </w:rPr>
        <w:t xml:space="preserve">votes to </w:t>
      </w:r>
      <w:r w:rsidR="0040777C" w:rsidRPr="00DA607A">
        <w:rPr>
          <w:lang w:val="en-GB"/>
        </w:rPr>
        <w:t>one</w:t>
      </w:r>
      <w:r w:rsidR="00D76D54" w:rsidRPr="00DA607A">
        <w:rPr>
          <w:lang w:val="en-GB"/>
        </w:rPr>
        <w:t>,</w:t>
      </w:r>
      <w:r w:rsidR="00014566" w:rsidRPr="00DA607A">
        <w:rPr>
          <w:color w:val="000000"/>
          <w:lang w:val="en-GB"/>
        </w:rPr>
        <w:t xml:space="preserve"> </w:t>
      </w:r>
      <w:r w:rsidR="00014566" w:rsidRPr="00DA607A">
        <w:rPr>
          <w:lang w:val="en-GB"/>
        </w:rPr>
        <w:t xml:space="preserve">that there has been a violation of Article </w:t>
      </w:r>
      <w:r w:rsidRPr="00DA607A">
        <w:rPr>
          <w:lang w:val="en-GB"/>
        </w:rPr>
        <w:t>8</w:t>
      </w:r>
      <w:r w:rsidR="00014566" w:rsidRPr="00DA607A">
        <w:rPr>
          <w:lang w:val="en-GB"/>
        </w:rPr>
        <w:t xml:space="preserve"> of the Convention;</w:t>
      </w:r>
    </w:p>
    <w:p w:rsidR="00014566" w:rsidRPr="00DA607A" w:rsidRDefault="00014566" w:rsidP="00DA607A">
      <w:pPr>
        <w:pStyle w:val="JuList"/>
        <w:rPr>
          <w:lang w:val="en-GB"/>
        </w:rPr>
      </w:pPr>
    </w:p>
    <w:p w:rsidR="00014566" w:rsidRPr="00DA607A" w:rsidRDefault="006B1BD9" w:rsidP="00DA607A">
      <w:pPr>
        <w:pStyle w:val="JuList"/>
        <w:rPr>
          <w:lang w:val="en-GB"/>
        </w:rPr>
      </w:pPr>
      <w:r w:rsidRPr="00DA607A">
        <w:rPr>
          <w:lang w:val="en-GB"/>
        </w:rPr>
        <w:t>3</w:t>
      </w:r>
      <w:r w:rsidR="00014566" w:rsidRPr="00DA607A">
        <w:rPr>
          <w:lang w:val="en-GB"/>
        </w:rPr>
        <w:t>.  </w:t>
      </w:r>
      <w:r w:rsidR="00014566" w:rsidRPr="00DA607A">
        <w:rPr>
          <w:i/>
          <w:lang w:val="en-GB"/>
        </w:rPr>
        <w:t>Holds</w:t>
      </w:r>
      <w:r w:rsidR="00D76D54" w:rsidRPr="00DA607A">
        <w:rPr>
          <w:lang w:val="en-GB"/>
        </w:rPr>
        <w:t xml:space="preserve">, by </w:t>
      </w:r>
      <w:r w:rsidR="0040777C" w:rsidRPr="00DA607A">
        <w:rPr>
          <w:lang w:val="en-GB"/>
        </w:rPr>
        <w:t xml:space="preserve">six </w:t>
      </w:r>
      <w:r w:rsidR="00D76D54" w:rsidRPr="00DA607A">
        <w:rPr>
          <w:lang w:val="en-GB"/>
        </w:rPr>
        <w:t xml:space="preserve">votes to </w:t>
      </w:r>
      <w:r w:rsidR="0040777C" w:rsidRPr="00DA607A">
        <w:rPr>
          <w:lang w:val="en-GB"/>
        </w:rPr>
        <w:t>one</w:t>
      </w:r>
      <w:r w:rsidR="00D76D54" w:rsidRPr="00DA607A">
        <w:rPr>
          <w:lang w:val="en-GB"/>
        </w:rPr>
        <w:t>,</w:t>
      </w:r>
    </w:p>
    <w:p w:rsidR="00014566" w:rsidRPr="00DA607A" w:rsidRDefault="00014566" w:rsidP="00DA607A">
      <w:pPr>
        <w:pStyle w:val="JuLista"/>
        <w:rPr>
          <w:lang w:val="en-GB"/>
        </w:rPr>
      </w:pPr>
      <w:r w:rsidRPr="00DA607A">
        <w:rPr>
          <w:lang w:val="en-GB"/>
        </w:rPr>
        <w:t>(a)  that the respondent State is to pay the applicant, within three months</w:t>
      </w:r>
      <w:r w:rsidR="00D76D54" w:rsidRPr="00DA607A">
        <w:rPr>
          <w:lang w:val="en-GB"/>
        </w:rPr>
        <w:t xml:space="preserve"> from the date on which the judgment becomes final in accordance with Article 44 § 2 of the Convention,</w:t>
      </w:r>
      <w:r w:rsidRPr="00DA607A">
        <w:rPr>
          <w:lang w:val="en-GB"/>
        </w:rPr>
        <w:t xml:space="preserve"> the following amounts,</w:t>
      </w:r>
      <w:r w:rsidRPr="00DA607A">
        <w:rPr>
          <w:b/>
          <w:lang w:val="en-GB"/>
        </w:rPr>
        <w:t xml:space="preserve"> </w:t>
      </w:r>
      <w:r w:rsidRPr="00DA607A">
        <w:rPr>
          <w:bCs/>
          <w:lang w:val="en-GB"/>
        </w:rPr>
        <w:t xml:space="preserve">to be converted into </w:t>
      </w:r>
      <w:r w:rsidRPr="00DA607A">
        <w:rPr>
          <w:bCs/>
          <w:color w:val="000000"/>
          <w:lang w:val="en-GB"/>
        </w:rPr>
        <w:t>the currency of the respondent State</w:t>
      </w:r>
      <w:r w:rsidRPr="00DA607A">
        <w:rPr>
          <w:bCs/>
          <w:lang w:val="en-GB"/>
        </w:rPr>
        <w:t xml:space="preserve"> at th</w:t>
      </w:r>
      <w:r w:rsidRPr="00DA607A">
        <w:rPr>
          <w:lang w:val="en-GB"/>
        </w:rPr>
        <w:t>e rate applicable at the date of settlement:</w:t>
      </w:r>
    </w:p>
    <w:p w:rsidR="00014566" w:rsidRPr="00DA607A" w:rsidRDefault="00014566" w:rsidP="00DA607A">
      <w:pPr>
        <w:pStyle w:val="JuListi"/>
        <w:rPr>
          <w:lang w:val="en-GB"/>
        </w:rPr>
      </w:pPr>
      <w:r w:rsidRPr="00DA607A">
        <w:rPr>
          <w:lang w:val="en-GB"/>
        </w:rPr>
        <w:t>(i)  </w:t>
      </w:r>
      <w:r w:rsidR="006B1BD9" w:rsidRPr="00DA607A">
        <w:t>EUR 9,000 (nine thousand euros), plus any tax that may be chargeable, in respect of non-pecuniary damage;</w:t>
      </w:r>
    </w:p>
    <w:p w:rsidR="00014566" w:rsidRPr="00DA607A" w:rsidRDefault="00267A3C" w:rsidP="00DA607A">
      <w:pPr>
        <w:pStyle w:val="JuListi"/>
        <w:rPr>
          <w:lang w:val="en-GB"/>
        </w:rPr>
      </w:pPr>
      <w:r w:rsidRPr="00DA607A">
        <w:rPr>
          <w:lang w:val="en-GB"/>
        </w:rPr>
        <w:t>(</w:t>
      </w:r>
      <w:r w:rsidR="00014566" w:rsidRPr="00DA607A">
        <w:rPr>
          <w:lang w:val="en-GB"/>
        </w:rPr>
        <w:t>ii)  EUR</w:t>
      </w:r>
      <w:r w:rsidR="003E3BAB" w:rsidRPr="00DA607A">
        <w:rPr>
          <w:lang w:val="en-GB"/>
        </w:rPr>
        <w:t xml:space="preserve"> </w:t>
      </w:r>
      <w:r w:rsidR="003E3BAB" w:rsidRPr="00DA607A">
        <w:t xml:space="preserve">14,446 </w:t>
      </w:r>
      <w:r w:rsidR="00014566" w:rsidRPr="00DA607A">
        <w:rPr>
          <w:lang w:val="en-GB"/>
        </w:rPr>
        <w:t>(</w:t>
      </w:r>
      <w:r w:rsidR="003E3BAB" w:rsidRPr="00DA607A">
        <w:rPr>
          <w:lang w:val="en-GB"/>
        </w:rPr>
        <w:t xml:space="preserve">fourteen thousand four hundred </w:t>
      </w:r>
      <w:r w:rsidR="00483780" w:rsidRPr="00DA607A">
        <w:rPr>
          <w:lang w:val="en-GB"/>
        </w:rPr>
        <w:t>and forty-</w:t>
      </w:r>
      <w:r w:rsidR="003E3BAB" w:rsidRPr="00DA607A">
        <w:rPr>
          <w:lang w:val="en-GB"/>
        </w:rPr>
        <w:t>six</w:t>
      </w:r>
      <w:r w:rsidR="00014566" w:rsidRPr="00DA607A">
        <w:rPr>
          <w:lang w:val="en-GB"/>
        </w:rPr>
        <w:t xml:space="preserve"> euros), plus any tax that may be chargeable to the applicant, in respect of costs and expenses;</w:t>
      </w:r>
    </w:p>
    <w:p w:rsidR="00014566" w:rsidRPr="00DA607A" w:rsidRDefault="00014566" w:rsidP="00DA607A">
      <w:pPr>
        <w:pStyle w:val="JuLista"/>
        <w:rPr>
          <w:lang w:val="en-GB"/>
        </w:rPr>
      </w:pPr>
      <w:r w:rsidRPr="00DA607A">
        <w:rPr>
          <w:lang w:val="en-GB"/>
        </w:rPr>
        <w:t>(b)  that from the expiry of the above-mentioned three months until settlement simple interest shall be payable on the above amounts</w:t>
      </w:r>
      <w:r w:rsidR="003E3BAB" w:rsidRPr="00DA607A">
        <w:rPr>
          <w:lang w:val="en-GB"/>
        </w:rPr>
        <w:t xml:space="preserve"> </w:t>
      </w:r>
      <w:r w:rsidRPr="00DA607A">
        <w:rPr>
          <w:lang w:val="en-GB"/>
        </w:rPr>
        <w:t>at a rate equal to the marginal lending rate of the European Central Bank during the default period plus three percentage points;</w:t>
      </w:r>
    </w:p>
    <w:p w:rsidR="00014566" w:rsidRPr="00DA607A" w:rsidRDefault="00014566" w:rsidP="00DA607A">
      <w:pPr>
        <w:pStyle w:val="JuList"/>
        <w:rPr>
          <w:lang w:val="en-GB"/>
        </w:rPr>
      </w:pPr>
    </w:p>
    <w:p w:rsidR="00A06729" w:rsidRPr="00DA607A" w:rsidRDefault="003E3BAB" w:rsidP="00DA607A">
      <w:pPr>
        <w:pStyle w:val="JuList"/>
        <w:rPr>
          <w:lang w:val="en-GB"/>
        </w:rPr>
      </w:pPr>
      <w:r w:rsidRPr="00DA607A">
        <w:rPr>
          <w:lang w:val="en-GB"/>
        </w:rPr>
        <w:t>4</w:t>
      </w:r>
      <w:r w:rsidR="00014566" w:rsidRPr="00DA607A">
        <w:rPr>
          <w:lang w:val="en-GB"/>
        </w:rPr>
        <w:t>.  </w:t>
      </w:r>
      <w:r w:rsidR="00014566" w:rsidRPr="00DA607A">
        <w:rPr>
          <w:i/>
          <w:lang w:val="en-GB"/>
        </w:rPr>
        <w:t>Dismisses</w:t>
      </w:r>
      <w:r w:rsidR="00D76D54" w:rsidRPr="00DA607A">
        <w:rPr>
          <w:lang w:val="en-GB"/>
        </w:rPr>
        <w:t>, unanimously,</w:t>
      </w:r>
      <w:r w:rsidR="00014566" w:rsidRPr="00DA607A">
        <w:rPr>
          <w:color w:val="000000"/>
          <w:lang w:val="en-GB"/>
        </w:rPr>
        <w:t xml:space="preserve"> </w:t>
      </w:r>
      <w:r w:rsidR="00014566" w:rsidRPr="00DA607A">
        <w:rPr>
          <w:lang w:val="en-GB"/>
        </w:rPr>
        <w:t>the remainder of the applicant</w:t>
      </w:r>
      <w:r w:rsidR="00DA607A" w:rsidRPr="00DA607A">
        <w:rPr>
          <w:lang w:val="en-GB"/>
        </w:rPr>
        <w:t>’</w:t>
      </w:r>
      <w:r w:rsidR="00D76D54" w:rsidRPr="00DA607A">
        <w:rPr>
          <w:lang w:val="en-GB"/>
        </w:rPr>
        <w:t>s</w:t>
      </w:r>
      <w:r w:rsidR="00014566" w:rsidRPr="00DA607A">
        <w:rPr>
          <w:lang w:val="en-GB"/>
        </w:rPr>
        <w:t xml:space="preserve"> claim for just satisfaction.</w:t>
      </w:r>
    </w:p>
    <w:p w:rsidR="00014566" w:rsidRPr="00DA607A" w:rsidRDefault="00014566" w:rsidP="00DA607A">
      <w:pPr>
        <w:pStyle w:val="JuParaLast"/>
        <w:rPr>
          <w:lang w:val="en-GB"/>
        </w:rPr>
      </w:pPr>
      <w:r w:rsidRPr="00DA607A">
        <w:rPr>
          <w:lang w:val="en-GB"/>
        </w:rPr>
        <w:t xml:space="preserve">Done in English, and notified in writing on </w:t>
      </w:r>
      <w:r w:rsidR="000E58CF" w:rsidRPr="00DA607A">
        <w:rPr>
          <w:lang w:val="en-GB"/>
        </w:rPr>
        <w:t>19 July 2016</w:t>
      </w:r>
      <w:r w:rsidRPr="00DA607A">
        <w:rPr>
          <w:lang w:val="en-GB"/>
        </w:rPr>
        <w:t>, pursuant to Rule 77 §§ 2 and 3 of the Rules of Court.</w:t>
      </w:r>
    </w:p>
    <w:p w:rsidR="00014566" w:rsidRPr="00DA607A" w:rsidRDefault="00014566" w:rsidP="00DA607A">
      <w:pPr>
        <w:pStyle w:val="JuSigned"/>
        <w:rPr>
          <w:lang w:val="it-IT"/>
        </w:rPr>
      </w:pPr>
      <w:r w:rsidRPr="00DA607A">
        <w:rPr>
          <w:lang w:val="en-GB"/>
        </w:rPr>
        <w:tab/>
      </w:r>
      <w:r w:rsidR="00267A3C" w:rsidRPr="00DA607A">
        <w:t>Andrea Tamietti</w:t>
      </w:r>
      <w:r w:rsidRPr="00DA607A">
        <w:rPr>
          <w:lang w:val="it-IT"/>
        </w:rPr>
        <w:tab/>
      </w:r>
      <w:r w:rsidR="00D76D54" w:rsidRPr="00DA607A">
        <w:rPr>
          <w:szCs w:val="24"/>
          <w:lang w:val="it-IT"/>
        </w:rPr>
        <w:t>András Sajó</w:t>
      </w:r>
      <w:r w:rsidR="00E1557C" w:rsidRPr="00DA607A">
        <w:rPr>
          <w:szCs w:val="24"/>
          <w:lang w:val="it-IT"/>
        </w:rPr>
        <w:br/>
      </w:r>
      <w:r w:rsidRPr="00DA607A">
        <w:rPr>
          <w:lang w:val="it-IT"/>
        </w:rPr>
        <w:tab/>
      </w:r>
      <w:r w:rsidR="00267A3C" w:rsidRPr="00DA607A">
        <w:rPr>
          <w:lang w:val="it-IT"/>
        </w:rPr>
        <w:t xml:space="preserve">Deputy </w:t>
      </w:r>
      <w:r w:rsidR="00D76D54" w:rsidRPr="00DA607A">
        <w:rPr>
          <w:iCs/>
          <w:lang w:val="it-IT"/>
        </w:rPr>
        <w:t>Registrar</w:t>
      </w:r>
      <w:r w:rsidRPr="00DA607A">
        <w:rPr>
          <w:lang w:val="it-IT"/>
        </w:rPr>
        <w:tab/>
        <w:t>President</w:t>
      </w:r>
    </w:p>
    <w:p w:rsidR="000778EF" w:rsidRPr="00DA607A" w:rsidRDefault="000778EF" w:rsidP="00DA607A">
      <w:pPr>
        <w:pStyle w:val="JuParaLast"/>
      </w:pPr>
      <w:r w:rsidRPr="00DA607A">
        <w:t>In accordance with Article 45 § 2 of the Convention and Rule 74 § 2 of the Rules of Court, the separate opinion of Judge Motoc is annexed to this judgment.</w:t>
      </w:r>
    </w:p>
    <w:p w:rsidR="000778EF" w:rsidRPr="00DA607A" w:rsidRDefault="000778EF" w:rsidP="00DA607A">
      <w:pPr>
        <w:pStyle w:val="JuInitialled"/>
        <w:rPr>
          <w:lang w:val="it-IT"/>
        </w:rPr>
      </w:pPr>
      <w:r w:rsidRPr="00DA607A">
        <w:rPr>
          <w:lang w:val="it-IT"/>
        </w:rPr>
        <w:t>A.S.</w:t>
      </w:r>
      <w:r w:rsidR="00DA607A" w:rsidRPr="00DA607A">
        <w:rPr>
          <w:lang w:val="it-IT"/>
        </w:rPr>
        <w:br/>
      </w:r>
      <w:r w:rsidRPr="00DA607A">
        <w:rPr>
          <w:lang w:val="it-IT"/>
        </w:rPr>
        <w:t>A.N.T</w:t>
      </w:r>
      <w:r w:rsidR="00DC62E1" w:rsidRPr="00DA607A">
        <w:rPr>
          <w:lang w:val="it-IT"/>
        </w:rPr>
        <w:t>.</w:t>
      </w:r>
    </w:p>
    <w:p w:rsidR="00DC62E1" w:rsidRPr="00DA607A" w:rsidRDefault="00DC62E1" w:rsidP="00DA607A">
      <w:pPr>
        <w:jc w:val="right"/>
        <w:rPr>
          <w:lang w:val="it-IT"/>
        </w:rPr>
        <w:sectPr w:rsidR="00DC62E1" w:rsidRPr="00DA607A" w:rsidSect="000E58CF">
          <w:headerReference w:type="even" r:id="rId12"/>
          <w:headerReference w:type="default" r:id="rId13"/>
          <w:footnotePr>
            <w:numRestart w:val="eachSect"/>
          </w:footnotePr>
          <w:pgSz w:w="11906" w:h="16838" w:code="9"/>
          <w:pgMar w:top="2274" w:right="2274" w:bottom="2274" w:left="2274" w:header="1701" w:footer="720" w:gutter="0"/>
          <w:pgNumType w:start="1"/>
          <w:cols w:space="720"/>
          <w:docGrid w:linePitch="326"/>
        </w:sectPr>
      </w:pPr>
    </w:p>
    <w:p w:rsidR="00E9261E" w:rsidRPr="00DA607A" w:rsidRDefault="00E9261E" w:rsidP="00DA607A">
      <w:pPr>
        <w:pStyle w:val="ECHRTitleCentre1"/>
        <w:rPr>
          <w:lang w:val="en-GB"/>
        </w:rPr>
      </w:pPr>
      <w:r w:rsidRPr="00DA607A">
        <w:rPr>
          <w:lang w:val="en-GB"/>
        </w:rPr>
        <w:t>DISSENTING OPINION OF JUDGE MOTOC</w:t>
      </w:r>
    </w:p>
    <w:p w:rsidR="00E9261E" w:rsidRPr="00DA607A" w:rsidRDefault="00E9261E" w:rsidP="00DA607A">
      <w:pPr>
        <w:pStyle w:val="OpiPara"/>
      </w:pPr>
      <w:r w:rsidRPr="00DA607A">
        <w:t>I have voted against the majority in this case. I find it very problematical that the Court is attempting to replace the domestic authorities in this case in order to assess the application of Article 13 (b) of the Hague Convention. There seems to be some confusion in its reasoning about the best interests of the child.</w:t>
      </w:r>
    </w:p>
    <w:p w:rsidR="00E9261E" w:rsidRPr="00DA607A" w:rsidRDefault="00E9261E" w:rsidP="00DA607A">
      <w:pPr>
        <w:pStyle w:val="OpiPara"/>
      </w:pPr>
    </w:p>
    <w:p w:rsidR="00DA607A" w:rsidRPr="00DA607A" w:rsidRDefault="00E9261E" w:rsidP="00DA607A">
      <w:pPr>
        <w:pStyle w:val="OpiPara"/>
      </w:pPr>
      <w:r w:rsidRPr="00DA607A">
        <w:t>In my view, the Court has made a hypothetical indication to the national authorities that they have failed to assess the possibility of the mother travelling with her son to Canada. This indication is not only hypothetical but also utopian. Indeed, the majority indicated that responsibility for raising and educating a child should be shared equally between the parents and the domestic courts. I consider it an impossible task for the domestic courts to assess the possibility of one parent moving to a different country with the child. What a domestic court should assess is the best interests of the child under the conditions which will prevail when a child is returned to live with the relevant parent in the country of origin.</w:t>
      </w:r>
    </w:p>
    <w:p w:rsidR="00E9261E" w:rsidRPr="00DA607A" w:rsidRDefault="00E9261E" w:rsidP="00DA607A">
      <w:pPr>
        <w:pStyle w:val="OpiPara"/>
      </w:pPr>
    </w:p>
    <w:p w:rsidR="00E9261E" w:rsidRPr="00DA607A" w:rsidRDefault="00E9261E" w:rsidP="00DA607A">
      <w:pPr>
        <w:pStyle w:val="OpiPara"/>
      </w:pPr>
      <w:r w:rsidRPr="00DA607A">
        <w:t>In my opinion, the domestic courts carried out a very careful assessment of the possibility of returning a child, scrutinising all his personal circumstances in the light of the Supreme Court decision of 1999.</w:t>
      </w:r>
    </w:p>
    <w:sectPr w:rsidR="00E9261E" w:rsidRPr="00DA607A" w:rsidSect="00E51CD2">
      <w:headerReference w:type="even" r:id="rId14"/>
      <w:headerReference w:type="default" r:id="rId15"/>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8CF" w:rsidRDefault="000E58CF" w:rsidP="00014566">
      <w:r>
        <w:separator/>
      </w:r>
    </w:p>
  </w:endnote>
  <w:endnote w:type="continuationSeparator" w:id="0">
    <w:p w:rsidR="000E58CF" w:rsidRDefault="000E58CF"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CF" w:rsidRPr="00150BFA" w:rsidRDefault="000E58CF" w:rsidP="000E58CF">
    <w:pPr>
      <w:jc w:val="center"/>
    </w:pPr>
    <w:r>
      <w:rPr>
        <w:noProof/>
        <w:lang w:eastAsia="ja-JP"/>
      </w:rPr>
      <w:drawing>
        <wp:inline distT="0" distB="0" distL="0" distR="0" wp14:anchorId="4556D1F0" wp14:editId="2EC0AC7F">
          <wp:extent cx="771525" cy="619125"/>
          <wp:effectExtent l="0" t="0" r="9525" b="9525"/>
          <wp:docPr id="29" name="Picture 2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0E58CF" w:rsidRDefault="000E5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8CF" w:rsidRDefault="000E58CF" w:rsidP="00014566">
      <w:r>
        <w:separator/>
      </w:r>
    </w:p>
  </w:footnote>
  <w:footnote w:type="continuationSeparator" w:id="0">
    <w:p w:rsidR="000E58CF" w:rsidRDefault="000E58CF"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CF" w:rsidRPr="000E58CF" w:rsidRDefault="000E58CF" w:rsidP="000E58C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CF" w:rsidRPr="00A45145" w:rsidRDefault="000E58CF" w:rsidP="000E58CF">
    <w:pPr>
      <w:jc w:val="center"/>
    </w:pPr>
    <w:r>
      <w:rPr>
        <w:noProof/>
        <w:lang w:eastAsia="ja-JP"/>
      </w:rPr>
      <w:drawing>
        <wp:inline distT="0" distB="0" distL="0" distR="0" wp14:anchorId="3924BD13" wp14:editId="5176603C">
          <wp:extent cx="2962275" cy="1219200"/>
          <wp:effectExtent l="0" t="0" r="9525" b="0"/>
          <wp:docPr id="28" name="Picture 2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0E58CF" w:rsidRDefault="000E58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CF" w:rsidRPr="00FF2306" w:rsidRDefault="000E58CF" w:rsidP="002518A9">
    <w:pPr>
      <w:pStyle w:val="ECHRHeader"/>
      <w:rPr>
        <w:lang w:val="en-GB"/>
      </w:rPr>
    </w:pP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DA607A">
      <w:rPr>
        <w:rStyle w:val="PageNumber"/>
        <w:noProof/>
        <w:szCs w:val="18"/>
        <w:lang w:val="en-GB"/>
      </w:rPr>
      <w:t>16</w:t>
    </w:r>
    <w:r>
      <w:rPr>
        <w:rStyle w:val="PageNumber"/>
        <w:szCs w:val="18"/>
        <w:lang w:val="en-GB"/>
      </w:rPr>
      <w:fldChar w:fldCharType="end"/>
    </w:r>
    <w:r w:rsidRPr="00FF2306">
      <w:rPr>
        <w:lang w:val="en-GB"/>
      </w:rPr>
      <w:tab/>
    </w:r>
    <w:r>
      <w:rPr>
        <w:lang w:val="en-GB"/>
      </w:rPr>
      <w:t>G.N. v. POLAND</w:t>
    </w:r>
    <w:r w:rsidRPr="00FF2306">
      <w:rPr>
        <w:lang w:val="en-GB"/>
      </w:rPr>
      <w:t xml:space="preserve"> </w:t>
    </w:r>
    <w:r>
      <w:rPr>
        <w:lang w:val="en-GB"/>
      </w:rP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CF" w:rsidRPr="00D60D87" w:rsidRDefault="000E58CF" w:rsidP="00483780">
    <w:pPr>
      <w:pStyle w:val="ECHRHeader"/>
      <w:rPr>
        <w:lang w:val="en-GB"/>
      </w:rPr>
    </w:pPr>
    <w:r w:rsidRPr="00D60D87">
      <w:rPr>
        <w:lang w:val="en-GB"/>
      </w:rPr>
      <w:tab/>
    </w:r>
    <w:r>
      <w:rPr>
        <w:lang w:val="en-GB"/>
      </w:rPr>
      <w:t>G.N. v. POLAND</w:t>
    </w:r>
    <w:r w:rsidRPr="00D60D87">
      <w:rPr>
        <w:lang w:val="en-GB"/>
      </w:rPr>
      <w:t xml:space="preserve"> </w:t>
    </w:r>
    <w:r>
      <w:rPr>
        <w:lang w:val="en-GB"/>
      </w:rPr>
      <w:t>JUDGMENT</w:t>
    </w:r>
    <w:r w:rsidRPr="00D60D87">
      <w:rPr>
        <w:lang w:val="en-GB"/>
      </w:rPr>
      <w:tab/>
    </w: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DA607A">
      <w:rPr>
        <w:rStyle w:val="PageNumber"/>
        <w:noProof/>
        <w:szCs w:val="18"/>
        <w:lang w:val="en-GB"/>
      </w:rPr>
      <w:t>17</w:t>
    </w:r>
    <w:r>
      <w:rPr>
        <w:rStyle w:val="PageNumber"/>
        <w:szCs w:val="18"/>
        <w:lang w:val="en-G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D2" w:rsidRPr="00E9261E" w:rsidRDefault="00E51CD2" w:rsidP="00E51CD2">
    <w:pPr>
      <w:pStyle w:val="ECHRHeader"/>
      <w:tabs>
        <w:tab w:val="clear" w:pos="3686"/>
        <w:tab w:val="clear" w:pos="7371"/>
        <w:tab w:val="center" w:pos="3685"/>
      </w:tabs>
      <w:rPr>
        <w:lang w:val="fr-FR"/>
      </w:rPr>
    </w:pPr>
    <w:r>
      <w:rPr>
        <w:rStyle w:val="PageNumber"/>
        <w:szCs w:val="18"/>
        <w:lang w:val="en-GB"/>
      </w:rPr>
      <w:fldChar w:fldCharType="begin"/>
    </w:r>
    <w:r w:rsidRPr="00E9261E">
      <w:rPr>
        <w:rStyle w:val="PageNumber"/>
        <w:szCs w:val="18"/>
        <w:lang w:val="fr-FR"/>
      </w:rPr>
      <w:instrText xml:space="preserve"> PAGE </w:instrText>
    </w:r>
    <w:r>
      <w:rPr>
        <w:rStyle w:val="PageNumber"/>
        <w:szCs w:val="18"/>
        <w:lang w:val="en-GB"/>
      </w:rPr>
      <w:fldChar w:fldCharType="separate"/>
    </w:r>
    <w:r w:rsidR="00DA607A">
      <w:rPr>
        <w:rStyle w:val="PageNumber"/>
        <w:noProof/>
        <w:szCs w:val="18"/>
        <w:lang w:val="fr-FR"/>
      </w:rPr>
      <w:t>18</w:t>
    </w:r>
    <w:r>
      <w:rPr>
        <w:rStyle w:val="PageNumber"/>
        <w:szCs w:val="18"/>
        <w:lang w:val="en-GB"/>
      </w:rPr>
      <w:fldChar w:fldCharType="end"/>
    </w:r>
    <w:r w:rsidRPr="00E9261E">
      <w:rPr>
        <w:lang w:val="fr-FR"/>
      </w:rPr>
      <w:tab/>
      <w:t>G.N. v. POLAND JUDGMENT</w:t>
    </w:r>
    <w:r w:rsidR="00E9261E" w:rsidRPr="00E9261E">
      <w:rPr>
        <w:lang w:val="fr-FR"/>
      </w:rPr>
      <w:t xml:space="preserve"> – SE</w:t>
    </w:r>
    <w:r w:rsidR="00E9261E">
      <w:rPr>
        <w:lang w:val="fr-FR"/>
      </w:rPr>
      <w:t>PARATE OPINION</w:t>
    </w:r>
    <w:r w:rsidR="00E9261E">
      <w:rPr>
        <w:lang w:val="fr-FR"/>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D2" w:rsidRPr="00D60D87" w:rsidRDefault="00E51CD2" w:rsidP="00E51CD2">
    <w:pPr>
      <w:pStyle w:val="ECHRHeader"/>
      <w:tabs>
        <w:tab w:val="clear" w:pos="3686"/>
        <w:tab w:val="clear" w:pos="7371"/>
        <w:tab w:val="center" w:pos="3685"/>
        <w:tab w:val="right" w:pos="7370"/>
      </w:tabs>
      <w:rPr>
        <w:lang w:val="en-GB"/>
      </w:rPr>
    </w:pPr>
    <w:r w:rsidRPr="00D60D87">
      <w:rPr>
        <w:lang w:val="en-GB"/>
      </w:rPr>
      <w:tab/>
    </w:r>
    <w:r>
      <w:rPr>
        <w:lang w:val="en-GB"/>
      </w:rPr>
      <w:t>G.N. v. POLAND</w:t>
    </w:r>
    <w:r w:rsidRPr="00D60D87">
      <w:rPr>
        <w:lang w:val="en-GB"/>
      </w:rPr>
      <w:t xml:space="preserve"> </w:t>
    </w:r>
    <w:r>
      <w:rPr>
        <w:lang w:val="en-GB"/>
      </w:rPr>
      <w:t>JUDGMENT</w:t>
    </w:r>
    <w:r w:rsidR="00DC62E1">
      <w:rPr>
        <w:lang w:val="en-GB"/>
      </w:rPr>
      <w:t xml:space="preserve"> – SEPARATE OPINION</w:t>
    </w:r>
    <w:r w:rsidRPr="00D60D87">
      <w:rPr>
        <w:lang w:val="en-GB"/>
      </w:rPr>
      <w:tab/>
    </w: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E9261E">
      <w:rPr>
        <w:rStyle w:val="PageNumber"/>
        <w:noProof/>
        <w:szCs w:val="18"/>
        <w:lang w:val="en-GB"/>
      </w:rPr>
      <w:t>19</w:t>
    </w:r>
    <w:r>
      <w:rPr>
        <w:rStyle w:val="PageNumber"/>
        <w:szCs w:val="18"/>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8">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15"/>
  </w:num>
  <w:num w:numId="3">
    <w:abstractNumId w:val="9"/>
  </w:num>
  <w:num w:numId="4">
    <w:abstractNumId w:val="4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21"/>
  </w:num>
  <w:num w:numId="16">
    <w:abstractNumId w:val="25"/>
  </w:num>
  <w:num w:numId="17">
    <w:abstractNumId w:val="39"/>
  </w:num>
  <w:num w:numId="18">
    <w:abstractNumId w:val="34"/>
  </w:num>
  <w:num w:numId="19">
    <w:abstractNumId w:val="35"/>
  </w:num>
  <w:num w:numId="20">
    <w:abstractNumId w:val="24"/>
  </w:num>
  <w:num w:numId="21">
    <w:abstractNumId w:val="14"/>
  </w:num>
  <w:num w:numId="22">
    <w:abstractNumId w:val="19"/>
  </w:num>
  <w:num w:numId="23">
    <w:abstractNumId w:val="37"/>
  </w:num>
  <w:num w:numId="24">
    <w:abstractNumId w:val="33"/>
  </w:num>
  <w:num w:numId="25">
    <w:abstractNumId w:val="36"/>
  </w:num>
  <w:num w:numId="26">
    <w:abstractNumId w:val="42"/>
  </w:num>
  <w:num w:numId="27">
    <w:abstractNumId w:val="22"/>
  </w:num>
  <w:num w:numId="28">
    <w:abstractNumId w:val="10"/>
  </w:num>
  <w:num w:numId="29">
    <w:abstractNumId w:val="30"/>
  </w:num>
  <w:num w:numId="30">
    <w:abstractNumId w:val="16"/>
  </w:num>
  <w:num w:numId="31">
    <w:abstractNumId w:val="3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1"/>
  </w:num>
  <w:num w:numId="35">
    <w:abstractNumId w:val="31"/>
  </w:num>
  <w:num w:numId="36">
    <w:abstractNumId w:val="27"/>
  </w:num>
  <w:num w:numId="37">
    <w:abstractNumId w:val="28"/>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23"/>
  </w:num>
  <w:num w:numId="43">
    <w:abstractNumId w:val="32"/>
  </w:num>
  <w:num w:numId="44">
    <w:abstractNumId w:val="29"/>
  </w:num>
  <w:num w:numId="45">
    <w:abstractNumId w:val="26"/>
  </w:num>
  <w:num w:numId="46">
    <w:abstractNumId w:val="40"/>
  </w:num>
  <w:num w:numId="47">
    <w:abstractNumId w:val="20"/>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D76D54"/>
    <w:rsid w:val="000010ED"/>
    <w:rsid w:val="00002FCB"/>
    <w:rsid w:val="000041F8"/>
    <w:rsid w:val="000042A8"/>
    <w:rsid w:val="00004308"/>
    <w:rsid w:val="00005BF0"/>
    <w:rsid w:val="00007154"/>
    <w:rsid w:val="00007BA4"/>
    <w:rsid w:val="000103AE"/>
    <w:rsid w:val="00011D69"/>
    <w:rsid w:val="00012741"/>
    <w:rsid w:val="00012AD3"/>
    <w:rsid w:val="00014566"/>
    <w:rsid w:val="00015C2D"/>
    <w:rsid w:val="00015C34"/>
    <w:rsid w:val="00015F00"/>
    <w:rsid w:val="00022C1D"/>
    <w:rsid w:val="0002470F"/>
    <w:rsid w:val="00032FF5"/>
    <w:rsid w:val="00033578"/>
    <w:rsid w:val="00034987"/>
    <w:rsid w:val="00041056"/>
    <w:rsid w:val="000410DD"/>
    <w:rsid w:val="000602A3"/>
    <w:rsid w:val="000602DF"/>
    <w:rsid w:val="00061B05"/>
    <w:rsid w:val="00062973"/>
    <w:rsid w:val="00062D5D"/>
    <w:rsid w:val="000632D5"/>
    <w:rsid w:val="00063C58"/>
    <w:rsid w:val="00063DBB"/>
    <w:rsid w:val="000644EE"/>
    <w:rsid w:val="00072AC1"/>
    <w:rsid w:val="000778EF"/>
    <w:rsid w:val="00082BF5"/>
    <w:rsid w:val="000856D7"/>
    <w:rsid w:val="000925AD"/>
    <w:rsid w:val="0009480F"/>
    <w:rsid w:val="000A2065"/>
    <w:rsid w:val="000A24EB"/>
    <w:rsid w:val="000A5A2B"/>
    <w:rsid w:val="000B6923"/>
    <w:rsid w:val="000C033C"/>
    <w:rsid w:val="000C5F3C"/>
    <w:rsid w:val="000C6DCC"/>
    <w:rsid w:val="000D47AA"/>
    <w:rsid w:val="000D6808"/>
    <w:rsid w:val="000D721F"/>
    <w:rsid w:val="000E069B"/>
    <w:rsid w:val="000E0E82"/>
    <w:rsid w:val="000E1DC5"/>
    <w:rsid w:val="000E223F"/>
    <w:rsid w:val="000E35AC"/>
    <w:rsid w:val="000E3931"/>
    <w:rsid w:val="000E58CF"/>
    <w:rsid w:val="000E7D45"/>
    <w:rsid w:val="000F14A6"/>
    <w:rsid w:val="000F7851"/>
    <w:rsid w:val="001029FE"/>
    <w:rsid w:val="00104E23"/>
    <w:rsid w:val="00111B0C"/>
    <w:rsid w:val="00113655"/>
    <w:rsid w:val="00114E3B"/>
    <w:rsid w:val="0011592A"/>
    <w:rsid w:val="00120045"/>
    <w:rsid w:val="00120D6C"/>
    <w:rsid w:val="00121054"/>
    <w:rsid w:val="00121D13"/>
    <w:rsid w:val="001257EC"/>
    <w:rsid w:val="00132B14"/>
    <w:rsid w:val="00132C6A"/>
    <w:rsid w:val="00133D33"/>
    <w:rsid w:val="00134D64"/>
    <w:rsid w:val="00135A30"/>
    <w:rsid w:val="0013612C"/>
    <w:rsid w:val="00137FF6"/>
    <w:rsid w:val="00141650"/>
    <w:rsid w:val="001435AF"/>
    <w:rsid w:val="00162A12"/>
    <w:rsid w:val="00166530"/>
    <w:rsid w:val="00173770"/>
    <w:rsid w:val="001772F1"/>
    <w:rsid w:val="001832BD"/>
    <w:rsid w:val="0018402B"/>
    <w:rsid w:val="001943B5"/>
    <w:rsid w:val="00195134"/>
    <w:rsid w:val="001A145B"/>
    <w:rsid w:val="001A674C"/>
    <w:rsid w:val="001B3B24"/>
    <w:rsid w:val="001C0F98"/>
    <w:rsid w:val="001C14E2"/>
    <w:rsid w:val="001C2A42"/>
    <w:rsid w:val="001C4E6B"/>
    <w:rsid w:val="001D1EB9"/>
    <w:rsid w:val="001D63ED"/>
    <w:rsid w:val="001D7348"/>
    <w:rsid w:val="001E035B"/>
    <w:rsid w:val="001E0961"/>
    <w:rsid w:val="001E3EAE"/>
    <w:rsid w:val="001E4471"/>
    <w:rsid w:val="001E5348"/>
    <w:rsid w:val="001E6F32"/>
    <w:rsid w:val="001F2145"/>
    <w:rsid w:val="001F6262"/>
    <w:rsid w:val="001F67B0"/>
    <w:rsid w:val="001F7B3D"/>
    <w:rsid w:val="00201320"/>
    <w:rsid w:val="00202677"/>
    <w:rsid w:val="00205E90"/>
    <w:rsid w:val="00205F9F"/>
    <w:rsid w:val="00210338"/>
    <w:rsid w:val="002115FC"/>
    <w:rsid w:val="002133F8"/>
    <w:rsid w:val="0021423C"/>
    <w:rsid w:val="00214CCF"/>
    <w:rsid w:val="00215E6B"/>
    <w:rsid w:val="00220E77"/>
    <w:rsid w:val="0022260A"/>
    <w:rsid w:val="002262CA"/>
    <w:rsid w:val="00230D00"/>
    <w:rsid w:val="00231DF7"/>
    <w:rsid w:val="00231FD1"/>
    <w:rsid w:val="002339E0"/>
    <w:rsid w:val="00233CF8"/>
    <w:rsid w:val="0023575D"/>
    <w:rsid w:val="00237148"/>
    <w:rsid w:val="0024222D"/>
    <w:rsid w:val="00244B0E"/>
    <w:rsid w:val="00244F21"/>
    <w:rsid w:val="00244F6C"/>
    <w:rsid w:val="00251832"/>
    <w:rsid w:val="002518A9"/>
    <w:rsid w:val="00251D4E"/>
    <w:rsid w:val="00252292"/>
    <w:rsid w:val="00252C06"/>
    <w:rsid w:val="002532C5"/>
    <w:rsid w:val="00260C03"/>
    <w:rsid w:val="0026540E"/>
    <w:rsid w:val="00267A3C"/>
    <w:rsid w:val="0027225C"/>
    <w:rsid w:val="00275123"/>
    <w:rsid w:val="00282240"/>
    <w:rsid w:val="00283A79"/>
    <w:rsid w:val="0028572A"/>
    <w:rsid w:val="00285819"/>
    <w:rsid w:val="002948AD"/>
    <w:rsid w:val="00294C05"/>
    <w:rsid w:val="00294C92"/>
    <w:rsid w:val="00294D3C"/>
    <w:rsid w:val="002A01CC"/>
    <w:rsid w:val="002A0276"/>
    <w:rsid w:val="002A61B1"/>
    <w:rsid w:val="002A663C"/>
    <w:rsid w:val="002B1E6C"/>
    <w:rsid w:val="002B25EE"/>
    <w:rsid w:val="002B444B"/>
    <w:rsid w:val="002B5887"/>
    <w:rsid w:val="002C0692"/>
    <w:rsid w:val="002C0E27"/>
    <w:rsid w:val="002C3040"/>
    <w:rsid w:val="002C5435"/>
    <w:rsid w:val="002C5D25"/>
    <w:rsid w:val="002D022D"/>
    <w:rsid w:val="002D24BB"/>
    <w:rsid w:val="002F2AF7"/>
    <w:rsid w:val="002F55C6"/>
    <w:rsid w:val="002F7E1C"/>
    <w:rsid w:val="00301A75"/>
    <w:rsid w:val="00301DF1"/>
    <w:rsid w:val="00302F70"/>
    <w:rsid w:val="0030336F"/>
    <w:rsid w:val="0030375E"/>
    <w:rsid w:val="00305C91"/>
    <w:rsid w:val="003126E9"/>
    <w:rsid w:val="00312A30"/>
    <w:rsid w:val="00320F72"/>
    <w:rsid w:val="0032463E"/>
    <w:rsid w:val="00326224"/>
    <w:rsid w:val="00326878"/>
    <w:rsid w:val="00331B35"/>
    <w:rsid w:val="00331E31"/>
    <w:rsid w:val="00337EE4"/>
    <w:rsid w:val="00340FFD"/>
    <w:rsid w:val="00346229"/>
    <w:rsid w:val="00346CCA"/>
    <w:rsid w:val="003506B1"/>
    <w:rsid w:val="0035209E"/>
    <w:rsid w:val="003559FE"/>
    <w:rsid w:val="00356AC7"/>
    <w:rsid w:val="00357D0E"/>
    <w:rsid w:val="00360284"/>
    <w:rsid w:val="003609FA"/>
    <w:rsid w:val="003611C0"/>
    <w:rsid w:val="003645B1"/>
    <w:rsid w:val="00370113"/>
    <w:rsid w:val="003710C8"/>
    <w:rsid w:val="0037356D"/>
    <w:rsid w:val="003750BE"/>
    <w:rsid w:val="00382D74"/>
    <w:rsid w:val="00387B9D"/>
    <w:rsid w:val="0039364F"/>
    <w:rsid w:val="00396686"/>
    <w:rsid w:val="0039728F"/>
    <w:rsid w:val="0039778E"/>
    <w:rsid w:val="003A2C4E"/>
    <w:rsid w:val="003B156D"/>
    <w:rsid w:val="003B192E"/>
    <w:rsid w:val="003B2219"/>
    <w:rsid w:val="003B4941"/>
    <w:rsid w:val="003B6990"/>
    <w:rsid w:val="003C0497"/>
    <w:rsid w:val="003C5714"/>
    <w:rsid w:val="003C6B9F"/>
    <w:rsid w:val="003C6E2A"/>
    <w:rsid w:val="003D0299"/>
    <w:rsid w:val="003D7CCC"/>
    <w:rsid w:val="003E3BAB"/>
    <w:rsid w:val="003E6D80"/>
    <w:rsid w:val="003E7346"/>
    <w:rsid w:val="003F05FA"/>
    <w:rsid w:val="003F244A"/>
    <w:rsid w:val="003F30B8"/>
    <w:rsid w:val="003F4C45"/>
    <w:rsid w:val="003F5F7B"/>
    <w:rsid w:val="003F77FD"/>
    <w:rsid w:val="003F7D64"/>
    <w:rsid w:val="00400D51"/>
    <w:rsid w:val="00404DA1"/>
    <w:rsid w:val="00406D1D"/>
    <w:rsid w:val="0040777C"/>
    <w:rsid w:val="00414300"/>
    <w:rsid w:val="00425C67"/>
    <w:rsid w:val="00427E7A"/>
    <w:rsid w:val="00432891"/>
    <w:rsid w:val="00436307"/>
    <w:rsid w:val="00436C49"/>
    <w:rsid w:val="00441818"/>
    <w:rsid w:val="0044448E"/>
    <w:rsid w:val="00445366"/>
    <w:rsid w:val="00446728"/>
    <w:rsid w:val="00447F5B"/>
    <w:rsid w:val="00450B93"/>
    <w:rsid w:val="00451D3D"/>
    <w:rsid w:val="00461DB0"/>
    <w:rsid w:val="00463926"/>
    <w:rsid w:val="004646E0"/>
    <w:rsid w:val="00464C9A"/>
    <w:rsid w:val="0047133B"/>
    <w:rsid w:val="00474F3D"/>
    <w:rsid w:val="00477E3A"/>
    <w:rsid w:val="00483780"/>
    <w:rsid w:val="00483E5F"/>
    <w:rsid w:val="00485FF9"/>
    <w:rsid w:val="004907F0"/>
    <w:rsid w:val="0049140B"/>
    <w:rsid w:val="004923A5"/>
    <w:rsid w:val="0049248F"/>
    <w:rsid w:val="00496BFB"/>
    <w:rsid w:val="004A15C7"/>
    <w:rsid w:val="004A256B"/>
    <w:rsid w:val="004B013B"/>
    <w:rsid w:val="004B112B"/>
    <w:rsid w:val="004C01E4"/>
    <w:rsid w:val="004C086C"/>
    <w:rsid w:val="004C1F56"/>
    <w:rsid w:val="004C27BC"/>
    <w:rsid w:val="004D15F3"/>
    <w:rsid w:val="004D2E9A"/>
    <w:rsid w:val="004D3F54"/>
    <w:rsid w:val="004D420E"/>
    <w:rsid w:val="004D5311"/>
    <w:rsid w:val="004D5DCC"/>
    <w:rsid w:val="004F10AF"/>
    <w:rsid w:val="004F11A4"/>
    <w:rsid w:val="004F2389"/>
    <w:rsid w:val="004F304D"/>
    <w:rsid w:val="004F61BE"/>
    <w:rsid w:val="004F66B1"/>
    <w:rsid w:val="00511C07"/>
    <w:rsid w:val="00511D1D"/>
    <w:rsid w:val="005173A6"/>
    <w:rsid w:val="00520BAA"/>
    <w:rsid w:val="00525208"/>
    <w:rsid w:val="005257A5"/>
    <w:rsid w:val="005264C0"/>
    <w:rsid w:val="00526A8A"/>
    <w:rsid w:val="00526B21"/>
    <w:rsid w:val="00531DF2"/>
    <w:rsid w:val="00532FC3"/>
    <w:rsid w:val="00540154"/>
    <w:rsid w:val="00540E70"/>
    <w:rsid w:val="005434BD"/>
    <w:rsid w:val="005442EE"/>
    <w:rsid w:val="00544618"/>
    <w:rsid w:val="00547353"/>
    <w:rsid w:val="005474E7"/>
    <w:rsid w:val="005512A3"/>
    <w:rsid w:val="005578CE"/>
    <w:rsid w:val="00562133"/>
    <w:rsid w:val="00562781"/>
    <w:rsid w:val="00563E83"/>
    <w:rsid w:val="005652AF"/>
    <w:rsid w:val="0057271C"/>
    <w:rsid w:val="00572845"/>
    <w:rsid w:val="00574E5A"/>
    <w:rsid w:val="005759B7"/>
    <w:rsid w:val="00592772"/>
    <w:rsid w:val="00594E40"/>
    <w:rsid w:val="0059574A"/>
    <w:rsid w:val="005A1005"/>
    <w:rsid w:val="005A1B9B"/>
    <w:rsid w:val="005A6751"/>
    <w:rsid w:val="005B092E"/>
    <w:rsid w:val="005B152C"/>
    <w:rsid w:val="005B1EE0"/>
    <w:rsid w:val="005B2B24"/>
    <w:rsid w:val="005B4425"/>
    <w:rsid w:val="005B45E9"/>
    <w:rsid w:val="005B4B94"/>
    <w:rsid w:val="005C3EE8"/>
    <w:rsid w:val="005D0840"/>
    <w:rsid w:val="005D2862"/>
    <w:rsid w:val="005D34F9"/>
    <w:rsid w:val="005D3F13"/>
    <w:rsid w:val="005D4190"/>
    <w:rsid w:val="005D67A3"/>
    <w:rsid w:val="005E2988"/>
    <w:rsid w:val="005E2A43"/>
    <w:rsid w:val="005E3085"/>
    <w:rsid w:val="005E438A"/>
    <w:rsid w:val="005F2552"/>
    <w:rsid w:val="005F51E1"/>
    <w:rsid w:val="005F5309"/>
    <w:rsid w:val="00606941"/>
    <w:rsid w:val="00611C80"/>
    <w:rsid w:val="00620692"/>
    <w:rsid w:val="006242CA"/>
    <w:rsid w:val="00624BCD"/>
    <w:rsid w:val="00627507"/>
    <w:rsid w:val="00633717"/>
    <w:rsid w:val="006344E1"/>
    <w:rsid w:val="00645F5C"/>
    <w:rsid w:val="006545C4"/>
    <w:rsid w:val="00661971"/>
    <w:rsid w:val="00661CE8"/>
    <w:rsid w:val="006620A0"/>
    <w:rsid w:val="006623D9"/>
    <w:rsid w:val="006634DF"/>
    <w:rsid w:val="0066550C"/>
    <w:rsid w:val="00670BE1"/>
    <w:rsid w:val="006716F2"/>
    <w:rsid w:val="00674C5B"/>
    <w:rsid w:val="00682BF2"/>
    <w:rsid w:val="006859CE"/>
    <w:rsid w:val="00685C92"/>
    <w:rsid w:val="00686EF5"/>
    <w:rsid w:val="00691270"/>
    <w:rsid w:val="00694BA8"/>
    <w:rsid w:val="00697524"/>
    <w:rsid w:val="006A037C"/>
    <w:rsid w:val="006A36F4"/>
    <w:rsid w:val="006A406F"/>
    <w:rsid w:val="006A5D3A"/>
    <w:rsid w:val="006A66AF"/>
    <w:rsid w:val="006B1BD9"/>
    <w:rsid w:val="006B616C"/>
    <w:rsid w:val="006B6895"/>
    <w:rsid w:val="006C0921"/>
    <w:rsid w:val="006C23D4"/>
    <w:rsid w:val="006C7BB0"/>
    <w:rsid w:val="006D3237"/>
    <w:rsid w:val="006E2E37"/>
    <w:rsid w:val="006E3CF1"/>
    <w:rsid w:val="006E57FC"/>
    <w:rsid w:val="006E7E80"/>
    <w:rsid w:val="006F1DF9"/>
    <w:rsid w:val="006F24DB"/>
    <w:rsid w:val="006F48CA"/>
    <w:rsid w:val="006F64DD"/>
    <w:rsid w:val="007042DA"/>
    <w:rsid w:val="0070446F"/>
    <w:rsid w:val="00715127"/>
    <w:rsid w:val="00715E8E"/>
    <w:rsid w:val="00716801"/>
    <w:rsid w:val="0072091A"/>
    <w:rsid w:val="00723580"/>
    <w:rsid w:val="00723755"/>
    <w:rsid w:val="0073136C"/>
    <w:rsid w:val="00731F0F"/>
    <w:rsid w:val="00733250"/>
    <w:rsid w:val="00737EFF"/>
    <w:rsid w:val="00741404"/>
    <w:rsid w:val="007449E5"/>
    <w:rsid w:val="00746C5A"/>
    <w:rsid w:val="00747CA5"/>
    <w:rsid w:val="00747FF0"/>
    <w:rsid w:val="00761AFE"/>
    <w:rsid w:val="00764D4E"/>
    <w:rsid w:val="00765A1F"/>
    <w:rsid w:val="00765F91"/>
    <w:rsid w:val="0077435D"/>
    <w:rsid w:val="00775B6D"/>
    <w:rsid w:val="00776D68"/>
    <w:rsid w:val="00780F96"/>
    <w:rsid w:val="007850EE"/>
    <w:rsid w:val="00785B95"/>
    <w:rsid w:val="00790E96"/>
    <w:rsid w:val="00791C1B"/>
    <w:rsid w:val="00793366"/>
    <w:rsid w:val="007943A5"/>
    <w:rsid w:val="00795994"/>
    <w:rsid w:val="007A07AB"/>
    <w:rsid w:val="007A716F"/>
    <w:rsid w:val="007B270A"/>
    <w:rsid w:val="007B6339"/>
    <w:rsid w:val="007C0695"/>
    <w:rsid w:val="007C12B6"/>
    <w:rsid w:val="007C1F62"/>
    <w:rsid w:val="007C419A"/>
    <w:rsid w:val="007C4CC8"/>
    <w:rsid w:val="007C5426"/>
    <w:rsid w:val="007C5798"/>
    <w:rsid w:val="007C76F9"/>
    <w:rsid w:val="007D4832"/>
    <w:rsid w:val="007D73CF"/>
    <w:rsid w:val="007E21B2"/>
    <w:rsid w:val="007E2C4E"/>
    <w:rsid w:val="007E61DF"/>
    <w:rsid w:val="007E6A38"/>
    <w:rsid w:val="007F1905"/>
    <w:rsid w:val="00801300"/>
    <w:rsid w:val="00802C64"/>
    <w:rsid w:val="00805E52"/>
    <w:rsid w:val="008061D0"/>
    <w:rsid w:val="00810B38"/>
    <w:rsid w:val="008204C7"/>
    <w:rsid w:val="00820992"/>
    <w:rsid w:val="008220AF"/>
    <w:rsid w:val="00823602"/>
    <w:rsid w:val="008255F5"/>
    <w:rsid w:val="0083014E"/>
    <w:rsid w:val="0083214A"/>
    <w:rsid w:val="00834220"/>
    <w:rsid w:val="00845723"/>
    <w:rsid w:val="00851EF9"/>
    <w:rsid w:val="008577CB"/>
    <w:rsid w:val="008577FD"/>
    <w:rsid w:val="00860B03"/>
    <w:rsid w:val="00861B19"/>
    <w:rsid w:val="0086281D"/>
    <w:rsid w:val="0086497A"/>
    <w:rsid w:val="008713A1"/>
    <w:rsid w:val="00871F5E"/>
    <w:rsid w:val="008754AB"/>
    <w:rsid w:val="0088060C"/>
    <w:rsid w:val="008806C2"/>
    <w:rsid w:val="0088434A"/>
    <w:rsid w:val="00884ACD"/>
    <w:rsid w:val="00893576"/>
    <w:rsid w:val="00893E73"/>
    <w:rsid w:val="008A14DD"/>
    <w:rsid w:val="008A43C4"/>
    <w:rsid w:val="008B02DC"/>
    <w:rsid w:val="008B4EE3"/>
    <w:rsid w:val="008B57CE"/>
    <w:rsid w:val="008B659F"/>
    <w:rsid w:val="008C26DE"/>
    <w:rsid w:val="008C6D5C"/>
    <w:rsid w:val="008D2225"/>
    <w:rsid w:val="008D3B57"/>
    <w:rsid w:val="008D4752"/>
    <w:rsid w:val="008D552A"/>
    <w:rsid w:val="008E271C"/>
    <w:rsid w:val="008E418E"/>
    <w:rsid w:val="008E5BC6"/>
    <w:rsid w:val="008E6A25"/>
    <w:rsid w:val="008F1FC9"/>
    <w:rsid w:val="008F24A0"/>
    <w:rsid w:val="008F50C6"/>
    <w:rsid w:val="008F5193"/>
    <w:rsid w:val="009013A7"/>
    <w:rsid w:val="009017FB"/>
    <w:rsid w:val="009017FC"/>
    <w:rsid w:val="00903B43"/>
    <w:rsid w:val="0090506B"/>
    <w:rsid w:val="009050C9"/>
    <w:rsid w:val="009066FC"/>
    <w:rsid w:val="009140A3"/>
    <w:rsid w:val="009144A2"/>
    <w:rsid w:val="0091510C"/>
    <w:rsid w:val="00917A89"/>
    <w:rsid w:val="00921720"/>
    <w:rsid w:val="009259AC"/>
    <w:rsid w:val="00926F38"/>
    <w:rsid w:val="00930825"/>
    <w:rsid w:val="00934301"/>
    <w:rsid w:val="00936CD1"/>
    <w:rsid w:val="00941747"/>
    <w:rsid w:val="00941EFB"/>
    <w:rsid w:val="00945D72"/>
    <w:rsid w:val="00947AFB"/>
    <w:rsid w:val="00951D7D"/>
    <w:rsid w:val="00952C12"/>
    <w:rsid w:val="00961988"/>
    <w:rsid w:val="009630C7"/>
    <w:rsid w:val="00963EDA"/>
    <w:rsid w:val="00967330"/>
    <w:rsid w:val="00967A8C"/>
    <w:rsid w:val="00972B55"/>
    <w:rsid w:val="009743B7"/>
    <w:rsid w:val="00976A53"/>
    <w:rsid w:val="0098228B"/>
    <w:rsid w:val="009828DA"/>
    <w:rsid w:val="0098389A"/>
    <w:rsid w:val="00985BAB"/>
    <w:rsid w:val="00990314"/>
    <w:rsid w:val="00997F03"/>
    <w:rsid w:val="009A212A"/>
    <w:rsid w:val="009A46DF"/>
    <w:rsid w:val="009B1B5F"/>
    <w:rsid w:val="009B2EC2"/>
    <w:rsid w:val="009B45BA"/>
    <w:rsid w:val="009B6673"/>
    <w:rsid w:val="009C191B"/>
    <w:rsid w:val="009C2BD6"/>
    <w:rsid w:val="009C5446"/>
    <w:rsid w:val="009C62B1"/>
    <w:rsid w:val="009C70F6"/>
    <w:rsid w:val="009D0CEB"/>
    <w:rsid w:val="009E1F32"/>
    <w:rsid w:val="009E3E41"/>
    <w:rsid w:val="009E5829"/>
    <w:rsid w:val="009E75EC"/>
    <w:rsid w:val="009E776C"/>
    <w:rsid w:val="009E7798"/>
    <w:rsid w:val="009F5606"/>
    <w:rsid w:val="009F6EAB"/>
    <w:rsid w:val="00A01A0F"/>
    <w:rsid w:val="00A06729"/>
    <w:rsid w:val="00A067B1"/>
    <w:rsid w:val="00A1204F"/>
    <w:rsid w:val="00A1726E"/>
    <w:rsid w:val="00A204CF"/>
    <w:rsid w:val="00A23D49"/>
    <w:rsid w:val="00A27004"/>
    <w:rsid w:val="00A30C29"/>
    <w:rsid w:val="00A33E4B"/>
    <w:rsid w:val="00A34DD6"/>
    <w:rsid w:val="00A36819"/>
    <w:rsid w:val="00A36989"/>
    <w:rsid w:val="00A42B5E"/>
    <w:rsid w:val="00A4341C"/>
    <w:rsid w:val="00A43628"/>
    <w:rsid w:val="00A51A1E"/>
    <w:rsid w:val="00A54192"/>
    <w:rsid w:val="00A6035E"/>
    <w:rsid w:val="00A6144C"/>
    <w:rsid w:val="00A66617"/>
    <w:rsid w:val="00A671F8"/>
    <w:rsid w:val="00A673A4"/>
    <w:rsid w:val="00A724AE"/>
    <w:rsid w:val="00A73329"/>
    <w:rsid w:val="00A73DB8"/>
    <w:rsid w:val="00A8046A"/>
    <w:rsid w:val="00A80738"/>
    <w:rsid w:val="00A82359"/>
    <w:rsid w:val="00A865D2"/>
    <w:rsid w:val="00A91CD9"/>
    <w:rsid w:val="00A91FC9"/>
    <w:rsid w:val="00A94C20"/>
    <w:rsid w:val="00A96ED6"/>
    <w:rsid w:val="00AA03BC"/>
    <w:rsid w:val="00AA1E4D"/>
    <w:rsid w:val="00AA227F"/>
    <w:rsid w:val="00AA3BC7"/>
    <w:rsid w:val="00AA754A"/>
    <w:rsid w:val="00AB099E"/>
    <w:rsid w:val="00AB4328"/>
    <w:rsid w:val="00AB5FA0"/>
    <w:rsid w:val="00AB66E2"/>
    <w:rsid w:val="00AD398E"/>
    <w:rsid w:val="00AD7268"/>
    <w:rsid w:val="00AE0A2E"/>
    <w:rsid w:val="00AE354C"/>
    <w:rsid w:val="00AE5309"/>
    <w:rsid w:val="00AE65F0"/>
    <w:rsid w:val="00AE6929"/>
    <w:rsid w:val="00AF0EBD"/>
    <w:rsid w:val="00AF4B07"/>
    <w:rsid w:val="00AF6186"/>
    <w:rsid w:val="00AF69D5"/>
    <w:rsid w:val="00AF7A3A"/>
    <w:rsid w:val="00B141A3"/>
    <w:rsid w:val="00B160DB"/>
    <w:rsid w:val="00B20836"/>
    <w:rsid w:val="00B235BB"/>
    <w:rsid w:val="00B27A44"/>
    <w:rsid w:val="00B30970"/>
    <w:rsid w:val="00B30BBF"/>
    <w:rsid w:val="00B33C03"/>
    <w:rsid w:val="00B436AB"/>
    <w:rsid w:val="00B43833"/>
    <w:rsid w:val="00B44E56"/>
    <w:rsid w:val="00B46543"/>
    <w:rsid w:val="00B47D33"/>
    <w:rsid w:val="00B52BE0"/>
    <w:rsid w:val="00B54133"/>
    <w:rsid w:val="00B637B9"/>
    <w:rsid w:val="00B63D03"/>
    <w:rsid w:val="00B701ED"/>
    <w:rsid w:val="00B70AAB"/>
    <w:rsid w:val="00B7130D"/>
    <w:rsid w:val="00B73850"/>
    <w:rsid w:val="00B743E2"/>
    <w:rsid w:val="00B74BAC"/>
    <w:rsid w:val="00B75AEA"/>
    <w:rsid w:val="00B778C9"/>
    <w:rsid w:val="00B8086C"/>
    <w:rsid w:val="00B81B36"/>
    <w:rsid w:val="00B81BDC"/>
    <w:rsid w:val="00B83446"/>
    <w:rsid w:val="00B861B4"/>
    <w:rsid w:val="00B86DFE"/>
    <w:rsid w:val="00B87373"/>
    <w:rsid w:val="00B9001C"/>
    <w:rsid w:val="00B90990"/>
    <w:rsid w:val="00B922FF"/>
    <w:rsid w:val="00B9281E"/>
    <w:rsid w:val="00B93925"/>
    <w:rsid w:val="00B95187"/>
    <w:rsid w:val="00BA11DB"/>
    <w:rsid w:val="00BA2D55"/>
    <w:rsid w:val="00BA33FF"/>
    <w:rsid w:val="00BA71B1"/>
    <w:rsid w:val="00BB0637"/>
    <w:rsid w:val="00BB345F"/>
    <w:rsid w:val="00BB5883"/>
    <w:rsid w:val="00BB6130"/>
    <w:rsid w:val="00BB68EA"/>
    <w:rsid w:val="00BC1C27"/>
    <w:rsid w:val="00BC6BBF"/>
    <w:rsid w:val="00BD1572"/>
    <w:rsid w:val="00BE14E3"/>
    <w:rsid w:val="00BE3225"/>
    <w:rsid w:val="00BE3774"/>
    <w:rsid w:val="00BE41E5"/>
    <w:rsid w:val="00BF0BBB"/>
    <w:rsid w:val="00BF4109"/>
    <w:rsid w:val="00BF4CC3"/>
    <w:rsid w:val="00C054C7"/>
    <w:rsid w:val="00C057B5"/>
    <w:rsid w:val="00C07A49"/>
    <w:rsid w:val="00C22687"/>
    <w:rsid w:val="00C32DF1"/>
    <w:rsid w:val="00C32E4D"/>
    <w:rsid w:val="00C333A0"/>
    <w:rsid w:val="00C3413E"/>
    <w:rsid w:val="00C36A81"/>
    <w:rsid w:val="00C41974"/>
    <w:rsid w:val="00C43650"/>
    <w:rsid w:val="00C447AD"/>
    <w:rsid w:val="00C524B7"/>
    <w:rsid w:val="00C53F4A"/>
    <w:rsid w:val="00C54125"/>
    <w:rsid w:val="00C55B54"/>
    <w:rsid w:val="00C6098E"/>
    <w:rsid w:val="00C6152C"/>
    <w:rsid w:val="00C621C2"/>
    <w:rsid w:val="00C62677"/>
    <w:rsid w:val="00C74810"/>
    <w:rsid w:val="00C82C06"/>
    <w:rsid w:val="00C85048"/>
    <w:rsid w:val="00C90D68"/>
    <w:rsid w:val="00C939FE"/>
    <w:rsid w:val="00C9687D"/>
    <w:rsid w:val="00CA4BDA"/>
    <w:rsid w:val="00CB1F66"/>
    <w:rsid w:val="00CB2951"/>
    <w:rsid w:val="00CB3082"/>
    <w:rsid w:val="00CC3EB1"/>
    <w:rsid w:val="00CC60FD"/>
    <w:rsid w:val="00CD282B"/>
    <w:rsid w:val="00CD460F"/>
    <w:rsid w:val="00CD4C35"/>
    <w:rsid w:val="00CD7369"/>
    <w:rsid w:val="00CE0B0E"/>
    <w:rsid w:val="00CE3831"/>
    <w:rsid w:val="00CE71D1"/>
    <w:rsid w:val="00D00ABB"/>
    <w:rsid w:val="00D02EEC"/>
    <w:rsid w:val="00D03551"/>
    <w:rsid w:val="00D06A63"/>
    <w:rsid w:val="00D07E0E"/>
    <w:rsid w:val="00D11478"/>
    <w:rsid w:val="00D15038"/>
    <w:rsid w:val="00D15313"/>
    <w:rsid w:val="00D15ED0"/>
    <w:rsid w:val="00D21B3E"/>
    <w:rsid w:val="00D21FED"/>
    <w:rsid w:val="00D24251"/>
    <w:rsid w:val="00D30472"/>
    <w:rsid w:val="00D343E2"/>
    <w:rsid w:val="00D361A2"/>
    <w:rsid w:val="00D3780C"/>
    <w:rsid w:val="00D44C2E"/>
    <w:rsid w:val="00D45414"/>
    <w:rsid w:val="00D46DB4"/>
    <w:rsid w:val="00D53C0F"/>
    <w:rsid w:val="00D542FE"/>
    <w:rsid w:val="00D566BD"/>
    <w:rsid w:val="00D57A4D"/>
    <w:rsid w:val="00D60AA7"/>
    <w:rsid w:val="00D60D87"/>
    <w:rsid w:val="00D640C0"/>
    <w:rsid w:val="00D6435F"/>
    <w:rsid w:val="00D75E28"/>
    <w:rsid w:val="00D76D54"/>
    <w:rsid w:val="00D772C2"/>
    <w:rsid w:val="00D8008E"/>
    <w:rsid w:val="00D809C7"/>
    <w:rsid w:val="00D82C45"/>
    <w:rsid w:val="00D835EA"/>
    <w:rsid w:val="00D875E4"/>
    <w:rsid w:val="00D908A8"/>
    <w:rsid w:val="00D92BBB"/>
    <w:rsid w:val="00D958F2"/>
    <w:rsid w:val="00D977B6"/>
    <w:rsid w:val="00DA1798"/>
    <w:rsid w:val="00DA234B"/>
    <w:rsid w:val="00DA3B51"/>
    <w:rsid w:val="00DA4A31"/>
    <w:rsid w:val="00DA55CA"/>
    <w:rsid w:val="00DA607A"/>
    <w:rsid w:val="00DA7B04"/>
    <w:rsid w:val="00DB36C2"/>
    <w:rsid w:val="00DB5D20"/>
    <w:rsid w:val="00DB7196"/>
    <w:rsid w:val="00DC169B"/>
    <w:rsid w:val="00DC2AB9"/>
    <w:rsid w:val="00DC62E1"/>
    <w:rsid w:val="00DC63F0"/>
    <w:rsid w:val="00DD6EE5"/>
    <w:rsid w:val="00DE386C"/>
    <w:rsid w:val="00DE4D35"/>
    <w:rsid w:val="00DF0549"/>
    <w:rsid w:val="00DF098B"/>
    <w:rsid w:val="00DF11C4"/>
    <w:rsid w:val="00DF210C"/>
    <w:rsid w:val="00DF4B6A"/>
    <w:rsid w:val="00DF6300"/>
    <w:rsid w:val="00E02C09"/>
    <w:rsid w:val="00E04D59"/>
    <w:rsid w:val="00E054A9"/>
    <w:rsid w:val="00E07368"/>
    <w:rsid w:val="00E07DA1"/>
    <w:rsid w:val="00E123CB"/>
    <w:rsid w:val="00E1557C"/>
    <w:rsid w:val="00E20E13"/>
    <w:rsid w:val="00E21DBC"/>
    <w:rsid w:val="00E27103"/>
    <w:rsid w:val="00E275D7"/>
    <w:rsid w:val="00E27DBE"/>
    <w:rsid w:val="00E32AB1"/>
    <w:rsid w:val="00E349AB"/>
    <w:rsid w:val="00E36C29"/>
    <w:rsid w:val="00E36C71"/>
    <w:rsid w:val="00E40404"/>
    <w:rsid w:val="00E459C6"/>
    <w:rsid w:val="00E47589"/>
    <w:rsid w:val="00E502C2"/>
    <w:rsid w:val="00E50BDB"/>
    <w:rsid w:val="00E51CD2"/>
    <w:rsid w:val="00E62D8A"/>
    <w:rsid w:val="00E64915"/>
    <w:rsid w:val="00E661D4"/>
    <w:rsid w:val="00E70091"/>
    <w:rsid w:val="00E713C5"/>
    <w:rsid w:val="00E720F5"/>
    <w:rsid w:val="00E76D47"/>
    <w:rsid w:val="00E808E1"/>
    <w:rsid w:val="00E849F7"/>
    <w:rsid w:val="00E84AEC"/>
    <w:rsid w:val="00E86540"/>
    <w:rsid w:val="00E87C89"/>
    <w:rsid w:val="00E90302"/>
    <w:rsid w:val="00E9261E"/>
    <w:rsid w:val="00E9597F"/>
    <w:rsid w:val="00E97396"/>
    <w:rsid w:val="00EA185E"/>
    <w:rsid w:val="00EA592A"/>
    <w:rsid w:val="00EB14E4"/>
    <w:rsid w:val="00EB32A5"/>
    <w:rsid w:val="00EB34ED"/>
    <w:rsid w:val="00EB58AD"/>
    <w:rsid w:val="00EB7BE0"/>
    <w:rsid w:val="00EB7E88"/>
    <w:rsid w:val="00EC0E41"/>
    <w:rsid w:val="00EC1A3A"/>
    <w:rsid w:val="00EC315E"/>
    <w:rsid w:val="00ED077C"/>
    <w:rsid w:val="00ED1190"/>
    <w:rsid w:val="00ED6544"/>
    <w:rsid w:val="00EE0277"/>
    <w:rsid w:val="00EE1DA9"/>
    <w:rsid w:val="00EE3E00"/>
    <w:rsid w:val="00EE5DD2"/>
    <w:rsid w:val="00EF23EA"/>
    <w:rsid w:val="00EF2BDB"/>
    <w:rsid w:val="00EF41F1"/>
    <w:rsid w:val="00EF4F08"/>
    <w:rsid w:val="00EF5DCE"/>
    <w:rsid w:val="00F00A79"/>
    <w:rsid w:val="00F00E86"/>
    <w:rsid w:val="00F00F8B"/>
    <w:rsid w:val="00F07C1E"/>
    <w:rsid w:val="00F105DB"/>
    <w:rsid w:val="00F132BC"/>
    <w:rsid w:val="00F13D80"/>
    <w:rsid w:val="00F16AAA"/>
    <w:rsid w:val="00F21161"/>
    <w:rsid w:val="00F218EF"/>
    <w:rsid w:val="00F21BC7"/>
    <w:rsid w:val="00F266A2"/>
    <w:rsid w:val="00F30181"/>
    <w:rsid w:val="00F32269"/>
    <w:rsid w:val="00F40CE7"/>
    <w:rsid w:val="00F4457E"/>
    <w:rsid w:val="00F56A6F"/>
    <w:rsid w:val="00F5709C"/>
    <w:rsid w:val="00F6109A"/>
    <w:rsid w:val="00F64EF1"/>
    <w:rsid w:val="00F6779D"/>
    <w:rsid w:val="00F8765F"/>
    <w:rsid w:val="00F90767"/>
    <w:rsid w:val="00FA3CDD"/>
    <w:rsid w:val="00FA685B"/>
    <w:rsid w:val="00FB0C01"/>
    <w:rsid w:val="00FB3A76"/>
    <w:rsid w:val="00FC1753"/>
    <w:rsid w:val="00FC18F2"/>
    <w:rsid w:val="00FC39E5"/>
    <w:rsid w:val="00FC3A78"/>
    <w:rsid w:val="00FC5FFE"/>
    <w:rsid w:val="00FD1005"/>
    <w:rsid w:val="00FD3180"/>
    <w:rsid w:val="00FD6C75"/>
    <w:rsid w:val="00FD6DAA"/>
    <w:rsid w:val="00FE71B3"/>
    <w:rsid w:val="00FF2DA6"/>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A607A"/>
    <w:pPr>
      <w:jc w:val="both"/>
    </w:pPr>
    <w:rPr>
      <w:rFonts w:eastAsiaTheme="minorEastAsia"/>
      <w:sz w:val="24"/>
    </w:rPr>
  </w:style>
  <w:style w:type="paragraph" w:styleId="Heading1">
    <w:name w:val="heading 1"/>
    <w:basedOn w:val="Normal"/>
    <w:next w:val="Normal"/>
    <w:link w:val="Heading1Char"/>
    <w:uiPriority w:val="99"/>
    <w:semiHidden/>
    <w:rsid w:val="00DA607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DA607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DA607A"/>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DA607A"/>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DA607A"/>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DA607A"/>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DA607A"/>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DA607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DA607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A607A"/>
    <w:rPr>
      <w:rFonts w:ascii="Tahoma" w:hAnsi="Tahoma" w:cs="Tahoma"/>
      <w:sz w:val="16"/>
      <w:szCs w:val="16"/>
    </w:rPr>
  </w:style>
  <w:style w:type="character" w:customStyle="1" w:styleId="BalloonTextChar">
    <w:name w:val="Balloon Text Char"/>
    <w:basedOn w:val="DefaultParagraphFont"/>
    <w:link w:val="BalloonText"/>
    <w:uiPriority w:val="99"/>
    <w:semiHidden/>
    <w:rsid w:val="00DA607A"/>
    <w:rPr>
      <w:rFonts w:ascii="Tahoma" w:eastAsiaTheme="minorEastAsia" w:hAnsi="Tahoma" w:cs="Tahoma"/>
      <w:sz w:val="16"/>
      <w:szCs w:val="16"/>
    </w:rPr>
  </w:style>
  <w:style w:type="character" w:styleId="BookTitle">
    <w:name w:val="Book Title"/>
    <w:uiPriority w:val="99"/>
    <w:semiHidden/>
    <w:qFormat/>
    <w:rsid w:val="00DA607A"/>
    <w:rPr>
      <w:i/>
      <w:iCs/>
      <w:smallCaps/>
      <w:spacing w:val="5"/>
    </w:rPr>
  </w:style>
  <w:style w:type="paragraph" w:customStyle="1" w:styleId="ECHRHeader">
    <w:name w:val="ECHR_Header"/>
    <w:aliases w:val="Ju_Header"/>
    <w:basedOn w:val="Header"/>
    <w:uiPriority w:val="4"/>
    <w:qFormat/>
    <w:rsid w:val="00DA607A"/>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DA607A"/>
    <w:pPr>
      <w:jc w:val="left"/>
    </w:pPr>
    <w:rPr>
      <w:sz w:val="8"/>
    </w:rPr>
  </w:style>
  <w:style w:type="character" w:styleId="Strong">
    <w:name w:val="Strong"/>
    <w:uiPriority w:val="99"/>
    <w:semiHidden/>
    <w:qFormat/>
    <w:rsid w:val="00DA607A"/>
    <w:rPr>
      <w:b/>
      <w:bCs/>
    </w:rPr>
  </w:style>
  <w:style w:type="paragraph" w:styleId="NoSpacing">
    <w:name w:val="No Spacing"/>
    <w:basedOn w:val="Normal"/>
    <w:link w:val="NoSpacingChar"/>
    <w:semiHidden/>
    <w:qFormat/>
    <w:rsid w:val="00DA607A"/>
  </w:style>
  <w:style w:type="character" w:customStyle="1" w:styleId="NoSpacingChar">
    <w:name w:val="No Spacing Char"/>
    <w:basedOn w:val="DefaultParagraphFont"/>
    <w:link w:val="NoSpacing"/>
    <w:semiHidden/>
    <w:rsid w:val="00DA607A"/>
    <w:rPr>
      <w:rFonts w:eastAsiaTheme="minorEastAsia"/>
      <w:sz w:val="24"/>
    </w:rPr>
  </w:style>
  <w:style w:type="paragraph" w:customStyle="1" w:styleId="ECHRFooterLine">
    <w:name w:val="ECHR_Footer_Line"/>
    <w:aliases w:val="Footer_Line"/>
    <w:basedOn w:val="Normal"/>
    <w:next w:val="ECHRFooter"/>
    <w:uiPriority w:val="57"/>
    <w:semiHidden/>
    <w:rsid w:val="00DA607A"/>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DA607A"/>
    <w:pPr>
      <w:numPr>
        <w:numId w:val="14"/>
      </w:numPr>
      <w:jc w:val="left"/>
    </w:pPr>
    <w:rPr>
      <w:b/>
    </w:rPr>
  </w:style>
  <w:style w:type="paragraph" w:customStyle="1" w:styleId="OpiPara">
    <w:name w:val="Opi_Para"/>
    <w:basedOn w:val="ECHRPara"/>
    <w:uiPriority w:val="46"/>
    <w:qFormat/>
    <w:rsid w:val="00DA607A"/>
  </w:style>
  <w:style w:type="paragraph" w:customStyle="1" w:styleId="JuParaSub">
    <w:name w:val="Ju_Para_Sub"/>
    <w:basedOn w:val="ECHRPara"/>
    <w:uiPriority w:val="13"/>
    <w:qFormat/>
    <w:rsid w:val="00DA607A"/>
    <w:pPr>
      <w:ind w:left="284"/>
    </w:pPr>
  </w:style>
  <w:style w:type="paragraph" w:customStyle="1" w:styleId="ECHRTitleCentre3">
    <w:name w:val="ECHR_Title_Centre_3"/>
    <w:aliases w:val="Ju_H_Article"/>
    <w:basedOn w:val="Normal"/>
    <w:next w:val="ECHRParaQuote"/>
    <w:uiPriority w:val="27"/>
    <w:qFormat/>
    <w:rsid w:val="00DA607A"/>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DA607A"/>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semiHidden/>
    <w:qFormat/>
    <w:rsid w:val="00DA607A"/>
  </w:style>
  <w:style w:type="paragraph" w:customStyle="1" w:styleId="OpiQuot">
    <w:name w:val="Opi_Quot"/>
    <w:basedOn w:val="ECHRParaQuote"/>
    <w:uiPriority w:val="48"/>
    <w:semiHidden/>
    <w:qFormat/>
    <w:rsid w:val="00DA607A"/>
  </w:style>
  <w:style w:type="paragraph" w:customStyle="1" w:styleId="OpiQuotSub">
    <w:name w:val="Opi_Quot_Sub"/>
    <w:basedOn w:val="JuQuotSub"/>
    <w:uiPriority w:val="49"/>
    <w:semiHidden/>
    <w:qFormat/>
    <w:rsid w:val="00DA607A"/>
  </w:style>
  <w:style w:type="paragraph" w:customStyle="1" w:styleId="ECHRTitleCentre2">
    <w:name w:val="ECHR_Title_Centre_2"/>
    <w:aliases w:val="Dec_H_Case"/>
    <w:basedOn w:val="Normal"/>
    <w:next w:val="ECHRPara"/>
    <w:uiPriority w:val="8"/>
    <w:qFormat/>
    <w:rsid w:val="00DA607A"/>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DA607A"/>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DA607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DA607A"/>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DA607A"/>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DA607A"/>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DA607A"/>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DA607A"/>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DA607A"/>
    <w:pPr>
      <w:keepNext/>
      <w:keepLines/>
      <w:spacing w:before="240" w:after="120"/>
      <w:ind w:left="1236"/>
    </w:pPr>
    <w:rPr>
      <w:sz w:val="20"/>
    </w:rPr>
  </w:style>
  <w:style w:type="paragraph" w:customStyle="1" w:styleId="JuQuotSub">
    <w:name w:val="Ju_Quot_Sub"/>
    <w:basedOn w:val="ECHRParaQuote"/>
    <w:uiPriority w:val="15"/>
    <w:qFormat/>
    <w:rsid w:val="00DA607A"/>
    <w:pPr>
      <w:ind w:left="567"/>
    </w:pPr>
  </w:style>
  <w:style w:type="paragraph" w:customStyle="1" w:styleId="JuInitialled">
    <w:name w:val="Ju_Initialled"/>
    <w:basedOn w:val="Normal"/>
    <w:uiPriority w:val="31"/>
    <w:qFormat/>
    <w:rsid w:val="00DA607A"/>
    <w:pPr>
      <w:tabs>
        <w:tab w:val="center" w:pos="6407"/>
      </w:tabs>
      <w:spacing w:before="720"/>
      <w:jc w:val="right"/>
    </w:pPr>
  </w:style>
  <w:style w:type="paragraph" w:customStyle="1" w:styleId="OpiHA">
    <w:name w:val="Opi_H_A"/>
    <w:basedOn w:val="ECHRHeading1"/>
    <w:next w:val="OpiPara"/>
    <w:uiPriority w:val="41"/>
    <w:semiHidden/>
    <w:qFormat/>
    <w:rsid w:val="00DA607A"/>
    <w:pPr>
      <w:tabs>
        <w:tab w:val="clear" w:pos="357"/>
      </w:tabs>
      <w:outlineLvl w:val="1"/>
    </w:pPr>
    <w:rPr>
      <w:b/>
    </w:rPr>
  </w:style>
  <w:style w:type="paragraph" w:styleId="Header">
    <w:name w:val="header"/>
    <w:basedOn w:val="Normal"/>
    <w:link w:val="HeaderChar"/>
    <w:uiPriority w:val="57"/>
    <w:semiHidden/>
    <w:rsid w:val="00DA607A"/>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DA607A"/>
    <w:rPr>
      <w:sz w:val="24"/>
    </w:rPr>
  </w:style>
  <w:style w:type="character" w:customStyle="1" w:styleId="Heading1Char">
    <w:name w:val="Heading 1 Char"/>
    <w:basedOn w:val="DefaultParagraphFont"/>
    <w:link w:val="Heading1"/>
    <w:uiPriority w:val="99"/>
    <w:semiHidden/>
    <w:rsid w:val="00DA607A"/>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DA607A"/>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DA607A"/>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DA607A"/>
    <w:rPr>
      <w:rFonts w:asciiTheme="majorHAnsi" w:eastAsiaTheme="majorEastAsia" w:hAnsiTheme="majorHAnsi" w:cstheme="majorBidi"/>
      <w:b/>
      <w:bCs/>
      <w:color w:val="4D4D4D"/>
      <w:sz w:val="26"/>
      <w:szCs w:val="26"/>
    </w:rPr>
  </w:style>
  <w:style w:type="character" w:customStyle="1" w:styleId="JUNAMES">
    <w:name w:val="JU_NAMES"/>
    <w:uiPriority w:val="17"/>
    <w:qFormat/>
    <w:rsid w:val="00DA607A"/>
    <w:rPr>
      <w:caps w:val="0"/>
      <w:smallCaps/>
    </w:rPr>
  </w:style>
  <w:style w:type="paragraph" w:customStyle="1" w:styleId="JuCase">
    <w:name w:val="Ju_Case"/>
    <w:basedOn w:val="Normal"/>
    <w:next w:val="ECHRPara"/>
    <w:uiPriority w:val="10"/>
    <w:rsid w:val="00DA607A"/>
    <w:pPr>
      <w:ind w:firstLine="284"/>
    </w:pPr>
    <w:rPr>
      <w:b/>
    </w:rPr>
  </w:style>
  <w:style w:type="character" w:customStyle="1" w:styleId="Heading3Char">
    <w:name w:val="Heading 3 Char"/>
    <w:basedOn w:val="DefaultParagraphFont"/>
    <w:link w:val="Heading3"/>
    <w:uiPriority w:val="99"/>
    <w:semiHidden/>
    <w:rsid w:val="00DA607A"/>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DA607A"/>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DA607A"/>
    <w:rPr>
      <w:rFonts w:asciiTheme="majorHAnsi" w:eastAsiaTheme="majorEastAsia" w:hAnsiTheme="majorHAnsi" w:cstheme="majorBidi"/>
      <w:b/>
      <w:bCs/>
      <w:color w:val="808080"/>
      <w:sz w:val="24"/>
    </w:rPr>
  </w:style>
  <w:style w:type="character" w:styleId="SubtleEmphasis">
    <w:name w:val="Subtle Emphasis"/>
    <w:uiPriority w:val="99"/>
    <w:semiHidden/>
    <w:qFormat/>
    <w:rsid w:val="00DA607A"/>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DA607A"/>
    <w:pPr>
      <w:keepNext/>
      <w:keepLines/>
      <w:spacing w:before="720" w:after="240"/>
      <w:outlineLvl w:val="0"/>
    </w:pPr>
    <w:rPr>
      <w:rFonts w:asciiTheme="majorHAnsi" w:hAnsiTheme="majorHAnsi"/>
      <w:sz w:val="28"/>
    </w:rPr>
  </w:style>
  <w:style w:type="character" w:styleId="Emphasis">
    <w:name w:val="Emphasis"/>
    <w:uiPriority w:val="99"/>
    <w:semiHidden/>
    <w:qFormat/>
    <w:rsid w:val="00DA607A"/>
    <w:rPr>
      <w:b/>
      <w:bCs/>
      <w:i/>
      <w:iCs/>
      <w:spacing w:val="10"/>
      <w:bdr w:val="none" w:sz="0" w:space="0" w:color="auto"/>
      <w:shd w:val="clear" w:color="auto" w:fill="auto"/>
    </w:rPr>
  </w:style>
  <w:style w:type="paragraph" w:styleId="Footer">
    <w:name w:val="footer"/>
    <w:basedOn w:val="Normal"/>
    <w:link w:val="FooterChar"/>
    <w:uiPriority w:val="57"/>
    <w:semiHidden/>
    <w:rsid w:val="00DA607A"/>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DA607A"/>
    <w:rPr>
      <w:sz w:val="24"/>
    </w:rPr>
  </w:style>
  <w:style w:type="character" w:styleId="FootnoteReference">
    <w:name w:val="footnote reference"/>
    <w:basedOn w:val="DefaultParagraphFont"/>
    <w:uiPriority w:val="99"/>
    <w:semiHidden/>
    <w:rsid w:val="00DA607A"/>
    <w:rPr>
      <w:vertAlign w:val="superscript"/>
    </w:rPr>
  </w:style>
  <w:style w:type="paragraph" w:styleId="FootnoteText">
    <w:name w:val="footnote text"/>
    <w:basedOn w:val="Normal"/>
    <w:link w:val="FootnoteTextChar"/>
    <w:uiPriority w:val="99"/>
    <w:semiHidden/>
    <w:rsid w:val="00DA607A"/>
    <w:rPr>
      <w:sz w:val="20"/>
      <w:szCs w:val="20"/>
    </w:rPr>
  </w:style>
  <w:style w:type="character" w:customStyle="1" w:styleId="FootnoteTextChar">
    <w:name w:val="Footnote Text Char"/>
    <w:basedOn w:val="DefaultParagraphFont"/>
    <w:link w:val="FootnoteText"/>
    <w:uiPriority w:val="99"/>
    <w:semiHidden/>
    <w:rsid w:val="00DA607A"/>
    <w:rPr>
      <w:rFonts w:eastAsiaTheme="minorEastAsia"/>
      <w:sz w:val="20"/>
      <w:szCs w:val="20"/>
    </w:rPr>
  </w:style>
  <w:style w:type="character" w:customStyle="1" w:styleId="Heading6Char">
    <w:name w:val="Heading 6 Char"/>
    <w:basedOn w:val="DefaultParagraphFont"/>
    <w:link w:val="Heading6"/>
    <w:uiPriority w:val="99"/>
    <w:semiHidden/>
    <w:rsid w:val="00DA607A"/>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DA607A"/>
    <w:rPr>
      <w:rFonts w:asciiTheme="majorHAnsi" w:eastAsiaTheme="majorEastAsia" w:hAnsiTheme="majorHAnsi" w:cstheme="majorBidi"/>
      <w:i/>
      <w:iCs/>
      <w:sz w:val="24"/>
      <w:lang w:bidi="en-US"/>
    </w:rPr>
  </w:style>
  <w:style w:type="character" w:customStyle="1" w:styleId="Heading8Char">
    <w:name w:val="Heading 8 Char"/>
    <w:basedOn w:val="DefaultParagraphFont"/>
    <w:link w:val="Heading8"/>
    <w:uiPriority w:val="99"/>
    <w:semiHidden/>
    <w:rsid w:val="00DA607A"/>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DA607A"/>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DA607A"/>
    <w:rPr>
      <w:color w:val="0072BC" w:themeColor="hyperlink"/>
      <w:u w:val="single"/>
    </w:rPr>
  </w:style>
  <w:style w:type="character" w:styleId="IntenseEmphasis">
    <w:name w:val="Intense Emphasis"/>
    <w:uiPriority w:val="99"/>
    <w:semiHidden/>
    <w:qFormat/>
    <w:rsid w:val="00DA607A"/>
    <w:rPr>
      <w:b/>
      <w:bCs/>
    </w:rPr>
  </w:style>
  <w:style w:type="paragraph" w:styleId="IntenseQuote">
    <w:name w:val="Intense Quote"/>
    <w:basedOn w:val="Normal"/>
    <w:next w:val="Normal"/>
    <w:link w:val="IntenseQuoteChar"/>
    <w:uiPriority w:val="99"/>
    <w:semiHidden/>
    <w:qFormat/>
    <w:rsid w:val="00DA607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DA607A"/>
    <w:rPr>
      <w:rFonts w:eastAsiaTheme="minorEastAsia"/>
      <w:b/>
      <w:bCs/>
      <w:i/>
      <w:iCs/>
      <w:sz w:val="24"/>
      <w:lang w:bidi="en-US"/>
    </w:rPr>
  </w:style>
  <w:style w:type="character" w:styleId="IntenseReference">
    <w:name w:val="Intense Reference"/>
    <w:uiPriority w:val="99"/>
    <w:semiHidden/>
    <w:qFormat/>
    <w:rsid w:val="00DA607A"/>
    <w:rPr>
      <w:smallCaps/>
      <w:spacing w:val="5"/>
      <w:u w:val="single"/>
    </w:rPr>
  </w:style>
  <w:style w:type="paragraph" w:styleId="ListParagraph">
    <w:name w:val="List Paragraph"/>
    <w:basedOn w:val="Normal"/>
    <w:uiPriority w:val="99"/>
    <w:semiHidden/>
    <w:qFormat/>
    <w:rsid w:val="00DA607A"/>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DA607A"/>
    <w:pPr>
      <w:spacing w:before="200"/>
      <w:ind w:left="360" w:right="360"/>
    </w:pPr>
    <w:rPr>
      <w:i/>
      <w:iCs/>
      <w:lang w:bidi="en-US"/>
    </w:rPr>
  </w:style>
  <w:style w:type="character" w:customStyle="1" w:styleId="QuoteChar">
    <w:name w:val="Quote Char"/>
    <w:basedOn w:val="DefaultParagraphFont"/>
    <w:link w:val="Quote"/>
    <w:uiPriority w:val="99"/>
    <w:semiHidden/>
    <w:rsid w:val="00DA607A"/>
    <w:rPr>
      <w:rFonts w:eastAsiaTheme="minorEastAsia"/>
      <w:i/>
      <w:iCs/>
      <w:sz w:val="24"/>
      <w:lang w:bidi="en-US"/>
    </w:rPr>
  </w:style>
  <w:style w:type="character" w:styleId="SubtleReference">
    <w:name w:val="Subtle Reference"/>
    <w:uiPriority w:val="99"/>
    <w:semiHidden/>
    <w:qFormat/>
    <w:rsid w:val="00DA607A"/>
    <w:rPr>
      <w:smallCaps/>
    </w:rPr>
  </w:style>
  <w:style w:type="table" w:styleId="TableGrid">
    <w:name w:val="Table Grid"/>
    <w:basedOn w:val="TableNormal"/>
    <w:uiPriority w:val="59"/>
    <w:rsid w:val="00DA607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DA607A"/>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DA607A"/>
    <w:pPr>
      <w:spacing w:after="60"/>
      <w:ind w:left="680" w:right="340" w:hanging="340"/>
    </w:pPr>
  </w:style>
  <w:style w:type="paragraph" w:styleId="TOC3">
    <w:name w:val="toc 3"/>
    <w:basedOn w:val="Normal"/>
    <w:next w:val="Normal"/>
    <w:autoRedefine/>
    <w:uiPriority w:val="99"/>
    <w:semiHidden/>
    <w:rsid w:val="00DA607A"/>
    <w:pPr>
      <w:spacing w:after="60"/>
      <w:ind w:left="1020" w:right="340" w:hanging="340"/>
    </w:pPr>
  </w:style>
  <w:style w:type="paragraph" w:styleId="TOC4">
    <w:name w:val="toc 4"/>
    <w:basedOn w:val="Normal"/>
    <w:next w:val="Normal"/>
    <w:autoRedefine/>
    <w:uiPriority w:val="99"/>
    <w:semiHidden/>
    <w:rsid w:val="00DA607A"/>
    <w:pPr>
      <w:tabs>
        <w:tab w:val="right" w:leader="dot" w:pos="9017"/>
      </w:tabs>
      <w:spacing w:after="60"/>
      <w:ind w:left="1361" w:right="340" w:hanging="340"/>
    </w:pPr>
  </w:style>
  <w:style w:type="paragraph" w:styleId="TOC5">
    <w:name w:val="toc 5"/>
    <w:basedOn w:val="Normal"/>
    <w:next w:val="Normal"/>
    <w:autoRedefine/>
    <w:uiPriority w:val="99"/>
    <w:semiHidden/>
    <w:rsid w:val="00DA607A"/>
    <w:pPr>
      <w:spacing w:after="60"/>
      <w:ind w:left="1701" w:right="340" w:hanging="340"/>
    </w:pPr>
  </w:style>
  <w:style w:type="paragraph" w:styleId="TOCHeading">
    <w:name w:val="TOC Heading"/>
    <w:basedOn w:val="Heading1"/>
    <w:next w:val="Normal"/>
    <w:uiPriority w:val="99"/>
    <w:semiHidden/>
    <w:qFormat/>
    <w:rsid w:val="00DA607A"/>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DA607A"/>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
    <w:uiPriority w:val="14"/>
    <w:qFormat/>
    <w:rsid w:val="00DA607A"/>
    <w:pPr>
      <w:spacing w:before="120" w:after="120"/>
      <w:ind w:left="425" w:firstLine="142"/>
    </w:pPr>
    <w:rPr>
      <w:sz w:val="20"/>
    </w:rPr>
  </w:style>
  <w:style w:type="paragraph" w:customStyle="1" w:styleId="ECHRPara">
    <w:name w:val="ECHR_Para"/>
    <w:aliases w:val="Ju_Para"/>
    <w:basedOn w:val="Normal"/>
    <w:link w:val="ECHRParaChar"/>
    <w:uiPriority w:val="12"/>
    <w:qFormat/>
    <w:rsid w:val="00DA607A"/>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DA607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DA607A"/>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DA607A"/>
    <w:pPr>
      <w:ind w:left="340" w:hanging="340"/>
    </w:pPr>
  </w:style>
  <w:style w:type="paragraph" w:customStyle="1" w:styleId="JuSigned">
    <w:name w:val="Ju_Signed"/>
    <w:basedOn w:val="Normal"/>
    <w:next w:val="JuParaLast"/>
    <w:uiPriority w:val="32"/>
    <w:qFormat/>
    <w:rsid w:val="00DA607A"/>
    <w:pPr>
      <w:tabs>
        <w:tab w:val="center" w:pos="851"/>
        <w:tab w:val="center" w:pos="6407"/>
      </w:tabs>
      <w:spacing w:before="720"/>
      <w:jc w:val="left"/>
    </w:pPr>
  </w:style>
  <w:style w:type="paragraph" w:customStyle="1" w:styleId="JuParaLast">
    <w:name w:val="Ju_Para_Last"/>
    <w:basedOn w:val="Normal"/>
    <w:next w:val="ECHRPara"/>
    <w:uiPriority w:val="30"/>
    <w:qFormat/>
    <w:rsid w:val="00DA607A"/>
    <w:pPr>
      <w:keepNext/>
      <w:keepLines/>
      <w:spacing w:before="240"/>
      <w:ind w:firstLine="284"/>
    </w:pPr>
  </w:style>
  <w:style w:type="character" w:customStyle="1" w:styleId="JuITMark">
    <w:name w:val="Ju_ITMark"/>
    <w:basedOn w:val="DefaultParagraphFont"/>
    <w:uiPriority w:val="38"/>
    <w:qFormat/>
    <w:rsid w:val="00DA607A"/>
    <w:rPr>
      <w:vanish w:val="0"/>
      <w:color w:val="auto"/>
      <w:sz w:val="14"/>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DA607A"/>
    <w:pPr>
      <w:ind w:left="346" w:firstLine="0"/>
    </w:pPr>
  </w:style>
  <w:style w:type="paragraph" w:customStyle="1" w:styleId="JuListi">
    <w:name w:val="Ju_List_i"/>
    <w:basedOn w:val="Normal"/>
    <w:next w:val="JuLista"/>
    <w:uiPriority w:val="28"/>
    <w:qFormat/>
    <w:rsid w:val="00DA607A"/>
    <w:pPr>
      <w:ind w:left="794"/>
    </w:pPr>
  </w:style>
  <w:style w:type="character" w:styleId="CommentReference">
    <w:name w:val="annotation reference"/>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Normal"/>
    <w:next w:val="OpiPara"/>
    <w:uiPriority w:val="40"/>
    <w:semiHidden/>
    <w:qFormat/>
    <w:rsid w:val="00DA607A"/>
    <w:pPr>
      <w:jc w:val="center"/>
      <w:outlineLvl w:val="0"/>
    </w:pPr>
    <w:rPr>
      <w:i/>
    </w:rPr>
  </w:style>
  <w:style w:type="paragraph" w:styleId="ListBullet">
    <w:name w:val="List Bullet"/>
    <w:basedOn w:val="Normal"/>
    <w:uiPriority w:val="99"/>
    <w:semiHidden/>
    <w:rsid w:val="00014566"/>
    <w:pPr>
      <w:numPr>
        <w:numId w:val="1"/>
      </w:numPr>
    </w:pPr>
  </w:style>
  <w:style w:type="paragraph" w:customStyle="1" w:styleId="DecHTitle">
    <w:name w:val="Dec_H_Title"/>
    <w:basedOn w:val="ECHRTitleCentre1"/>
    <w:uiPriority w:val="7"/>
    <w:qFormat/>
    <w:rsid w:val="00DA607A"/>
  </w:style>
  <w:style w:type="paragraph" w:styleId="Subtitle">
    <w:name w:val="Subtitle"/>
    <w:basedOn w:val="Normal"/>
    <w:next w:val="Normal"/>
    <w:link w:val="SubtitleChar"/>
    <w:uiPriority w:val="99"/>
    <w:semiHidden/>
    <w:qFormat/>
    <w:rsid w:val="00DA607A"/>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DA607A"/>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14566"/>
    <w:rPr>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JuCourt">
    <w:name w:val="Ju_Court"/>
    <w:basedOn w:val="Normal"/>
    <w:next w:val="Normal"/>
    <w:uiPriority w:val="16"/>
    <w:qFormat/>
    <w:rsid w:val="00DA607A"/>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qFormat/>
    <w:rsid w:val="00DA607A"/>
    <w:pPr>
      <w:spacing w:before="240"/>
      <w:ind w:left="284"/>
    </w:pPr>
  </w:style>
  <w:style w:type="paragraph" w:customStyle="1" w:styleId="OpiH1">
    <w:name w:val="Opi_H_1"/>
    <w:basedOn w:val="ECHRHeading2"/>
    <w:uiPriority w:val="42"/>
    <w:semiHidden/>
    <w:qFormat/>
    <w:rsid w:val="00DA607A"/>
    <w:pPr>
      <w:ind w:left="635" w:hanging="357"/>
      <w:outlineLvl w:val="2"/>
    </w:pPr>
  </w:style>
  <w:style w:type="paragraph" w:customStyle="1" w:styleId="OpiHa0">
    <w:name w:val="Opi_H_a"/>
    <w:basedOn w:val="ECHRHeading3"/>
    <w:uiPriority w:val="43"/>
    <w:semiHidden/>
    <w:qFormat/>
    <w:rsid w:val="00DA607A"/>
    <w:pPr>
      <w:ind w:left="833" w:hanging="357"/>
      <w:outlineLvl w:val="3"/>
    </w:pPr>
    <w:rPr>
      <w:b/>
      <w:i w:val="0"/>
      <w:sz w:val="20"/>
    </w:rPr>
  </w:style>
  <w:style w:type="paragraph" w:customStyle="1" w:styleId="OpiHi">
    <w:name w:val="Opi_H_i"/>
    <w:basedOn w:val="ECHRHeading4"/>
    <w:uiPriority w:val="44"/>
    <w:semiHidden/>
    <w:qFormat/>
    <w:rsid w:val="00DA607A"/>
    <w:pPr>
      <w:ind w:left="1037" w:hanging="357"/>
      <w:outlineLvl w:val="4"/>
    </w:pPr>
    <w:rPr>
      <w:b w:val="0"/>
      <w:i/>
    </w:rPr>
  </w:style>
  <w:style w:type="paragraph" w:customStyle="1" w:styleId="DummyStyle">
    <w:name w:val="Dummy_Style"/>
    <w:basedOn w:val="Normal"/>
    <w:semiHidden/>
    <w:qFormat/>
    <w:rsid w:val="00DA607A"/>
    <w:rPr>
      <w:color w:val="00B050"/>
      <w:lang w:bidi="en-US"/>
    </w:rPr>
  </w:style>
  <w:style w:type="character" w:customStyle="1" w:styleId="ECHRParaChar">
    <w:name w:val="ECHR_Para Char"/>
    <w:aliases w:val="Ju_Para Char"/>
    <w:link w:val="ECHRPara"/>
    <w:uiPriority w:val="12"/>
    <w:rsid w:val="007943A5"/>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35117">
      <w:bodyDiv w:val="1"/>
      <w:marLeft w:val="0"/>
      <w:marRight w:val="0"/>
      <w:marTop w:val="0"/>
      <w:marBottom w:val="0"/>
      <w:divBdr>
        <w:top w:val="none" w:sz="0" w:space="0" w:color="auto"/>
        <w:left w:val="none" w:sz="0" w:space="0" w:color="auto"/>
        <w:bottom w:val="none" w:sz="0" w:space="0" w:color="auto"/>
        <w:right w:val="none" w:sz="0" w:space="0" w:color="auto"/>
      </w:divBdr>
    </w:div>
    <w:div w:id="966929047">
      <w:bodyDiv w:val="1"/>
      <w:marLeft w:val="0"/>
      <w:marRight w:val="0"/>
      <w:marTop w:val="0"/>
      <w:marBottom w:val="0"/>
      <w:divBdr>
        <w:top w:val="none" w:sz="0" w:space="0" w:color="auto"/>
        <w:left w:val="none" w:sz="0" w:space="0" w:color="auto"/>
        <w:bottom w:val="none" w:sz="0" w:space="0" w:color="auto"/>
        <w:right w:val="none" w:sz="0" w:space="0" w:color="auto"/>
      </w:divBdr>
      <w:divsChild>
        <w:div w:id="146751400">
          <w:marLeft w:val="0"/>
          <w:marRight w:val="0"/>
          <w:marTop w:val="0"/>
          <w:marBottom w:val="0"/>
          <w:divBdr>
            <w:top w:val="none" w:sz="0" w:space="0" w:color="auto"/>
            <w:left w:val="none" w:sz="0" w:space="0" w:color="auto"/>
            <w:bottom w:val="none" w:sz="0" w:space="0" w:color="auto"/>
            <w:right w:val="none" w:sz="0" w:space="0" w:color="auto"/>
          </w:divBdr>
          <w:divsChild>
            <w:div w:id="752122388">
              <w:marLeft w:val="0"/>
              <w:marRight w:val="0"/>
              <w:marTop w:val="0"/>
              <w:marBottom w:val="0"/>
              <w:divBdr>
                <w:top w:val="none" w:sz="0" w:space="0" w:color="auto"/>
                <w:left w:val="none" w:sz="0" w:space="0" w:color="auto"/>
                <w:bottom w:val="none" w:sz="0" w:space="0" w:color="auto"/>
                <w:right w:val="none" w:sz="0" w:space="0" w:color="auto"/>
              </w:divBdr>
              <w:divsChild>
                <w:div w:id="419908878">
                  <w:marLeft w:val="0"/>
                  <w:marRight w:val="0"/>
                  <w:marTop w:val="0"/>
                  <w:marBottom w:val="0"/>
                  <w:divBdr>
                    <w:top w:val="none" w:sz="0" w:space="0" w:color="auto"/>
                    <w:left w:val="none" w:sz="0" w:space="0" w:color="auto"/>
                    <w:bottom w:val="none" w:sz="0" w:space="0" w:color="auto"/>
                    <w:right w:val="none" w:sz="0" w:space="0" w:color="auto"/>
                  </w:divBdr>
                  <w:divsChild>
                    <w:div w:id="1061715404">
                      <w:marLeft w:val="0"/>
                      <w:marRight w:val="0"/>
                      <w:marTop w:val="0"/>
                      <w:marBottom w:val="0"/>
                      <w:divBdr>
                        <w:top w:val="none" w:sz="0" w:space="0" w:color="auto"/>
                        <w:left w:val="none" w:sz="0" w:space="0" w:color="auto"/>
                        <w:bottom w:val="none" w:sz="0" w:space="0" w:color="auto"/>
                        <w:right w:val="none" w:sz="0" w:space="0" w:color="auto"/>
                      </w:divBdr>
                      <w:divsChild>
                        <w:div w:id="1629244486">
                          <w:marLeft w:val="0"/>
                          <w:marRight w:val="0"/>
                          <w:marTop w:val="0"/>
                          <w:marBottom w:val="0"/>
                          <w:divBdr>
                            <w:top w:val="none" w:sz="0" w:space="0" w:color="auto"/>
                            <w:left w:val="none" w:sz="0" w:space="0" w:color="auto"/>
                            <w:bottom w:val="none" w:sz="0" w:space="0" w:color="auto"/>
                            <w:right w:val="none" w:sz="0" w:space="0" w:color="auto"/>
                          </w:divBdr>
                          <w:divsChild>
                            <w:div w:id="11626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829611">
      <w:bodyDiv w:val="1"/>
      <w:marLeft w:val="0"/>
      <w:marRight w:val="0"/>
      <w:marTop w:val="0"/>
      <w:marBottom w:val="0"/>
      <w:divBdr>
        <w:top w:val="none" w:sz="0" w:space="0" w:color="auto"/>
        <w:left w:val="none" w:sz="0" w:space="0" w:color="auto"/>
        <w:bottom w:val="none" w:sz="0" w:space="0" w:color="auto"/>
        <w:right w:val="none" w:sz="0" w:space="0" w:color="auto"/>
      </w:divBdr>
      <w:divsChild>
        <w:div w:id="1702051189">
          <w:marLeft w:val="0"/>
          <w:marRight w:val="0"/>
          <w:marTop w:val="0"/>
          <w:marBottom w:val="0"/>
          <w:divBdr>
            <w:top w:val="none" w:sz="0" w:space="0" w:color="auto"/>
            <w:left w:val="none" w:sz="0" w:space="0" w:color="auto"/>
            <w:bottom w:val="none" w:sz="0" w:space="0" w:color="auto"/>
            <w:right w:val="none" w:sz="0" w:space="0" w:color="auto"/>
          </w:divBdr>
          <w:divsChild>
            <w:div w:id="1082222362">
              <w:marLeft w:val="0"/>
              <w:marRight w:val="0"/>
              <w:marTop w:val="0"/>
              <w:marBottom w:val="0"/>
              <w:divBdr>
                <w:top w:val="none" w:sz="0" w:space="0" w:color="auto"/>
                <w:left w:val="none" w:sz="0" w:space="0" w:color="auto"/>
                <w:bottom w:val="none" w:sz="0" w:space="0" w:color="auto"/>
                <w:right w:val="none" w:sz="0" w:space="0" w:color="auto"/>
              </w:divBdr>
              <w:divsChild>
                <w:div w:id="1636061385">
                  <w:marLeft w:val="0"/>
                  <w:marRight w:val="0"/>
                  <w:marTop w:val="0"/>
                  <w:marBottom w:val="0"/>
                  <w:divBdr>
                    <w:top w:val="none" w:sz="0" w:space="0" w:color="auto"/>
                    <w:left w:val="none" w:sz="0" w:space="0" w:color="auto"/>
                    <w:bottom w:val="none" w:sz="0" w:space="0" w:color="auto"/>
                    <w:right w:val="none" w:sz="0" w:space="0" w:color="auto"/>
                  </w:divBdr>
                  <w:divsChild>
                    <w:div w:id="2135437168">
                      <w:marLeft w:val="0"/>
                      <w:marRight w:val="0"/>
                      <w:marTop w:val="0"/>
                      <w:marBottom w:val="0"/>
                      <w:divBdr>
                        <w:top w:val="none" w:sz="0" w:space="0" w:color="auto"/>
                        <w:left w:val="none" w:sz="0" w:space="0" w:color="auto"/>
                        <w:bottom w:val="none" w:sz="0" w:space="0" w:color="auto"/>
                        <w:right w:val="none" w:sz="0" w:space="0" w:color="auto"/>
                      </w:divBdr>
                      <w:divsChild>
                        <w:div w:id="1956717026">
                          <w:marLeft w:val="0"/>
                          <w:marRight w:val="0"/>
                          <w:marTop w:val="0"/>
                          <w:marBottom w:val="0"/>
                          <w:divBdr>
                            <w:top w:val="none" w:sz="0" w:space="0" w:color="auto"/>
                            <w:left w:val="none" w:sz="0" w:space="0" w:color="auto"/>
                            <w:bottom w:val="none" w:sz="0" w:space="0" w:color="auto"/>
                            <w:right w:val="none" w:sz="0" w:space="0" w:color="auto"/>
                          </w:divBdr>
                          <w:divsChild>
                            <w:div w:id="5550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497360">
      <w:bodyDiv w:val="1"/>
      <w:marLeft w:val="0"/>
      <w:marRight w:val="0"/>
      <w:marTop w:val="0"/>
      <w:marBottom w:val="0"/>
      <w:divBdr>
        <w:top w:val="none" w:sz="0" w:space="0" w:color="auto"/>
        <w:left w:val="none" w:sz="0" w:space="0" w:color="auto"/>
        <w:bottom w:val="none" w:sz="0" w:space="0" w:color="auto"/>
        <w:right w:val="none" w:sz="0" w:space="0" w:color="auto"/>
      </w:divBdr>
      <w:divsChild>
        <w:div w:id="707995599">
          <w:marLeft w:val="0"/>
          <w:marRight w:val="0"/>
          <w:marTop w:val="0"/>
          <w:marBottom w:val="0"/>
          <w:divBdr>
            <w:top w:val="none" w:sz="0" w:space="0" w:color="auto"/>
            <w:left w:val="none" w:sz="0" w:space="0" w:color="auto"/>
            <w:bottom w:val="none" w:sz="0" w:space="0" w:color="auto"/>
            <w:right w:val="none" w:sz="0" w:space="0" w:color="auto"/>
          </w:divBdr>
          <w:divsChild>
            <w:div w:id="1704791018">
              <w:marLeft w:val="0"/>
              <w:marRight w:val="0"/>
              <w:marTop w:val="0"/>
              <w:marBottom w:val="0"/>
              <w:divBdr>
                <w:top w:val="none" w:sz="0" w:space="0" w:color="auto"/>
                <w:left w:val="none" w:sz="0" w:space="0" w:color="auto"/>
                <w:bottom w:val="none" w:sz="0" w:space="0" w:color="auto"/>
                <w:right w:val="none" w:sz="0" w:space="0" w:color="auto"/>
              </w:divBdr>
              <w:divsChild>
                <w:div w:id="728654200">
                  <w:marLeft w:val="0"/>
                  <w:marRight w:val="0"/>
                  <w:marTop w:val="0"/>
                  <w:marBottom w:val="0"/>
                  <w:divBdr>
                    <w:top w:val="none" w:sz="0" w:space="0" w:color="auto"/>
                    <w:left w:val="none" w:sz="0" w:space="0" w:color="auto"/>
                    <w:bottom w:val="none" w:sz="0" w:space="0" w:color="auto"/>
                    <w:right w:val="none" w:sz="0" w:space="0" w:color="auto"/>
                  </w:divBdr>
                  <w:divsChild>
                    <w:div w:id="1519194668">
                      <w:marLeft w:val="0"/>
                      <w:marRight w:val="0"/>
                      <w:marTop w:val="0"/>
                      <w:marBottom w:val="0"/>
                      <w:divBdr>
                        <w:top w:val="none" w:sz="0" w:space="0" w:color="auto"/>
                        <w:left w:val="none" w:sz="0" w:space="0" w:color="auto"/>
                        <w:bottom w:val="none" w:sz="0" w:space="0" w:color="auto"/>
                        <w:right w:val="none" w:sz="0" w:space="0" w:color="auto"/>
                      </w:divBdr>
                      <w:divsChild>
                        <w:div w:id="1843659645">
                          <w:marLeft w:val="0"/>
                          <w:marRight w:val="0"/>
                          <w:marTop w:val="0"/>
                          <w:marBottom w:val="0"/>
                          <w:divBdr>
                            <w:top w:val="none" w:sz="0" w:space="0" w:color="auto"/>
                            <w:left w:val="none" w:sz="0" w:space="0" w:color="auto"/>
                            <w:bottom w:val="none" w:sz="0" w:space="0" w:color="auto"/>
                            <w:right w:val="none" w:sz="0" w:space="0" w:color="auto"/>
                          </w:divBdr>
                          <w:divsChild>
                            <w:div w:id="6732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831532">
      <w:bodyDiv w:val="1"/>
      <w:marLeft w:val="0"/>
      <w:marRight w:val="0"/>
      <w:marTop w:val="0"/>
      <w:marBottom w:val="0"/>
      <w:divBdr>
        <w:top w:val="none" w:sz="0" w:space="0" w:color="auto"/>
        <w:left w:val="none" w:sz="0" w:space="0" w:color="auto"/>
        <w:bottom w:val="none" w:sz="0" w:space="0" w:color="auto"/>
        <w:right w:val="none" w:sz="0" w:space="0" w:color="auto"/>
      </w:divBdr>
    </w:div>
    <w:div w:id="1372611641">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38236908">
      <w:bodyDiv w:val="1"/>
      <w:marLeft w:val="0"/>
      <w:marRight w:val="0"/>
      <w:marTop w:val="0"/>
      <w:marBottom w:val="0"/>
      <w:divBdr>
        <w:top w:val="none" w:sz="0" w:space="0" w:color="auto"/>
        <w:left w:val="none" w:sz="0" w:space="0" w:color="auto"/>
        <w:bottom w:val="none" w:sz="0" w:space="0" w:color="auto"/>
        <w:right w:val="none" w:sz="0" w:space="0" w:color="auto"/>
      </w:divBdr>
      <w:divsChild>
        <w:div w:id="932322982">
          <w:marLeft w:val="0"/>
          <w:marRight w:val="0"/>
          <w:marTop w:val="0"/>
          <w:marBottom w:val="0"/>
          <w:divBdr>
            <w:top w:val="none" w:sz="0" w:space="0" w:color="auto"/>
            <w:left w:val="none" w:sz="0" w:space="0" w:color="auto"/>
            <w:bottom w:val="none" w:sz="0" w:space="0" w:color="auto"/>
            <w:right w:val="none" w:sz="0" w:space="0" w:color="auto"/>
          </w:divBdr>
          <w:divsChild>
            <w:div w:id="1950383721">
              <w:marLeft w:val="0"/>
              <w:marRight w:val="0"/>
              <w:marTop w:val="0"/>
              <w:marBottom w:val="0"/>
              <w:divBdr>
                <w:top w:val="none" w:sz="0" w:space="0" w:color="auto"/>
                <w:left w:val="none" w:sz="0" w:space="0" w:color="auto"/>
                <w:bottom w:val="none" w:sz="0" w:space="0" w:color="auto"/>
                <w:right w:val="none" w:sz="0" w:space="0" w:color="auto"/>
              </w:divBdr>
              <w:divsChild>
                <w:div w:id="1575117714">
                  <w:marLeft w:val="0"/>
                  <w:marRight w:val="0"/>
                  <w:marTop w:val="0"/>
                  <w:marBottom w:val="0"/>
                  <w:divBdr>
                    <w:top w:val="none" w:sz="0" w:space="0" w:color="auto"/>
                    <w:left w:val="none" w:sz="0" w:space="0" w:color="auto"/>
                    <w:bottom w:val="none" w:sz="0" w:space="0" w:color="auto"/>
                    <w:right w:val="none" w:sz="0" w:space="0" w:color="auto"/>
                  </w:divBdr>
                  <w:divsChild>
                    <w:div w:id="1906916108">
                      <w:marLeft w:val="0"/>
                      <w:marRight w:val="0"/>
                      <w:marTop w:val="0"/>
                      <w:marBottom w:val="0"/>
                      <w:divBdr>
                        <w:top w:val="none" w:sz="0" w:space="0" w:color="auto"/>
                        <w:left w:val="none" w:sz="0" w:space="0" w:color="auto"/>
                        <w:bottom w:val="none" w:sz="0" w:space="0" w:color="auto"/>
                        <w:right w:val="none" w:sz="0" w:space="0" w:color="auto"/>
                      </w:divBdr>
                      <w:divsChild>
                        <w:div w:id="678044400">
                          <w:marLeft w:val="0"/>
                          <w:marRight w:val="0"/>
                          <w:marTop w:val="0"/>
                          <w:marBottom w:val="0"/>
                          <w:divBdr>
                            <w:top w:val="none" w:sz="0" w:space="0" w:color="auto"/>
                            <w:left w:val="none" w:sz="0" w:space="0" w:color="auto"/>
                            <w:bottom w:val="none" w:sz="0" w:space="0" w:color="auto"/>
                            <w:right w:val="none" w:sz="0" w:space="0" w:color="auto"/>
                          </w:divBdr>
                          <w:divsChild>
                            <w:div w:id="20679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758736">
      <w:bodyDiv w:val="1"/>
      <w:marLeft w:val="0"/>
      <w:marRight w:val="0"/>
      <w:marTop w:val="0"/>
      <w:marBottom w:val="0"/>
      <w:divBdr>
        <w:top w:val="none" w:sz="0" w:space="0" w:color="auto"/>
        <w:left w:val="none" w:sz="0" w:space="0" w:color="auto"/>
        <w:bottom w:val="none" w:sz="0" w:space="0" w:color="auto"/>
        <w:right w:val="none" w:sz="0" w:space="0" w:color="auto"/>
      </w:divBdr>
      <w:divsChild>
        <w:div w:id="756899225">
          <w:marLeft w:val="0"/>
          <w:marRight w:val="0"/>
          <w:marTop w:val="0"/>
          <w:marBottom w:val="0"/>
          <w:divBdr>
            <w:top w:val="none" w:sz="0" w:space="0" w:color="auto"/>
            <w:left w:val="none" w:sz="0" w:space="0" w:color="auto"/>
            <w:bottom w:val="none" w:sz="0" w:space="0" w:color="auto"/>
            <w:right w:val="none" w:sz="0" w:space="0" w:color="auto"/>
          </w:divBdr>
          <w:divsChild>
            <w:div w:id="731855864">
              <w:marLeft w:val="0"/>
              <w:marRight w:val="0"/>
              <w:marTop w:val="0"/>
              <w:marBottom w:val="0"/>
              <w:divBdr>
                <w:top w:val="none" w:sz="0" w:space="0" w:color="auto"/>
                <w:left w:val="none" w:sz="0" w:space="0" w:color="auto"/>
                <w:bottom w:val="none" w:sz="0" w:space="0" w:color="auto"/>
                <w:right w:val="none" w:sz="0" w:space="0" w:color="auto"/>
              </w:divBdr>
              <w:divsChild>
                <w:div w:id="1622761690">
                  <w:marLeft w:val="0"/>
                  <w:marRight w:val="0"/>
                  <w:marTop w:val="0"/>
                  <w:marBottom w:val="0"/>
                  <w:divBdr>
                    <w:top w:val="none" w:sz="0" w:space="0" w:color="auto"/>
                    <w:left w:val="none" w:sz="0" w:space="0" w:color="auto"/>
                    <w:bottom w:val="none" w:sz="0" w:space="0" w:color="auto"/>
                    <w:right w:val="none" w:sz="0" w:space="0" w:color="auto"/>
                  </w:divBdr>
                  <w:divsChild>
                    <w:div w:id="1015546005">
                      <w:marLeft w:val="0"/>
                      <w:marRight w:val="0"/>
                      <w:marTop w:val="0"/>
                      <w:marBottom w:val="0"/>
                      <w:divBdr>
                        <w:top w:val="none" w:sz="0" w:space="0" w:color="auto"/>
                        <w:left w:val="none" w:sz="0" w:space="0" w:color="auto"/>
                        <w:bottom w:val="none" w:sz="0" w:space="0" w:color="auto"/>
                        <w:right w:val="none" w:sz="0" w:space="0" w:color="auto"/>
                      </w:divBdr>
                      <w:divsChild>
                        <w:div w:id="1999142328">
                          <w:marLeft w:val="0"/>
                          <w:marRight w:val="0"/>
                          <w:marTop w:val="0"/>
                          <w:marBottom w:val="0"/>
                          <w:divBdr>
                            <w:top w:val="none" w:sz="0" w:space="0" w:color="auto"/>
                            <w:left w:val="none" w:sz="0" w:space="0" w:color="auto"/>
                            <w:bottom w:val="none" w:sz="0" w:space="0" w:color="auto"/>
                            <w:right w:val="none" w:sz="0" w:space="0" w:color="auto"/>
                          </w:divBdr>
                          <w:divsChild>
                            <w:div w:id="8639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728525">
      <w:bodyDiv w:val="1"/>
      <w:marLeft w:val="0"/>
      <w:marRight w:val="0"/>
      <w:marTop w:val="0"/>
      <w:marBottom w:val="0"/>
      <w:divBdr>
        <w:top w:val="none" w:sz="0" w:space="0" w:color="auto"/>
        <w:left w:val="none" w:sz="0" w:space="0" w:color="auto"/>
        <w:bottom w:val="none" w:sz="0" w:space="0" w:color="auto"/>
        <w:right w:val="none" w:sz="0" w:space="0" w:color="auto"/>
      </w:divBdr>
      <w:divsChild>
        <w:div w:id="1160535066">
          <w:marLeft w:val="0"/>
          <w:marRight w:val="0"/>
          <w:marTop w:val="0"/>
          <w:marBottom w:val="0"/>
          <w:divBdr>
            <w:top w:val="none" w:sz="0" w:space="0" w:color="auto"/>
            <w:left w:val="none" w:sz="0" w:space="0" w:color="auto"/>
            <w:bottom w:val="none" w:sz="0" w:space="0" w:color="auto"/>
            <w:right w:val="none" w:sz="0" w:space="0" w:color="auto"/>
          </w:divBdr>
          <w:divsChild>
            <w:div w:id="147870964">
              <w:marLeft w:val="0"/>
              <w:marRight w:val="0"/>
              <w:marTop w:val="0"/>
              <w:marBottom w:val="0"/>
              <w:divBdr>
                <w:top w:val="none" w:sz="0" w:space="0" w:color="auto"/>
                <w:left w:val="none" w:sz="0" w:space="0" w:color="auto"/>
                <w:bottom w:val="none" w:sz="0" w:space="0" w:color="auto"/>
                <w:right w:val="none" w:sz="0" w:space="0" w:color="auto"/>
              </w:divBdr>
              <w:divsChild>
                <w:div w:id="2067605237">
                  <w:marLeft w:val="0"/>
                  <w:marRight w:val="0"/>
                  <w:marTop w:val="0"/>
                  <w:marBottom w:val="0"/>
                  <w:divBdr>
                    <w:top w:val="none" w:sz="0" w:space="0" w:color="auto"/>
                    <w:left w:val="none" w:sz="0" w:space="0" w:color="auto"/>
                    <w:bottom w:val="none" w:sz="0" w:space="0" w:color="auto"/>
                    <w:right w:val="none" w:sz="0" w:space="0" w:color="auto"/>
                  </w:divBdr>
                  <w:divsChild>
                    <w:div w:id="259528769">
                      <w:marLeft w:val="0"/>
                      <w:marRight w:val="0"/>
                      <w:marTop w:val="0"/>
                      <w:marBottom w:val="0"/>
                      <w:divBdr>
                        <w:top w:val="none" w:sz="0" w:space="0" w:color="auto"/>
                        <w:left w:val="none" w:sz="0" w:space="0" w:color="auto"/>
                        <w:bottom w:val="none" w:sz="0" w:space="0" w:color="auto"/>
                        <w:right w:val="none" w:sz="0" w:space="0" w:color="auto"/>
                      </w:divBdr>
                      <w:divsChild>
                        <w:div w:id="2048793415">
                          <w:marLeft w:val="0"/>
                          <w:marRight w:val="0"/>
                          <w:marTop w:val="0"/>
                          <w:marBottom w:val="0"/>
                          <w:divBdr>
                            <w:top w:val="none" w:sz="0" w:space="0" w:color="auto"/>
                            <w:left w:val="none" w:sz="0" w:space="0" w:color="auto"/>
                            <w:bottom w:val="none" w:sz="0" w:space="0" w:color="auto"/>
                            <w:right w:val="none" w:sz="0" w:space="0" w:color="auto"/>
                          </w:divBdr>
                          <w:divsChild>
                            <w:div w:id="17126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764944">
      <w:bodyDiv w:val="1"/>
      <w:marLeft w:val="0"/>
      <w:marRight w:val="0"/>
      <w:marTop w:val="0"/>
      <w:marBottom w:val="0"/>
      <w:divBdr>
        <w:top w:val="none" w:sz="0" w:space="0" w:color="auto"/>
        <w:left w:val="none" w:sz="0" w:space="0" w:color="auto"/>
        <w:bottom w:val="none" w:sz="0" w:space="0" w:color="auto"/>
        <w:right w:val="none" w:sz="0" w:space="0" w:color="auto"/>
      </w:divBdr>
      <w:divsChild>
        <w:div w:id="722752744">
          <w:marLeft w:val="0"/>
          <w:marRight w:val="0"/>
          <w:marTop w:val="0"/>
          <w:marBottom w:val="0"/>
          <w:divBdr>
            <w:top w:val="none" w:sz="0" w:space="0" w:color="auto"/>
            <w:left w:val="none" w:sz="0" w:space="0" w:color="auto"/>
            <w:bottom w:val="none" w:sz="0" w:space="0" w:color="auto"/>
            <w:right w:val="none" w:sz="0" w:space="0" w:color="auto"/>
          </w:divBdr>
          <w:divsChild>
            <w:div w:id="1695963360">
              <w:marLeft w:val="0"/>
              <w:marRight w:val="0"/>
              <w:marTop w:val="0"/>
              <w:marBottom w:val="0"/>
              <w:divBdr>
                <w:top w:val="none" w:sz="0" w:space="0" w:color="auto"/>
                <w:left w:val="none" w:sz="0" w:space="0" w:color="auto"/>
                <w:bottom w:val="none" w:sz="0" w:space="0" w:color="auto"/>
                <w:right w:val="none" w:sz="0" w:space="0" w:color="auto"/>
              </w:divBdr>
              <w:divsChild>
                <w:div w:id="261037234">
                  <w:marLeft w:val="0"/>
                  <w:marRight w:val="0"/>
                  <w:marTop w:val="0"/>
                  <w:marBottom w:val="0"/>
                  <w:divBdr>
                    <w:top w:val="none" w:sz="0" w:space="0" w:color="auto"/>
                    <w:left w:val="none" w:sz="0" w:space="0" w:color="auto"/>
                    <w:bottom w:val="none" w:sz="0" w:space="0" w:color="auto"/>
                    <w:right w:val="none" w:sz="0" w:space="0" w:color="auto"/>
                  </w:divBdr>
                  <w:divsChild>
                    <w:div w:id="1976313">
                      <w:marLeft w:val="0"/>
                      <w:marRight w:val="0"/>
                      <w:marTop w:val="0"/>
                      <w:marBottom w:val="0"/>
                      <w:divBdr>
                        <w:top w:val="none" w:sz="0" w:space="0" w:color="auto"/>
                        <w:left w:val="none" w:sz="0" w:space="0" w:color="auto"/>
                        <w:bottom w:val="none" w:sz="0" w:space="0" w:color="auto"/>
                        <w:right w:val="none" w:sz="0" w:space="0" w:color="auto"/>
                      </w:divBdr>
                      <w:divsChild>
                        <w:div w:id="1095323073">
                          <w:marLeft w:val="0"/>
                          <w:marRight w:val="0"/>
                          <w:marTop w:val="0"/>
                          <w:marBottom w:val="0"/>
                          <w:divBdr>
                            <w:top w:val="none" w:sz="0" w:space="0" w:color="auto"/>
                            <w:left w:val="none" w:sz="0" w:space="0" w:color="auto"/>
                            <w:bottom w:val="none" w:sz="0" w:space="0" w:color="auto"/>
                            <w:right w:val="none" w:sz="0" w:space="0" w:color="auto"/>
                          </w:divBdr>
                          <w:divsChild>
                            <w:div w:id="7031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doc.echr.coe.int/eng"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51CB27-B585-4303-AE34-D7CAC9CA08BD}"/>
</file>

<file path=customXml/itemProps2.xml><?xml version="1.0" encoding="utf-8"?>
<ds:datastoreItem xmlns:ds="http://schemas.openxmlformats.org/officeDocument/2006/customXml" ds:itemID="{4C220DD2-D120-49EF-841C-8E5CC7D290F4}"/>
</file>

<file path=customXml/itemProps3.xml><?xml version="1.0" encoding="utf-8"?>
<ds:datastoreItem xmlns:ds="http://schemas.openxmlformats.org/officeDocument/2006/customXml" ds:itemID="{846A9387-E04D-46B2-8042-F0E2EC08002A}"/>
</file>

<file path=customXml/itemProps4.xml><?xml version="1.0" encoding="utf-8"?>
<ds:datastoreItem xmlns:ds="http://schemas.openxmlformats.org/officeDocument/2006/customXml" ds:itemID="{5F6CC066-7FEE-4021-93E3-4DE1A075B0FD}"/>
</file>

<file path=docProps/app.xml><?xml version="1.0" encoding="utf-8"?>
<Properties xmlns="http://schemas.openxmlformats.org/officeDocument/2006/extended-properties" xmlns:vt="http://schemas.openxmlformats.org/officeDocument/2006/docPropsVTypes">
  <Template>Normal.dotm</Template>
  <TotalTime>0</TotalTime>
  <Pages>1</Pages>
  <Words>6828</Words>
  <Characters>38926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2016-07-19T07:50:00Z</dcterms:created>
  <dcterms:modified xsi:type="dcterms:W3CDTF">2016-07-19T07:50:00Z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