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B7" w:rsidRPr="00267487" w:rsidRDefault="002246B7" w:rsidP="00267487">
      <w:pPr>
        <w:tabs>
          <w:tab w:val="left" w:pos="5670"/>
        </w:tabs>
        <w:jc w:val="center"/>
      </w:pPr>
      <w:bookmarkStart w:id="0" w:name="_GoBack"/>
      <w:bookmarkEnd w:id="0"/>
    </w:p>
    <w:p w:rsidR="002246B7" w:rsidRPr="00267487" w:rsidRDefault="002246B7" w:rsidP="00267487">
      <w:pPr>
        <w:tabs>
          <w:tab w:val="left" w:pos="5670"/>
        </w:tabs>
        <w:jc w:val="center"/>
      </w:pPr>
    </w:p>
    <w:p w:rsidR="002246B7" w:rsidRPr="00267487" w:rsidRDefault="002246B7" w:rsidP="00267487">
      <w:pPr>
        <w:tabs>
          <w:tab w:val="left" w:pos="5670"/>
        </w:tabs>
        <w:jc w:val="center"/>
      </w:pPr>
    </w:p>
    <w:p w:rsidR="00014566" w:rsidRPr="00267487" w:rsidRDefault="003E4E7F" w:rsidP="00267487">
      <w:pPr>
        <w:jc w:val="center"/>
      </w:pPr>
      <w:r w:rsidRPr="00267487">
        <w:t>FIFTH SECTION</w:t>
      </w:r>
    </w:p>
    <w:p w:rsidR="002246B7" w:rsidRPr="00267487" w:rsidRDefault="002246B7" w:rsidP="00267487">
      <w:pPr>
        <w:tabs>
          <w:tab w:val="left" w:pos="5670"/>
        </w:tabs>
        <w:jc w:val="center"/>
      </w:pPr>
      <w:bookmarkStart w:id="1" w:name="To"/>
    </w:p>
    <w:p w:rsidR="002246B7" w:rsidRPr="00267487" w:rsidRDefault="002246B7" w:rsidP="00267487">
      <w:pPr>
        <w:tabs>
          <w:tab w:val="left" w:pos="5670"/>
        </w:tabs>
        <w:jc w:val="center"/>
      </w:pPr>
    </w:p>
    <w:p w:rsidR="002246B7" w:rsidRPr="00267487" w:rsidRDefault="002246B7" w:rsidP="00267487">
      <w:pPr>
        <w:tabs>
          <w:tab w:val="left" w:pos="5670"/>
        </w:tabs>
        <w:jc w:val="center"/>
      </w:pPr>
    </w:p>
    <w:p w:rsidR="002246B7" w:rsidRPr="00267487" w:rsidRDefault="002246B7" w:rsidP="00267487">
      <w:pPr>
        <w:tabs>
          <w:tab w:val="left" w:pos="5670"/>
        </w:tabs>
        <w:jc w:val="center"/>
      </w:pPr>
    </w:p>
    <w:p w:rsidR="00116180" w:rsidRPr="00267487" w:rsidRDefault="00116180" w:rsidP="00267487">
      <w:pPr>
        <w:tabs>
          <w:tab w:val="left" w:pos="5670"/>
        </w:tabs>
        <w:jc w:val="center"/>
      </w:pPr>
    </w:p>
    <w:p w:rsidR="00116180" w:rsidRPr="00267487" w:rsidRDefault="00116180" w:rsidP="00267487">
      <w:pPr>
        <w:tabs>
          <w:tab w:val="left" w:pos="5670"/>
        </w:tabs>
        <w:jc w:val="center"/>
      </w:pPr>
    </w:p>
    <w:p w:rsidR="002246B7" w:rsidRPr="00267487" w:rsidRDefault="002246B7" w:rsidP="00267487">
      <w:pPr>
        <w:tabs>
          <w:tab w:val="left" w:pos="5670"/>
        </w:tabs>
        <w:jc w:val="center"/>
      </w:pPr>
    </w:p>
    <w:p w:rsidR="00014566" w:rsidRPr="00267487" w:rsidRDefault="00014566" w:rsidP="00267487">
      <w:pPr>
        <w:jc w:val="center"/>
        <w:rPr>
          <w:b/>
        </w:rPr>
      </w:pPr>
      <w:r w:rsidRPr="00267487">
        <w:rPr>
          <w:b/>
        </w:rPr>
        <w:t xml:space="preserve">CASE OF </w:t>
      </w:r>
      <w:bookmarkEnd w:id="1"/>
      <w:r w:rsidR="003E4E7F" w:rsidRPr="00267487">
        <w:rPr>
          <w:b/>
        </w:rPr>
        <w:t>DOKTOROV v. BULGARIA</w:t>
      </w:r>
    </w:p>
    <w:p w:rsidR="002246B7" w:rsidRPr="00267487" w:rsidRDefault="002246B7" w:rsidP="00267487">
      <w:pPr>
        <w:jc w:val="center"/>
        <w:rPr>
          <w:b/>
        </w:rPr>
      </w:pPr>
    </w:p>
    <w:p w:rsidR="00014566" w:rsidRPr="00267487" w:rsidRDefault="00014566" w:rsidP="00267487">
      <w:pPr>
        <w:jc w:val="center"/>
        <w:rPr>
          <w:i/>
        </w:rPr>
      </w:pPr>
      <w:r w:rsidRPr="00267487">
        <w:rPr>
          <w:i/>
        </w:rPr>
        <w:t>(</w:t>
      </w:r>
      <w:r w:rsidR="003E4E7F" w:rsidRPr="00267487">
        <w:rPr>
          <w:i/>
        </w:rPr>
        <w:t>Application no. 15074/08</w:t>
      </w:r>
      <w:r w:rsidRPr="00267487">
        <w:rPr>
          <w:i/>
        </w:rPr>
        <w:t>)</w:t>
      </w:r>
    </w:p>
    <w:p w:rsidR="0051672A" w:rsidRPr="00267487" w:rsidRDefault="0051672A" w:rsidP="00267487">
      <w:pPr>
        <w:jc w:val="center"/>
        <w:rPr>
          <w:i/>
        </w:rPr>
      </w:pPr>
    </w:p>
    <w:p w:rsidR="002246B7" w:rsidRPr="00267487" w:rsidRDefault="002246B7" w:rsidP="00267487">
      <w:pPr>
        <w:jc w:val="center"/>
        <w:rPr>
          <w:i/>
        </w:rPr>
      </w:pPr>
    </w:p>
    <w:p w:rsidR="002246B7" w:rsidRPr="00267487" w:rsidRDefault="002246B7" w:rsidP="00267487">
      <w:pPr>
        <w:jc w:val="center"/>
        <w:rPr>
          <w:i/>
        </w:rPr>
      </w:pPr>
    </w:p>
    <w:p w:rsidR="002246B7" w:rsidRPr="00267487" w:rsidRDefault="002246B7" w:rsidP="00267487">
      <w:pPr>
        <w:jc w:val="center"/>
        <w:rPr>
          <w:i/>
        </w:rPr>
      </w:pPr>
    </w:p>
    <w:p w:rsidR="00116180" w:rsidRPr="00267487" w:rsidRDefault="00116180" w:rsidP="00267487">
      <w:pPr>
        <w:jc w:val="center"/>
        <w:rPr>
          <w:i/>
        </w:rPr>
      </w:pPr>
    </w:p>
    <w:p w:rsidR="007F03D3" w:rsidRPr="00267487" w:rsidRDefault="007F03D3" w:rsidP="00267487">
      <w:pPr>
        <w:jc w:val="center"/>
        <w:rPr>
          <w:i/>
        </w:rPr>
      </w:pPr>
    </w:p>
    <w:p w:rsidR="007F03D3" w:rsidRPr="00267487" w:rsidRDefault="007F03D3" w:rsidP="00267487">
      <w:pPr>
        <w:jc w:val="center"/>
        <w:rPr>
          <w:i/>
        </w:rPr>
      </w:pPr>
    </w:p>
    <w:p w:rsidR="007F03D3" w:rsidRPr="00267487" w:rsidRDefault="007F03D3" w:rsidP="00267487">
      <w:pPr>
        <w:jc w:val="center"/>
        <w:rPr>
          <w:i/>
        </w:rPr>
      </w:pPr>
    </w:p>
    <w:p w:rsidR="00116180" w:rsidRPr="00267487" w:rsidRDefault="00116180" w:rsidP="00267487">
      <w:pPr>
        <w:jc w:val="center"/>
        <w:rPr>
          <w:i/>
        </w:rPr>
      </w:pPr>
    </w:p>
    <w:p w:rsidR="00116180" w:rsidRPr="00267487" w:rsidRDefault="00116180" w:rsidP="00267487">
      <w:pPr>
        <w:jc w:val="center"/>
        <w:rPr>
          <w:i/>
        </w:rPr>
      </w:pPr>
    </w:p>
    <w:p w:rsidR="002246B7" w:rsidRPr="00267487" w:rsidRDefault="002246B7" w:rsidP="00267487">
      <w:pPr>
        <w:tabs>
          <w:tab w:val="left" w:pos="5670"/>
        </w:tabs>
        <w:jc w:val="center"/>
      </w:pPr>
    </w:p>
    <w:p w:rsidR="002246B7" w:rsidRPr="00267487" w:rsidRDefault="002246B7" w:rsidP="00267487">
      <w:pPr>
        <w:tabs>
          <w:tab w:val="left" w:pos="5670"/>
        </w:tabs>
        <w:jc w:val="center"/>
      </w:pPr>
      <w:r w:rsidRPr="00267487">
        <w:t>JUDGMENT</w:t>
      </w:r>
    </w:p>
    <w:p w:rsidR="002246B7" w:rsidRPr="00267487" w:rsidRDefault="002246B7" w:rsidP="00267487">
      <w:pPr>
        <w:tabs>
          <w:tab w:val="left" w:pos="5670"/>
        </w:tabs>
        <w:jc w:val="center"/>
      </w:pPr>
    </w:p>
    <w:p w:rsidR="002246B7" w:rsidRPr="00267487" w:rsidRDefault="002246B7" w:rsidP="00267487">
      <w:pPr>
        <w:tabs>
          <w:tab w:val="left" w:pos="5670"/>
        </w:tabs>
        <w:jc w:val="center"/>
      </w:pPr>
    </w:p>
    <w:p w:rsidR="002246B7" w:rsidRPr="00267487" w:rsidRDefault="002246B7" w:rsidP="00267487">
      <w:pPr>
        <w:tabs>
          <w:tab w:val="left" w:pos="5670"/>
        </w:tabs>
        <w:jc w:val="center"/>
      </w:pPr>
      <w:r w:rsidRPr="00267487">
        <w:t>STRASBOURG</w:t>
      </w:r>
    </w:p>
    <w:p w:rsidR="002246B7" w:rsidRPr="00267487" w:rsidRDefault="002246B7" w:rsidP="00267487">
      <w:pPr>
        <w:tabs>
          <w:tab w:val="left" w:pos="5670"/>
        </w:tabs>
        <w:jc w:val="center"/>
      </w:pPr>
    </w:p>
    <w:p w:rsidR="002246B7" w:rsidRPr="00267487" w:rsidRDefault="002246B7" w:rsidP="00267487">
      <w:pPr>
        <w:tabs>
          <w:tab w:val="left" w:pos="5670"/>
        </w:tabs>
        <w:jc w:val="center"/>
      </w:pPr>
      <w:r w:rsidRPr="00267487">
        <w:t>5 April 2018</w:t>
      </w:r>
    </w:p>
    <w:p w:rsidR="002246B7" w:rsidRPr="00267487" w:rsidRDefault="002246B7" w:rsidP="00267487">
      <w:pPr>
        <w:tabs>
          <w:tab w:val="left" w:pos="5670"/>
        </w:tabs>
        <w:jc w:val="center"/>
      </w:pPr>
    </w:p>
    <w:p w:rsidR="002246B7" w:rsidRPr="00267487" w:rsidRDefault="002246B7" w:rsidP="00267487">
      <w:pPr>
        <w:tabs>
          <w:tab w:val="left" w:pos="5670"/>
        </w:tabs>
        <w:jc w:val="center"/>
      </w:pPr>
    </w:p>
    <w:p w:rsidR="002246B7" w:rsidRPr="00267487" w:rsidRDefault="002246B7" w:rsidP="00267487">
      <w:pPr>
        <w:jc w:val="center"/>
        <w:rPr>
          <w:i/>
          <w:sz w:val="22"/>
        </w:rPr>
      </w:pPr>
    </w:p>
    <w:p w:rsidR="002246B7" w:rsidRPr="00267487" w:rsidRDefault="002246B7" w:rsidP="00267487">
      <w:pPr>
        <w:jc w:val="center"/>
        <w:rPr>
          <w:i/>
          <w:sz w:val="22"/>
        </w:rPr>
      </w:pPr>
    </w:p>
    <w:p w:rsidR="00014566" w:rsidRPr="00267487" w:rsidRDefault="002246B7" w:rsidP="00267487">
      <w:pPr>
        <w:rPr>
          <w:szCs w:val="24"/>
        </w:rPr>
      </w:pPr>
      <w:r w:rsidRPr="00267487">
        <w:rPr>
          <w:i/>
          <w:sz w:val="22"/>
        </w:rPr>
        <w:t>This judgment will become final in the circumstances set out in Article 44 § 2 of the Convention. It may be subject to editorial revision.</w:t>
      </w:r>
    </w:p>
    <w:p w:rsidR="002246B7" w:rsidRPr="00267487" w:rsidRDefault="002246B7" w:rsidP="00267487">
      <w:pPr>
        <w:pStyle w:val="JuCase"/>
      </w:pPr>
    </w:p>
    <w:p w:rsidR="002246B7" w:rsidRPr="00267487" w:rsidRDefault="002246B7" w:rsidP="00267487">
      <w:pPr>
        <w:pStyle w:val="ECHRPara"/>
        <w:sectPr w:rsidR="002246B7" w:rsidRPr="00267487" w:rsidSect="002246B7">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014566" w:rsidRPr="00267487" w:rsidRDefault="002246B7" w:rsidP="00267487">
      <w:pPr>
        <w:pStyle w:val="JuCase"/>
        <w:rPr>
          <w:bCs/>
        </w:rPr>
      </w:pPr>
      <w:r w:rsidRPr="00267487">
        <w:lastRenderedPageBreak/>
        <w:t xml:space="preserve">In the case of </w:t>
      </w:r>
      <w:r w:rsidR="003E4E7F" w:rsidRPr="00267487">
        <w:t>Doktorov v. Bulgaria</w:t>
      </w:r>
      <w:r w:rsidR="00014566" w:rsidRPr="00267487">
        <w:t>,</w:t>
      </w:r>
    </w:p>
    <w:p w:rsidR="00014566" w:rsidRPr="00267487" w:rsidRDefault="00014566" w:rsidP="00267487">
      <w:pPr>
        <w:pStyle w:val="ECHRPara"/>
      </w:pPr>
      <w:r w:rsidRPr="00267487">
        <w:t>The European Court of Human Rights (</w:t>
      </w:r>
      <w:r w:rsidR="003E4E7F" w:rsidRPr="00267487">
        <w:t>Fifth Section</w:t>
      </w:r>
      <w:r w:rsidRPr="00267487">
        <w:t xml:space="preserve">), sitting as a </w:t>
      </w:r>
      <w:r w:rsidR="003E4E7F" w:rsidRPr="00267487">
        <w:t>Chamber</w:t>
      </w:r>
      <w:r w:rsidRPr="00267487">
        <w:t xml:space="preserve"> composed of:</w:t>
      </w:r>
    </w:p>
    <w:p w:rsidR="00014566" w:rsidRPr="00267487" w:rsidRDefault="002713D5" w:rsidP="00267487">
      <w:pPr>
        <w:pStyle w:val="ECHRDecisionBody"/>
      </w:pPr>
      <w:r w:rsidRPr="00267487">
        <w:tab/>
        <w:t>Angelika Nußberger,</w:t>
      </w:r>
      <w:r w:rsidRPr="00267487">
        <w:rPr>
          <w:i/>
        </w:rPr>
        <w:t xml:space="preserve"> President,</w:t>
      </w:r>
      <w:r w:rsidRPr="00267487">
        <w:rPr>
          <w:i/>
        </w:rPr>
        <w:br/>
      </w:r>
      <w:r w:rsidRPr="00267487">
        <w:tab/>
        <w:t>Erik Møse,</w:t>
      </w:r>
      <w:r w:rsidRPr="00267487">
        <w:rPr>
          <w:i/>
        </w:rPr>
        <w:br/>
      </w:r>
      <w:r w:rsidRPr="00267487">
        <w:tab/>
        <w:t>Yonko Grozev,</w:t>
      </w:r>
      <w:r w:rsidRPr="00267487">
        <w:rPr>
          <w:i/>
        </w:rPr>
        <w:br/>
      </w:r>
      <w:r w:rsidRPr="00267487">
        <w:tab/>
        <w:t>Síofra O</w:t>
      </w:r>
      <w:r w:rsidR="00267487" w:rsidRPr="00267487">
        <w:t>’</w:t>
      </w:r>
      <w:r w:rsidRPr="00267487">
        <w:t>Leary,</w:t>
      </w:r>
      <w:r w:rsidRPr="00267487">
        <w:rPr>
          <w:i/>
        </w:rPr>
        <w:br/>
      </w:r>
      <w:r w:rsidRPr="00267487">
        <w:tab/>
        <w:t>Mārtiņš Mits,</w:t>
      </w:r>
      <w:r w:rsidRPr="00267487">
        <w:rPr>
          <w:i/>
        </w:rPr>
        <w:br/>
      </w:r>
      <w:r w:rsidRPr="00267487">
        <w:tab/>
        <w:t>Lәtif Hüseynov,</w:t>
      </w:r>
      <w:r w:rsidRPr="00267487">
        <w:rPr>
          <w:i/>
        </w:rPr>
        <w:br/>
      </w:r>
      <w:r w:rsidRPr="00267487">
        <w:tab/>
        <w:t>Lado Chanturia,</w:t>
      </w:r>
      <w:r w:rsidRPr="00267487">
        <w:rPr>
          <w:i/>
        </w:rPr>
        <w:t xml:space="preserve"> judges,</w:t>
      </w:r>
      <w:r w:rsidR="00014566" w:rsidRPr="00267487">
        <w:rPr>
          <w:szCs w:val="24"/>
        </w:rPr>
        <w:br/>
      </w:r>
      <w:r w:rsidR="00014566" w:rsidRPr="00267487">
        <w:t xml:space="preserve">and </w:t>
      </w:r>
      <w:r w:rsidR="003E4E7F" w:rsidRPr="00267487">
        <w:t>Claudia Westerdiek</w:t>
      </w:r>
      <w:r w:rsidR="00014566" w:rsidRPr="00267487">
        <w:t xml:space="preserve">, </w:t>
      </w:r>
      <w:r w:rsidR="003E4E7F" w:rsidRPr="00267487">
        <w:rPr>
          <w:i/>
        </w:rPr>
        <w:t xml:space="preserve">Section </w:t>
      </w:r>
      <w:r w:rsidR="003E4E7F" w:rsidRPr="00267487">
        <w:rPr>
          <w:i/>
          <w:iCs/>
        </w:rPr>
        <w:t>Registrar</w:t>
      </w:r>
      <w:r w:rsidR="00014566" w:rsidRPr="00267487">
        <w:rPr>
          <w:i/>
        </w:rPr>
        <w:t>,</w:t>
      </w:r>
    </w:p>
    <w:p w:rsidR="00014566" w:rsidRPr="00267487" w:rsidRDefault="00014566" w:rsidP="00267487">
      <w:pPr>
        <w:pStyle w:val="ECHRPara"/>
      </w:pPr>
      <w:r w:rsidRPr="00267487">
        <w:t xml:space="preserve">Having deliberated in private on </w:t>
      </w:r>
      <w:r w:rsidR="002713D5" w:rsidRPr="00267487">
        <w:t>13 March 2018</w:t>
      </w:r>
      <w:r w:rsidRPr="00267487">
        <w:t>,</w:t>
      </w:r>
    </w:p>
    <w:p w:rsidR="00014566" w:rsidRPr="00267487" w:rsidRDefault="00014566" w:rsidP="00267487">
      <w:pPr>
        <w:pStyle w:val="ECHRPara"/>
      </w:pPr>
      <w:r w:rsidRPr="00267487">
        <w:t>Delivers the following judgment, which was adopted on that date:</w:t>
      </w:r>
    </w:p>
    <w:p w:rsidR="00014566" w:rsidRPr="00267487" w:rsidRDefault="00014566" w:rsidP="00267487">
      <w:pPr>
        <w:pStyle w:val="ECHRTitle1"/>
      </w:pPr>
      <w:r w:rsidRPr="00267487">
        <w:t>PROCEDURE</w:t>
      </w:r>
    </w:p>
    <w:p w:rsidR="003E4E7F"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w:t>
      </w:r>
      <w:r w:rsidRPr="00267487">
        <w:fldChar w:fldCharType="end"/>
      </w:r>
      <w:r w:rsidR="00014566" w:rsidRPr="00267487">
        <w:t xml:space="preserve">.  The case originated in </w:t>
      </w:r>
      <w:r w:rsidRPr="00267487">
        <w:t>an application (no. 15074/08)</w:t>
      </w:r>
      <w:r w:rsidR="00014566" w:rsidRPr="00267487">
        <w:t xml:space="preserve"> against </w:t>
      </w:r>
      <w:r w:rsidRPr="00267487">
        <w:t>the Republic of Bulgaria</w:t>
      </w:r>
      <w:r w:rsidR="00014566" w:rsidRPr="00267487">
        <w:t xml:space="preserve"> lodged with the </w:t>
      </w:r>
      <w:r w:rsidRPr="00267487">
        <w:t>Court under Article 34</w:t>
      </w:r>
      <w:r w:rsidR="00014566" w:rsidRPr="00267487">
        <w:t xml:space="preserve"> of the Convention for the Protection of Human Rights and Fundamental Freedoms (“the Convention”) by </w:t>
      </w:r>
      <w:r w:rsidRPr="00267487">
        <w:t>a Bulgarian national, Mr Tsanko Todorov Doktorov (“the applicant”), on 18 February 2008</w:t>
      </w:r>
      <w:r w:rsidR="00014566" w:rsidRPr="00267487">
        <w:t>.</w:t>
      </w:r>
    </w:p>
    <w:p w:rsidR="003E4E7F"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w:t>
      </w:r>
      <w:r w:rsidRPr="00267487">
        <w:fldChar w:fldCharType="end"/>
      </w:r>
      <w:r w:rsidR="00014566" w:rsidRPr="00267487">
        <w:t>.  </w:t>
      </w:r>
      <w:r w:rsidRPr="00267487">
        <w:t xml:space="preserve">The applicant was represented by Mr T. Valchev, a lawyer practising in Varna. </w:t>
      </w:r>
      <w:r w:rsidR="00014566" w:rsidRPr="00267487">
        <w:t xml:space="preserve">The </w:t>
      </w:r>
      <w:r w:rsidRPr="00267487">
        <w:t>Bulgarian</w:t>
      </w:r>
      <w:r w:rsidR="00014566" w:rsidRPr="00267487">
        <w:t xml:space="preserve"> Government (“the Government”) wer</w:t>
      </w:r>
      <w:r w:rsidR="00DD6FBE" w:rsidRPr="00267487">
        <w:t>e represented by their Agent, M</w:t>
      </w:r>
      <w:r w:rsidR="00014566" w:rsidRPr="00267487">
        <w:t xml:space="preserve">s </w:t>
      </w:r>
      <w:r w:rsidR="00DD6FBE" w:rsidRPr="00267487">
        <w:t>R. Nikolova</w:t>
      </w:r>
      <w:r w:rsidR="00014566" w:rsidRPr="00267487">
        <w:t xml:space="preserve">, </w:t>
      </w:r>
      <w:r w:rsidR="00DD6FBE" w:rsidRPr="00267487">
        <w:t>of the Ministry of Justice</w:t>
      </w:r>
      <w:r w:rsidR="00014566" w:rsidRPr="00267487">
        <w:t>.</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w:t>
      </w:r>
      <w:r w:rsidRPr="00267487">
        <w:fldChar w:fldCharType="end"/>
      </w:r>
      <w:r w:rsidRPr="00267487">
        <w:t xml:space="preserve">.  The applicant alleged </w:t>
      </w:r>
      <w:r w:rsidR="002972E0" w:rsidRPr="00267487">
        <w:t>that it was</w:t>
      </w:r>
      <w:r w:rsidRPr="00267487">
        <w:t xml:space="preserve"> </w:t>
      </w:r>
      <w:r w:rsidR="002972E0" w:rsidRPr="00267487">
        <w:t xml:space="preserve">impossible for him, </w:t>
      </w:r>
      <w:r w:rsidR="00DE2DF9" w:rsidRPr="00267487">
        <w:t xml:space="preserve">both </w:t>
      </w:r>
      <w:r w:rsidR="002972E0" w:rsidRPr="00267487">
        <w:t xml:space="preserve">in law and in practice, to contest </w:t>
      </w:r>
      <w:r w:rsidR="007179EF" w:rsidRPr="00267487">
        <w:t xml:space="preserve">the </w:t>
      </w:r>
      <w:r w:rsidR="002972E0" w:rsidRPr="00267487">
        <w:t>paternity of a child born during his marriage to the</w:t>
      </w:r>
      <w:r w:rsidR="00DE2DF9" w:rsidRPr="00267487">
        <w:t xml:space="preserve"> child</w:t>
      </w:r>
      <w:r w:rsidR="00267487" w:rsidRPr="00267487">
        <w:t>’</w:t>
      </w:r>
      <w:r w:rsidR="00DE2DF9" w:rsidRPr="00267487">
        <w:t>s</w:t>
      </w:r>
      <w:r w:rsidR="002972E0" w:rsidRPr="00267487">
        <w:t xml:space="preserve"> mother</w:t>
      </w:r>
      <w:r w:rsidRPr="00267487">
        <w:t>.</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w:t>
      </w:r>
      <w:r w:rsidRPr="00267487">
        <w:fldChar w:fldCharType="end"/>
      </w:r>
      <w:r w:rsidR="00014566" w:rsidRPr="00267487">
        <w:t>.  </w:t>
      </w:r>
      <w:r w:rsidRPr="00267487">
        <w:t xml:space="preserve">On </w:t>
      </w:r>
      <w:r w:rsidRPr="00267487">
        <w:rPr>
          <w:szCs w:val="24"/>
        </w:rPr>
        <w:t>7 December 2016</w:t>
      </w:r>
      <w:r w:rsidR="002972E0" w:rsidRPr="00267487">
        <w:t xml:space="preserve"> this</w:t>
      </w:r>
      <w:r w:rsidR="00014566" w:rsidRPr="00267487">
        <w:t xml:space="preserve"> </w:t>
      </w:r>
      <w:r w:rsidRPr="00267487">
        <w:t>complaint was communicated to the Government and the remainder of the application was declared inadmissible</w:t>
      </w:r>
      <w:r w:rsidRPr="00267487">
        <w:rPr>
          <w:szCs w:val="24"/>
        </w:rPr>
        <w:t xml:space="preserve"> </w:t>
      </w:r>
      <w:r w:rsidRPr="00267487">
        <w:t>pursuant to Rule 54 § 3 of the Rules of Court</w:t>
      </w:r>
      <w:r w:rsidR="007509D5" w:rsidRPr="00267487">
        <w:t>.</w:t>
      </w:r>
    </w:p>
    <w:p w:rsidR="00014566" w:rsidRPr="00267487" w:rsidRDefault="00014566" w:rsidP="00267487">
      <w:pPr>
        <w:pStyle w:val="ECHRTitle1"/>
      </w:pPr>
      <w:r w:rsidRPr="00267487">
        <w:t>THE FACTS</w:t>
      </w:r>
    </w:p>
    <w:p w:rsidR="00014566" w:rsidRPr="00267487" w:rsidRDefault="00014566" w:rsidP="00267487">
      <w:pPr>
        <w:pStyle w:val="ECHRHeading1"/>
      </w:pPr>
      <w:r w:rsidRPr="00267487">
        <w:t>I.  THE CIRCUMSTANCES OF THE CASE</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5</w:t>
      </w:r>
      <w:r w:rsidRPr="00267487">
        <w:fldChar w:fldCharType="end"/>
      </w:r>
      <w:r w:rsidR="00014566" w:rsidRPr="00267487">
        <w:t xml:space="preserve">.  The </w:t>
      </w:r>
      <w:r w:rsidRPr="00267487">
        <w:t>applicant was born in 1973 and lives</w:t>
      </w:r>
      <w:r w:rsidR="00014566" w:rsidRPr="00267487">
        <w:t xml:space="preserve"> in </w:t>
      </w:r>
      <w:r w:rsidRPr="00267487">
        <w:t>Varna</w:t>
      </w:r>
      <w:r w:rsidR="00014566" w:rsidRPr="00267487">
        <w:t>.</w:t>
      </w:r>
    </w:p>
    <w:p w:rsidR="005E6A8B"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6</w:t>
      </w:r>
      <w:r w:rsidRPr="00267487">
        <w:fldChar w:fldCharType="end"/>
      </w:r>
      <w:r w:rsidR="00014566" w:rsidRPr="00267487">
        <w:t>.  </w:t>
      </w:r>
      <w:r w:rsidR="00D1676F" w:rsidRPr="00267487">
        <w:t xml:space="preserve">The applicant and his wife divorced on 21 August 2006 pursuant to a court-approved agreement between the two of them. Under the terms of this agreement, the applicant undertook to pay </w:t>
      </w:r>
      <w:r w:rsidR="0029532A" w:rsidRPr="00267487">
        <w:t>child support</w:t>
      </w:r>
      <w:r w:rsidR="00D1676F" w:rsidRPr="00267487">
        <w:t xml:space="preserve"> to the two children born during the marriage and agreed to his wife</w:t>
      </w:r>
      <w:r w:rsidR="00267487" w:rsidRPr="00267487">
        <w:t>’</w:t>
      </w:r>
      <w:r w:rsidR="00D1676F" w:rsidRPr="00267487">
        <w:t>s keeping his family name after the divorce.</w:t>
      </w:r>
    </w:p>
    <w:p w:rsidR="00D1676F" w:rsidRPr="00267487" w:rsidRDefault="00D1676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7</w:t>
      </w:r>
      <w:r w:rsidRPr="00267487">
        <w:fldChar w:fldCharType="end"/>
      </w:r>
      <w:r w:rsidRPr="00267487">
        <w:t>.  Subsequently, the applicant learned that his former wife had conceived their second child</w:t>
      </w:r>
      <w:r w:rsidR="006E1CA1" w:rsidRPr="00267487">
        <w:t>, born in 2003,</w:t>
      </w:r>
      <w:r w:rsidRPr="00267487">
        <w:t xml:space="preserve"> as a result of a relationship with another man during her </w:t>
      </w:r>
      <w:r w:rsidRPr="00267487">
        <w:lastRenderedPageBreak/>
        <w:t xml:space="preserve">marriage to the applicant. The applicant underwent a DNA test to determine whether he was the father of the younger child. The DNA test </w:t>
      </w:r>
      <w:r w:rsidRPr="00267487">
        <w:rPr>
          <w:rFonts w:cstheme="minorHAnsi"/>
        </w:rPr>
        <w:t>‒</w:t>
      </w:r>
      <w:r w:rsidRPr="00267487">
        <w:t xml:space="preserve"> the result of which the applicant received on 15 January 2007 </w:t>
      </w:r>
      <w:r w:rsidRPr="00267487">
        <w:rPr>
          <w:rFonts w:cstheme="minorHAnsi"/>
        </w:rPr>
        <w:t>‒</w:t>
      </w:r>
      <w:r w:rsidRPr="00267487">
        <w:t xml:space="preserve"> established that he was not the biolog</w:t>
      </w:r>
      <w:r w:rsidR="006E1CA1" w:rsidRPr="00267487">
        <w:t>ical father of the second child</w:t>
      </w:r>
      <w:r w:rsidRPr="00267487">
        <w:t>.</w:t>
      </w:r>
      <w:r w:rsidR="00FC6CFF" w:rsidRPr="00267487">
        <w:t xml:space="preserve"> The results of this DNA test were never considered by a court.</w:t>
      </w:r>
    </w:p>
    <w:p w:rsidR="00014566" w:rsidRPr="00267487" w:rsidRDefault="00D1676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8</w:t>
      </w:r>
      <w:r w:rsidRPr="00267487">
        <w:fldChar w:fldCharType="end"/>
      </w:r>
      <w:r w:rsidRPr="00267487">
        <w:t xml:space="preserve">.  Shortly thereafter, </w:t>
      </w:r>
      <w:r w:rsidR="003E2316" w:rsidRPr="00267487">
        <w:t>in February 2007</w:t>
      </w:r>
      <w:r w:rsidRPr="00267487">
        <w:t xml:space="preserve">, the applicant brought a civil claim in court, seeking to contest his paternity of the child in question. On 1 March 2007 the Varna Regional Court dismissed his request, finding that it was time-barred due to the expiry </w:t>
      </w:r>
      <w:r w:rsidR="003E2316" w:rsidRPr="00267487">
        <w:t xml:space="preserve">– in 2004 – </w:t>
      </w:r>
      <w:r w:rsidRPr="00267487">
        <w:t>of the year-long limitation period counting from the child</w:t>
      </w:r>
      <w:r w:rsidR="00267487" w:rsidRPr="00267487">
        <w:t>’</w:t>
      </w:r>
      <w:r w:rsidRPr="00267487">
        <w:t>s birth</w:t>
      </w:r>
      <w:r w:rsidR="00EB022B" w:rsidRPr="00267487">
        <w:t xml:space="preserve"> or from learning the</w:t>
      </w:r>
      <w:r w:rsidR="007179EF" w:rsidRPr="00267487">
        <w:t>reof</w:t>
      </w:r>
      <w:r w:rsidR="0004018D" w:rsidRPr="00267487">
        <w:t xml:space="preserve"> (see the section “Relevant domestic law and practice” below”)</w:t>
      </w:r>
      <w:r w:rsidRPr="00267487">
        <w:t>. This finding was confirmed by two higher judicial instances, the final decision being pronounced by the Supreme Court of Cassation on 19 September 2007.</w:t>
      </w:r>
    </w:p>
    <w:p w:rsidR="005E6A8B" w:rsidRPr="00267487" w:rsidRDefault="005C375B"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9</w:t>
      </w:r>
      <w:r w:rsidRPr="00267487">
        <w:fldChar w:fldCharType="end"/>
      </w:r>
      <w:r w:rsidRPr="00267487">
        <w:t>.  </w:t>
      </w:r>
      <w:r w:rsidR="00F939F4" w:rsidRPr="00267487">
        <w:t xml:space="preserve">The applicant brought subsequent proceedings in which he sought to stop paying </w:t>
      </w:r>
      <w:r w:rsidR="00D20DDA" w:rsidRPr="00267487">
        <w:t>child suppo</w:t>
      </w:r>
      <w:r w:rsidR="00FF7180" w:rsidRPr="00267487">
        <w:t>r</w:t>
      </w:r>
      <w:r w:rsidR="00D20DDA" w:rsidRPr="00267487">
        <w:t xml:space="preserve">t </w:t>
      </w:r>
      <w:r w:rsidR="00F939F4" w:rsidRPr="00267487">
        <w:t xml:space="preserve">to the second child. </w:t>
      </w:r>
      <w:r w:rsidR="007179EF" w:rsidRPr="00267487">
        <w:t>On 20 May 2008 h</w:t>
      </w:r>
      <w:r w:rsidR="00F939F4" w:rsidRPr="00267487">
        <w:t>is claim was rejected by the Varna District Court</w:t>
      </w:r>
      <w:r w:rsidR="007179EF" w:rsidRPr="00267487">
        <w:t>,</w:t>
      </w:r>
      <w:r w:rsidR="00F939F4" w:rsidRPr="00267487">
        <w:t xml:space="preserve"> which found that it had not been proven that the applicant was not the child</w:t>
      </w:r>
      <w:r w:rsidR="00267487" w:rsidRPr="00267487">
        <w:t>’</w:t>
      </w:r>
      <w:r w:rsidR="00F939F4" w:rsidRPr="00267487">
        <w:t>s father</w:t>
      </w:r>
      <w:r w:rsidR="007179EF" w:rsidRPr="00267487">
        <w:t>,</w:t>
      </w:r>
      <w:r w:rsidR="00F939F4" w:rsidRPr="00267487">
        <w:t xml:space="preserve"> given that he had not rebutted the legal presumption under Article 32 </w:t>
      </w:r>
      <w:r w:rsidR="00886DD1" w:rsidRPr="00267487">
        <w:rPr>
          <w:rFonts w:cstheme="minorHAnsi"/>
        </w:rPr>
        <w:t>(</w:t>
      </w:r>
      <w:r w:rsidR="00F939F4" w:rsidRPr="00267487">
        <w:t>1</w:t>
      </w:r>
      <w:r w:rsidR="00886DD1" w:rsidRPr="00267487">
        <w:t>)</w:t>
      </w:r>
      <w:r w:rsidR="00F939F4" w:rsidRPr="00267487">
        <w:t xml:space="preserve"> of the Family Code 1985 (“the 1985 Code”).</w:t>
      </w:r>
    </w:p>
    <w:p w:rsidR="00014566" w:rsidRPr="00267487" w:rsidRDefault="00014566" w:rsidP="00267487">
      <w:pPr>
        <w:pStyle w:val="ECHRHeading1"/>
      </w:pPr>
      <w:r w:rsidRPr="00267487">
        <w:t>II.  RELEVANT DOMESTIC LAW AND PRACTICE</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10</w:t>
      </w:r>
      <w:r w:rsidRPr="00267487">
        <w:fldChar w:fldCharType="end"/>
      </w:r>
      <w:r w:rsidR="00014566" w:rsidRPr="00267487">
        <w:t>.  </w:t>
      </w:r>
      <w:r w:rsidR="00D1676F" w:rsidRPr="00267487">
        <w:t xml:space="preserve">The applicable law at the time was the 1985 Code. According to </w:t>
      </w:r>
      <w:r w:rsidR="0004018D" w:rsidRPr="00267487">
        <w:t xml:space="preserve">its </w:t>
      </w:r>
      <w:r w:rsidR="00D1676F" w:rsidRPr="00267487">
        <w:t>Article 32 (1), the husband of a child</w:t>
      </w:r>
      <w:r w:rsidR="00267487" w:rsidRPr="00267487">
        <w:t>’</w:t>
      </w:r>
      <w:r w:rsidR="00D1676F" w:rsidRPr="00267487">
        <w:t>s mother was considered to be the father of any child born during the marriage or before the expiry of three hundred days from its dissolution.</w:t>
      </w:r>
      <w:r w:rsidR="00D926D6" w:rsidRPr="00267487">
        <w:t xml:space="preserve"> </w:t>
      </w:r>
      <w:r w:rsidR="00D1676F" w:rsidRPr="00267487">
        <w:t xml:space="preserve">According to </w:t>
      </w:r>
      <w:r w:rsidR="00D926D6" w:rsidRPr="00267487">
        <w:t>its Article 33 (1)</w:t>
      </w:r>
      <w:r w:rsidR="00D1676F" w:rsidRPr="00267487">
        <w:t>, the husband of a child</w:t>
      </w:r>
      <w:r w:rsidR="00267487" w:rsidRPr="00267487">
        <w:t>’</w:t>
      </w:r>
      <w:r w:rsidR="00D1676F" w:rsidRPr="00267487">
        <w:t>s mother could contest his paternity of the child by proving that the child could not have been fathered by him. Such a claim could be brought within a year of the date on which the father learned of the child</w:t>
      </w:r>
      <w:r w:rsidR="00267487" w:rsidRPr="00267487">
        <w:t>’</w:t>
      </w:r>
      <w:r w:rsidR="00D1676F" w:rsidRPr="00267487">
        <w:t>s birth.</w:t>
      </w:r>
    </w:p>
    <w:p w:rsidR="00D926D6" w:rsidRPr="00267487" w:rsidRDefault="00D926D6"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11</w:t>
      </w:r>
      <w:r w:rsidRPr="00267487">
        <w:fldChar w:fldCharType="end"/>
      </w:r>
      <w:r w:rsidRPr="00267487">
        <w:t>.  Article 303 (1) (7) of the Code of Civil Procedure</w:t>
      </w:r>
      <w:r w:rsidR="00E7025A" w:rsidRPr="00267487">
        <w:t xml:space="preserve"> 2007 (CCP 2007) provides that civil proceedings may be reopened when a judgment of the European Court of Human Rights has established that the Convention had been violated</w:t>
      </w:r>
      <w:r w:rsidRPr="00267487">
        <w:t xml:space="preserve"> </w:t>
      </w:r>
      <w:r w:rsidR="00E7025A" w:rsidRPr="00267487">
        <w:t>and where</w:t>
      </w:r>
      <w:r w:rsidRPr="00267487">
        <w:t xml:space="preserve"> a fresh examination of the case is necessary in order to eliminate the c</w:t>
      </w:r>
      <w:r w:rsidR="00E7025A" w:rsidRPr="00267487">
        <w:t>onsequences of the violation</w:t>
      </w:r>
      <w:r w:rsidRPr="00267487">
        <w:t>. The interested party may make the request</w:t>
      </w:r>
      <w:r w:rsidR="00E7025A" w:rsidRPr="00267487">
        <w:t xml:space="preserve"> for reopening</w:t>
      </w:r>
      <w:r w:rsidRPr="00267487">
        <w:t xml:space="preserve"> no later than six months after the judgment has become final (Article 305 (2) of the CCP 2007). The request is examined by the S</w:t>
      </w:r>
      <w:r w:rsidR="00E7025A" w:rsidRPr="00267487">
        <w:t xml:space="preserve">upreme </w:t>
      </w:r>
      <w:r w:rsidRPr="00267487">
        <w:t>C</w:t>
      </w:r>
      <w:r w:rsidR="00E7025A" w:rsidRPr="00267487">
        <w:t xml:space="preserve">ourt of </w:t>
      </w:r>
      <w:r w:rsidRPr="00267487">
        <w:t>C</w:t>
      </w:r>
      <w:r w:rsidR="00E7025A" w:rsidRPr="00267487">
        <w:t>assation (Article 307 of the CCP </w:t>
      </w:r>
      <w:r w:rsidRPr="00267487">
        <w:t>2007).</w:t>
      </w:r>
    </w:p>
    <w:p w:rsidR="00014566" w:rsidRPr="00267487" w:rsidRDefault="00014566" w:rsidP="00267487">
      <w:pPr>
        <w:pStyle w:val="ECHRTitle1"/>
      </w:pPr>
      <w:r w:rsidRPr="00267487">
        <w:t>THE LAW</w:t>
      </w:r>
    </w:p>
    <w:p w:rsidR="00014566" w:rsidRPr="00267487" w:rsidRDefault="00014566" w:rsidP="00267487">
      <w:pPr>
        <w:pStyle w:val="ECHRHeading1"/>
      </w:pPr>
      <w:r w:rsidRPr="00267487">
        <w:t xml:space="preserve">I.  ALLEGED VIOLATION OF ARTICLE </w:t>
      </w:r>
      <w:r w:rsidR="00E87ABD" w:rsidRPr="00267487">
        <w:t>8</w:t>
      </w:r>
      <w:r w:rsidRPr="00267487">
        <w:t xml:space="preserve"> OF THE CONVENTION</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12</w:t>
      </w:r>
      <w:r w:rsidRPr="00267487">
        <w:fldChar w:fldCharType="end"/>
      </w:r>
      <w:r w:rsidR="00014566" w:rsidRPr="00267487">
        <w:t xml:space="preserve">.  The applicant complained that </w:t>
      </w:r>
      <w:r w:rsidR="00D35AC9" w:rsidRPr="00267487">
        <w:t xml:space="preserve">he </w:t>
      </w:r>
      <w:r w:rsidR="00DE2DF9" w:rsidRPr="00267487">
        <w:t>was unable t</w:t>
      </w:r>
      <w:r w:rsidR="00D35AC9" w:rsidRPr="00267487">
        <w:t xml:space="preserve">o contest his legal paternity of one of his children, despite a biological reality showing that he was not the father. He </w:t>
      </w:r>
      <w:r w:rsidR="00D35AC9" w:rsidRPr="00267487">
        <w:lastRenderedPageBreak/>
        <w:t>claimed this breached his</w:t>
      </w:r>
      <w:r w:rsidR="00014566" w:rsidRPr="00267487">
        <w:t xml:space="preserve"> </w:t>
      </w:r>
      <w:r w:rsidR="00D35AC9" w:rsidRPr="00267487">
        <w:t xml:space="preserve">rights under </w:t>
      </w:r>
      <w:r w:rsidR="00014566" w:rsidRPr="00267487">
        <w:t xml:space="preserve">Article </w:t>
      </w:r>
      <w:r w:rsidR="00D35AC9" w:rsidRPr="00267487">
        <w:t>8</w:t>
      </w:r>
      <w:r w:rsidR="00014566" w:rsidRPr="00267487">
        <w:t xml:space="preserve"> of the Convention, which reads as follows:</w:t>
      </w:r>
    </w:p>
    <w:p w:rsidR="00D35AC9" w:rsidRPr="00267487" w:rsidRDefault="00D35AC9" w:rsidP="00267487">
      <w:pPr>
        <w:pStyle w:val="ECHRParaQuote"/>
      </w:pPr>
      <w:r w:rsidRPr="00267487">
        <w:t>“1.  Everyone has the right to respect for his private and family life, his home and his correspondence.</w:t>
      </w:r>
    </w:p>
    <w:p w:rsidR="00014566" w:rsidRPr="00267487" w:rsidRDefault="00D35AC9" w:rsidP="00267487">
      <w:pPr>
        <w:pStyle w:val="ECHRParaQuote"/>
      </w:pPr>
      <w:r w:rsidRPr="00267487">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13</w:t>
      </w:r>
      <w:r w:rsidRPr="00267487">
        <w:fldChar w:fldCharType="end"/>
      </w:r>
      <w:r w:rsidR="00014566" w:rsidRPr="00267487">
        <w:t>.  The Government contested that argument.</w:t>
      </w:r>
    </w:p>
    <w:p w:rsidR="00014566" w:rsidRPr="00267487" w:rsidRDefault="00014566" w:rsidP="00267487">
      <w:pPr>
        <w:pStyle w:val="ECHRHeading2"/>
      </w:pPr>
      <w:r w:rsidRPr="00267487">
        <w:t>A.  Admissibility</w:t>
      </w:r>
    </w:p>
    <w:p w:rsidR="00014566" w:rsidRPr="00267487" w:rsidRDefault="00427DD2"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14</w:t>
      </w:r>
      <w:r w:rsidRPr="00267487">
        <w:fldChar w:fldCharType="end"/>
      </w:r>
      <w:r w:rsidRPr="00267487">
        <w:t>.  </w:t>
      </w:r>
      <w:r w:rsidR="00735562" w:rsidRPr="00267487">
        <w:t xml:space="preserve">The Court notes that </w:t>
      </w:r>
      <w:r w:rsidR="00014566" w:rsidRPr="00267487">
        <w:t>this complaint is not manifestly ill-founded within the meaning of Article 35 § 3 (a) of the Convention. It further notes that it is not inadmissible on any other grounds. It must therefore be declared admissible.</w:t>
      </w:r>
    </w:p>
    <w:p w:rsidR="00014566" w:rsidRPr="00267487" w:rsidRDefault="00014566" w:rsidP="00267487">
      <w:pPr>
        <w:pStyle w:val="ECHRHeading2"/>
      </w:pPr>
      <w:r w:rsidRPr="00267487">
        <w:t>B.  Merits</w:t>
      </w:r>
    </w:p>
    <w:p w:rsidR="009742A4" w:rsidRPr="00267487" w:rsidRDefault="009742A4" w:rsidP="00267487">
      <w:pPr>
        <w:pStyle w:val="ECHRHeading3"/>
      </w:pPr>
      <w:r w:rsidRPr="00267487">
        <w:t>1.  The parties</w:t>
      </w:r>
      <w:r w:rsidR="00267487" w:rsidRPr="00267487">
        <w:t>’</w:t>
      </w:r>
      <w:r w:rsidRPr="00267487">
        <w:t xml:space="preserve"> positions</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15</w:t>
      </w:r>
      <w:r w:rsidRPr="00267487">
        <w:fldChar w:fldCharType="end"/>
      </w:r>
      <w:r w:rsidR="00014566" w:rsidRPr="00267487">
        <w:t xml:space="preserve">.  The applicant </w:t>
      </w:r>
      <w:r w:rsidR="00857A35" w:rsidRPr="00267487">
        <w:t>submitted that by introducing the possibility to challenge</w:t>
      </w:r>
      <w:r w:rsidR="006222CE" w:rsidRPr="00267487">
        <w:t xml:space="preserve"> in court</w:t>
      </w:r>
      <w:r w:rsidR="00857A35" w:rsidRPr="00267487">
        <w:t xml:space="preserve"> a legal presumption o</w:t>
      </w:r>
      <w:r w:rsidR="00E14134" w:rsidRPr="00267487">
        <w:t xml:space="preserve">f fatherhood, the Bulgarian legislator </w:t>
      </w:r>
      <w:r w:rsidR="00DE2DF9" w:rsidRPr="00267487">
        <w:t xml:space="preserve">had </w:t>
      </w:r>
      <w:r w:rsidR="00857A35" w:rsidRPr="00267487">
        <w:t xml:space="preserve">recognised </w:t>
      </w:r>
      <w:r w:rsidR="007179EF" w:rsidRPr="00267487">
        <w:t>the</w:t>
      </w:r>
      <w:r w:rsidR="00857A35" w:rsidRPr="00267487">
        <w:t xml:space="preserve"> personal right</w:t>
      </w:r>
      <w:r w:rsidR="006222CE" w:rsidRPr="00267487">
        <w:t xml:space="preserve"> to </w:t>
      </w:r>
      <w:r w:rsidR="00F24988" w:rsidRPr="00267487">
        <w:t xml:space="preserve">the </w:t>
      </w:r>
      <w:r w:rsidR="006222CE" w:rsidRPr="00267487">
        <w:t>protection of private life o</w:t>
      </w:r>
      <w:r w:rsidR="007179EF" w:rsidRPr="00267487">
        <w:t>f</w:t>
      </w:r>
      <w:r w:rsidR="006222CE" w:rsidRPr="00267487">
        <w:t xml:space="preserve"> individuals</w:t>
      </w:r>
      <w:r w:rsidR="00E14134" w:rsidRPr="00267487">
        <w:t xml:space="preserve"> </w:t>
      </w:r>
      <w:r w:rsidR="00AB7C70" w:rsidRPr="00267487">
        <w:t>who</w:t>
      </w:r>
      <w:r w:rsidR="00E14134" w:rsidRPr="00267487">
        <w:t>, like himself,</w:t>
      </w:r>
      <w:r w:rsidR="00AB7C70" w:rsidRPr="00267487">
        <w:t xml:space="preserve"> were</w:t>
      </w:r>
      <w:r w:rsidR="006222CE" w:rsidRPr="00267487">
        <w:t xml:space="preserve"> legally presumed to be fathers of children born during the former</w:t>
      </w:r>
      <w:r w:rsidR="00267487" w:rsidRPr="00267487">
        <w:t>’</w:t>
      </w:r>
      <w:r w:rsidR="006222CE" w:rsidRPr="00267487">
        <w:t>s marriage to the mothers. The applicant believed</w:t>
      </w:r>
      <w:r w:rsidR="00857A35" w:rsidRPr="00267487">
        <w:t xml:space="preserve"> </w:t>
      </w:r>
      <w:r w:rsidR="006222CE" w:rsidRPr="00267487">
        <w:t>that this right</w:t>
      </w:r>
      <w:r w:rsidR="00857A35" w:rsidRPr="00267487">
        <w:t xml:space="preserve"> had to be protected not only in theory but</w:t>
      </w:r>
      <w:r w:rsidR="00DE2DF9" w:rsidRPr="00267487">
        <w:t xml:space="preserve"> also</w:t>
      </w:r>
      <w:r w:rsidR="00857A35" w:rsidRPr="00267487">
        <w:t xml:space="preserve"> in practice</w:t>
      </w:r>
      <w:r w:rsidR="006D3E91" w:rsidRPr="00267487">
        <w:t>.</w:t>
      </w:r>
      <w:r w:rsidR="006222CE" w:rsidRPr="00267487">
        <w:t xml:space="preserve"> He </w:t>
      </w:r>
      <w:r w:rsidR="00DE2DF9" w:rsidRPr="00267487">
        <w:t>argu</w:t>
      </w:r>
      <w:r w:rsidR="006222CE" w:rsidRPr="00267487">
        <w:t>ed that b</w:t>
      </w:r>
      <w:r w:rsidR="00857A35" w:rsidRPr="00267487">
        <w:t>y limiting</w:t>
      </w:r>
      <w:r w:rsidR="00DE2DF9" w:rsidRPr="00267487">
        <w:t>,</w:t>
      </w:r>
      <w:r w:rsidR="00857A35" w:rsidRPr="00267487">
        <w:t xml:space="preserve"> in law</w:t>
      </w:r>
      <w:r w:rsidR="00DE2DF9" w:rsidRPr="00267487">
        <w:t>,</w:t>
      </w:r>
      <w:r w:rsidR="00857A35" w:rsidRPr="00267487">
        <w:t xml:space="preserve"> the possibility o</w:t>
      </w:r>
      <w:r w:rsidR="00DE2DF9" w:rsidRPr="00267487">
        <w:t>f</w:t>
      </w:r>
      <w:r w:rsidR="00857A35" w:rsidRPr="00267487">
        <w:t xml:space="preserve"> bring</w:t>
      </w:r>
      <w:r w:rsidR="00DE2DF9" w:rsidRPr="00267487">
        <w:t>ing</w:t>
      </w:r>
      <w:r w:rsidR="00857A35" w:rsidRPr="00267487">
        <w:t xml:space="preserve"> a challenge to fatherhood to one year after the child</w:t>
      </w:r>
      <w:r w:rsidR="00267487" w:rsidRPr="00267487">
        <w:t>’</w:t>
      </w:r>
      <w:r w:rsidR="00857A35" w:rsidRPr="00267487">
        <w:t>s birth or</w:t>
      </w:r>
      <w:r w:rsidR="00DE2DF9" w:rsidRPr="00267487">
        <w:t xml:space="preserve"> the date of</w:t>
      </w:r>
      <w:r w:rsidR="00857A35" w:rsidRPr="00267487">
        <w:t xml:space="preserve"> learning the</w:t>
      </w:r>
      <w:r w:rsidR="007179EF" w:rsidRPr="00267487">
        <w:t>reof</w:t>
      </w:r>
      <w:r w:rsidR="00857A35" w:rsidRPr="00267487">
        <w:t xml:space="preserve">, the legislator </w:t>
      </w:r>
      <w:r w:rsidR="006222CE" w:rsidRPr="00267487">
        <w:t xml:space="preserve">had </w:t>
      </w:r>
      <w:r w:rsidR="00857A35" w:rsidRPr="00267487">
        <w:t>deprived of protection a</w:t>
      </w:r>
      <w:r w:rsidR="007179EF" w:rsidRPr="00267487">
        <w:t>ny</w:t>
      </w:r>
      <w:r w:rsidR="00857A35" w:rsidRPr="00267487">
        <w:t xml:space="preserve"> individuals who, like</w:t>
      </w:r>
      <w:r w:rsidR="00307E4C" w:rsidRPr="00267487">
        <w:t xml:space="preserve"> and including </w:t>
      </w:r>
      <w:r w:rsidR="00857A35" w:rsidRPr="00267487">
        <w:t>the applicant, happened to learn about the</w:t>
      </w:r>
      <w:r w:rsidR="006222CE" w:rsidRPr="00267487">
        <w:t xml:space="preserve"> biological reality after the expiry of that one year period. </w:t>
      </w:r>
      <w:r w:rsidR="005A3428" w:rsidRPr="00267487">
        <w:t>Furthermore</w:t>
      </w:r>
      <w:r w:rsidR="00F24988" w:rsidRPr="00267487">
        <w:t xml:space="preserve">, </w:t>
      </w:r>
      <w:r w:rsidR="005A3428" w:rsidRPr="00267487">
        <w:t>by not examining</w:t>
      </w:r>
      <w:r w:rsidR="006222CE" w:rsidRPr="00267487">
        <w:t xml:space="preserve"> the merits of his legal challenge </w:t>
      </w:r>
      <w:r w:rsidR="005A3428" w:rsidRPr="00267487">
        <w:t xml:space="preserve">to paternity, </w:t>
      </w:r>
      <w:r w:rsidR="006222CE" w:rsidRPr="00267487">
        <w:t>the courts</w:t>
      </w:r>
      <w:r w:rsidR="00267487" w:rsidRPr="00267487">
        <w:t>’</w:t>
      </w:r>
      <w:r w:rsidR="006222CE" w:rsidRPr="00267487">
        <w:t xml:space="preserve"> </w:t>
      </w:r>
      <w:r w:rsidR="005A3428" w:rsidRPr="00267487">
        <w:t>decisions represented</w:t>
      </w:r>
      <w:r w:rsidR="006222CE" w:rsidRPr="00267487">
        <w:t xml:space="preserve"> an unjustified and disproportionate interference with his right to private life </w:t>
      </w:r>
      <w:r w:rsidR="00DA16C2" w:rsidRPr="00267487">
        <w:t>in breach of</w:t>
      </w:r>
      <w:r w:rsidR="006222CE" w:rsidRPr="00267487">
        <w:t xml:space="preserve"> Article 8 of the Convention.</w:t>
      </w:r>
    </w:p>
    <w:p w:rsidR="005E6A8B"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16</w:t>
      </w:r>
      <w:r w:rsidRPr="00267487">
        <w:fldChar w:fldCharType="end"/>
      </w:r>
      <w:r w:rsidR="00014566" w:rsidRPr="00267487">
        <w:t xml:space="preserve">.  The Government </w:t>
      </w:r>
      <w:r w:rsidR="006D3E91" w:rsidRPr="00267487">
        <w:t xml:space="preserve">submitted </w:t>
      </w:r>
      <w:r w:rsidR="0019620B" w:rsidRPr="00267487">
        <w:t xml:space="preserve">that, even if there </w:t>
      </w:r>
      <w:r w:rsidR="00DE2DF9" w:rsidRPr="00267487">
        <w:t xml:space="preserve">had been </w:t>
      </w:r>
      <w:r w:rsidR="0019620B" w:rsidRPr="00267487">
        <w:t>an interference with the applicant</w:t>
      </w:r>
      <w:r w:rsidR="00267487" w:rsidRPr="00267487">
        <w:t>’</w:t>
      </w:r>
      <w:r w:rsidR="0019620B" w:rsidRPr="00267487">
        <w:t xml:space="preserve">s right to </w:t>
      </w:r>
      <w:r w:rsidR="00DE2DF9" w:rsidRPr="00267487">
        <w:t xml:space="preserve">his </w:t>
      </w:r>
      <w:r w:rsidR="0019620B" w:rsidRPr="00267487">
        <w:t xml:space="preserve">private life, it had been based on a law that was clear, accessible and whose consequences were </w:t>
      </w:r>
      <w:r w:rsidR="00DA16C2" w:rsidRPr="00267487">
        <w:t xml:space="preserve">wholly </w:t>
      </w:r>
      <w:r w:rsidR="0019620B" w:rsidRPr="00267487">
        <w:t xml:space="preserve">foreseeable. That law pursued the legitimate aim of </w:t>
      </w:r>
      <w:r w:rsidR="002C7E9A" w:rsidRPr="00267487">
        <w:t>ensuring</w:t>
      </w:r>
      <w:r w:rsidR="0019620B" w:rsidRPr="00267487">
        <w:t xml:space="preserve"> </w:t>
      </w:r>
      <w:r w:rsidR="00DE2DF9" w:rsidRPr="00267487">
        <w:t xml:space="preserve">the </w:t>
      </w:r>
      <w:r w:rsidR="0019620B" w:rsidRPr="00267487">
        <w:t xml:space="preserve">legal certainty </w:t>
      </w:r>
      <w:r w:rsidR="005F1625" w:rsidRPr="00267487">
        <w:t>of</w:t>
      </w:r>
      <w:r w:rsidR="0089528D" w:rsidRPr="00267487">
        <w:t xml:space="preserve"> the origin </w:t>
      </w:r>
      <w:r w:rsidR="00DA16C2" w:rsidRPr="00267487">
        <w:t xml:space="preserve">and </w:t>
      </w:r>
      <w:r w:rsidR="005F1625" w:rsidRPr="00267487">
        <w:t>civil registration</w:t>
      </w:r>
      <w:r w:rsidR="00DA16C2" w:rsidRPr="00267487">
        <w:t xml:space="preserve"> </w:t>
      </w:r>
      <w:r w:rsidR="005F1625" w:rsidRPr="00267487">
        <w:t xml:space="preserve">of </w:t>
      </w:r>
      <w:r w:rsidR="00DA16C2" w:rsidRPr="00267487">
        <w:t>individuals</w:t>
      </w:r>
      <w:r w:rsidR="00D825D0" w:rsidRPr="00267487">
        <w:t>,</w:t>
      </w:r>
      <w:r w:rsidR="00DA16C2" w:rsidRPr="00267487">
        <w:t xml:space="preserve"> </w:t>
      </w:r>
      <w:r w:rsidR="007179EF" w:rsidRPr="00267487">
        <w:t xml:space="preserve">together with </w:t>
      </w:r>
      <w:r w:rsidR="00D825D0" w:rsidRPr="00267487">
        <w:t xml:space="preserve">the aim </w:t>
      </w:r>
      <w:r w:rsidR="00DA16C2" w:rsidRPr="00267487">
        <w:t xml:space="preserve">of </w:t>
      </w:r>
      <w:r w:rsidR="0019620B" w:rsidRPr="00267487">
        <w:t>protect</w:t>
      </w:r>
      <w:r w:rsidR="00DA16C2" w:rsidRPr="00267487">
        <w:t>ing</w:t>
      </w:r>
      <w:r w:rsidR="0019620B" w:rsidRPr="00267487">
        <w:t xml:space="preserve"> the rights of </w:t>
      </w:r>
      <w:r w:rsidR="00D825D0" w:rsidRPr="00267487">
        <w:t>children</w:t>
      </w:r>
      <w:r w:rsidR="00DE2DF9" w:rsidRPr="00267487">
        <w:t>,</w:t>
      </w:r>
      <w:r w:rsidR="00D825D0" w:rsidRPr="00267487">
        <w:t xml:space="preserve"> who were </w:t>
      </w:r>
      <w:r w:rsidR="0019620B" w:rsidRPr="00267487">
        <w:t>the most vulnerable persons</w:t>
      </w:r>
      <w:r w:rsidR="00426BE2" w:rsidRPr="00267487">
        <w:t xml:space="preserve"> </w:t>
      </w:r>
      <w:r w:rsidR="00D825D0" w:rsidRPr="00267487">
        <w:t>i</w:t>
      </w:r>
      <w:r w:rsidR="00426BE2" w:rsidRPr="00267487">
        <w:t>n family relation</w:t>
      </w:r>
      <w:r w:rsidR="007179EF" w:rsidRPr="00267487">
        <w:t>ship</w:t>
      </w:r>
      <w:r w:rsidR="00426BE2" w:rsidRPr="00267487">
        <w:t xml:space="preserve">s. The law provided </w:t>
      </w:r>
      <w:r w:rsidR="00D825D0" w:rsidRPr="00267487">
        <w:t xml:space="preserve">legally presumed fathers </w:t>
      </w:r>
      <w:r w:rsidR="007179EF" w:rsidRPr="00267487">
        <w:t xml:space="preserve">with </w:t>
      </w:r>
      <w:r w:rsidR="00426BE2" w:rsidRPr="00267487">
        <w:t>a procedural guarantee for the exercise of the</w:t>
      </w:r>
      <w:r w:rsidR="00DE2DF9" w:rsidRPr="00267487">
        <w:t>ir</w:t>
      </w:r>
      <w:r w:rsidR="00426BE2" w:rsidRPr="00267487">
        <w:t xml:space="preserve"> right to private life </w:t>
      </w:r>
      <w:r w:rsidR="00D825D0" w:rsidRPr="00267487">
        <w:t>by allowing them</w:t>
      </w:r>
      <w:r w:rsidR="00426BE2" w:rsidRPr="00267487">
        <w:t xml:space="preserve"> to challen</w:t>
      </w:r>
      <w:r w:rsidR="00D825D0" w:rsidRPr="00267487">
        <w:t>ge the</w:t>
      </w:r>
      <w:r w:rsidR="00426BE2" w:rsidRPr="00267487">
        <w:t xml:space="preserve"> </w:t>
      </w:r>
      <w:r w:rsidR="00D825D0" w:rsidRPr="00267487">
        <w:t>legally established reality</w:t>
      </w:r>
      <w:r w:rsidR="00426BE2" w:rsidRPr="00267487">
        <w:t xml:space="preserve"> within one year from learning about the child</w:t>
      </w:r>
      <w:r w:rsidR="00267487" w:rsidRPr="00267487">
        <w:t>’</w:t>
      </w:r>
      <w:r w:rsidR="00426BE2" w:rsidRPr="00267487">
        <w:t xml:space="preserve">s birth. </w:t>
      </w:r>
      <w:r w:rsidR="008973A3" w:rsidRPr="00267487">
        <w:t xml:space="preserve">The limitation in law </w:t>
      </w:r>
      <w:r w:rsidR="00DE2DF9" w:rsidRPr="00267487">
        <w:t xml:space="preserve">of one year in which to </w:t>
      </w:r>
      <w:r w:rsidR="008973A3" w:rsidRPr="00267487">
        <w:t xml:space="preserve">bring such a challenge to paternity was a reasonable </w:t>
      </w:r>
      <w:r w:rsidR="008670C7" w:rsidRPr="00267487">
        <w:t xml:space="preserve">solution </w:t>
      </w:r>
      <w:r w:rsidR="008973A3" w:rsidRPr="00267487">
        <w:t xml:space="preserve">which </w:t>
      </w:r>
      <w:r w:rsidR="0089528D" w:rsidRPr="00267487">
        <w:t xml:space="preserve">accounted for the different </w:t>
      </w:r>
      <w:r w:rsidR="0089528D" w:rsidRPr="00267487">
        <w:lastRenderedPageBreak/>
        <w:t xml:space="preserve">interests involved </w:t>
      </w:r>
      <w:r w:rsidR="008670C7" w:rsidRPr="00267487">
        <w:t>by providing</w:t>
      </w:r>
      <w:r w:rsidR="0089528D" w:rsidRPr="00267487">
        <w:t xml:space="preserve"> a</w:t>
      </w:r>
      <w:r w:rsidR="008670C7" w:rsidRPr="00267487">
        <w:t xml:space="preserve"> fair</w:t>
      </w:r>
      <w:r w:rsidR="0089528D" w:rsidRPr="00267487">
        <w:t xml:space="preserve"> </w:t>
      </w:r>
      <w:r w:rsidR="008670C7" w:rsidRPr="00267487">
        <w:t>balance between the need to establish biological reality and the need to protect the stability of already confirmed civil origin.</w:t>
      </w:r>
    </w:p>
    <w:p w:rsidR="009742A4" w:rsidRPr="00267487" w:rsidRDefault="009742A4" w:rsidP="00267487">
      <w:pPr>
        <w:pStyle w:val="ECHRHeading3"/>
      </w:pPr>
      <w:r w:rsidRPr="00267487">
        <w:t>2.  The Court</w:t>
      </w:r>
      <w:r w:rsidR="00267487" w:rsidRPr="00267487">
        <w:t>’</w:t>
      </w:r>
      <w:r w:rsidRPr="00267487">
        <w:t>s assessment</w:t>
      </w:r>
    </w:p>
    <w:p w:rsidR="00774009" w:rsidRPr="00267487" w:rsidRDefault="00774009" w:rsidP="00267487">
      <w:pPr>
        <w:pStyle w:val="ECHRHeading4"/>
      </w:pPr>
      <w:r w:rsidRPr="00267487">
        <w:t>(a)  Applicability of Article 8 of the Convention</w:t>
      </w:r>
    </w:p>
    <w:p w:rsidR="005E6A8B" w:rsidRPr="00267487" w:rsidRDefault="00630C29"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17</w:t>
      </w:r>
      <w:r w:rsidRPr="00267487">
        <w:fldChar w:fldCharType="end"/>
      </w:r>
      <w:r w:rsidRPr="00267487">
        <w:t>.  </w:t>
      </w:r>
      <w:r w:rsidR="00774009" w:rsidRPr="00267487">
        <w:t xml:space="preserve">In the instant case the applicant sought, by means of judicial proceedings, to rebut the legal presumption of his paternity on the basis of biological evidence. The purpose of those proceedings was to determine his legal relationship with </w:t>
      </w:r>
      <w:r w:rsidR="00EB022B" w:rsidRPr="00267487">
        <w:t>his former wife</w:t>
      </w:r>
      <w:r w:rsidR="00267487" w:rsidRPr="00267487">
        <w:t>’</w:t>
      </w:r>
      <w:r w:rsidR="00774009" w:rsidRPr="00267487">
        <w:t>s son, who was registered as his own</w:t>
      </w:r>
      <w:r w:rsidR="00043EF0" w:rsidRPr="00267487">
        <w:t>,</w:t>
      </w:r>
      <w:r w:rsidR="00EB022B" w:rsidRPr="00267487">
        <w:t xml:space="preserve"> having been born during his marriage to the </w:t>
      </w:r>
      <w:r w:rsidR="00DE2DF9" w:rsidRPr="00267487">
        <w:t>child</w:t>
      </w:r>
      <w:r w:rsidR="00267487" w:rsidRPr="00267487">
        <w:t>’</w:t>
      </w:r>
      <w:r w:rsidR="00DE2DF9" w:rsidRPr="00267487">
        <w:t xml:space="preserve">s </w:t>
      </w:r>
      <w:r w:rsidR="00EB022B" w:rsidRPr="00267487">
        <w:t>mother</w:t>
      </w:r>
      <w:r w:rsidR="00774009" w:rsidRPr="00267487">
        <w:t>.</w:t>
      </w:r>
    </w:p>
    <w:p w:rsidR="00774009" w:rsidRPr="00267487" w:rsidRDefault="00EB022B"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18</w:t>
      </w:r>
      <w:r w:rsidRPr="00267487">
        <w:fldChar w:fldCharType="end"/>
      </w:r>
      <w:r w:rsidRPr="00267487">
        <w:t>.  </w:t>
      </w:r>
      <w:r w:rsidR="00774009" w:rsidRPr="00267487">
        <w:t xml:space="preserve">The </w:t>
      </w:r>
      <w:r w:rsidR="00387CBD" w:rsidRPr="00267487">
        <w:t xml:space="preserve">Court has previously held that the </w:t>
      </w:r>
      <w:r w:rsidR="00774009" w:rsidRPr="00267487">
        <w:t>determination of the father</w:t>
      </w:r>
      <w:r w:rsidR="00267487" w:rsidRPr="00267487">
        <w:t>’</w:t>
      </w:r>
      <w:r w:rsidR="00774009" w:rsidRPr="00267487">
        <w:t>s legal relations</w:t>
      </w:r>
      <w:r w:rsidR="00202020" w:rsidRPr="00267487">
        <w:t>hip</w:t>
      </w:r>
      <w:r w:rsidR="00774009" w:rsidRPr="00267487">
        <w:t xml:space="preserve"> with his putative child </w:t>
      </w:r>
      <w:r w:rsidR="00DE2DF9" w:rsidRPr="00267487">
        <w:t>p</w:t>
      </w:r>
      <w:r w:rsidR="00774009" w:rsidRPr="00267487">
        <w:t>er</w:t>
      </w:r>
      <w:r w:rsidR="00DE2DF9" w:rsidRPr="00267487">
        <w:t>tai</w:t>
      </w:r>
      <w:r w:rsidR="00774009" w:rsidRPr="00267487">
        <w:t>ned</w:t>
      </w:r>
      <w:r w:rsidR="00DE2DF9" w:rsidRPr="00267487">
        <w:t xml:space="preserve"> to</w:t>
      </w:r>
      <w:r w:rsidR="00774009" w:rsidRPr="00267487">
        <w:t xml:space="preserve"> his “private life” (</w:t>
      </w:r>
      <w:r w:rsidR="00387CBD" w:rsidRPr="00267487">
        <w:t xml:space="preserve">see </w:t>
      </w:r>
      <w:r w:rsidR="00D801D3" w:rsidRPr="00267487">
        <w:rPr>
          <w:i/>
          <w:lang w:val="de-DE"/>
        </w:rPr>
        <w:t>Rasmussen v. Denmark</w:t>
      </w:r>
      <w:r w:rsidR="00D801D3" w:rsidRPr="00267487">
        <w:rPr>
          <w:lang w:val="de-DE"/>
        </w:rPr>
        <w:t>, 28 November 1984, § 33, Series A no. 87</w:t>
      </w:r>
      <w:r w:rsidR="00934939" w:rsidRPr="00267487">
        <w:rPr>
          <w:lang w:val="de-DE"/>
        </w:rPr>
        <w:t xml:space="preserve">, and </w:t>
      </w:r>
      <w:r w:rsidR="007F03D3" w:rsidRPr="00267487">
        <w:rPr>
          <w:i/>
        </w:rPr>
        <w:t>R.L. </w:t>
      </w:r>
      <w:r w:rsidR="00934939" w:rsidRPr="00267487">
        <w:rPr>
          <w:i/>
        </w:rPr>
        <w:t>and Others v. Denmark</w:t>
      </w:r>
      <w:r w:rsidR="00934939" w:rsidRPr="00267487">
        <w:t>, no. 52629/11, § 38, 7 March 2017</w:t>
      </w:r>
      <w:r w:rsidR="00D801D3" w:rsidRPr="00267487">
        <w:t>)</w:t>
      </w:r>
      <w:r w:rsidR="001F5A20" w:rsidRPr="00267487">
        <w:t>. While under</w:t>
      </w:r>
      <w:r w:rsidR="00D801D3" w:rsidRPr="00267487">
        <w:t xml:space="preserve"> </w:t>
      </w:r>
      <w:r w:rsidR="001F5A20" w:rsidRPr="00267487">
        <w:t>such circumstances an interference with</w:t>
      </w:r>
      <w:r w:rsidR="00A135E1" w:rsidRPr="00267487">
        <w:t xml:space="preserve"> “family life” </w:t>
      </w:r>
      <w:r w:rsidR="001F5A20" w:rsidRPr="00267487">
        <w:t xml:space="preserve">might also occur, </w:t>
      </w:r>
      <w:r w:rsidR="00A135E1" w:rsidRPr="00267487">
        <w:t xml:space="preserve">the matter undoubtedly concerned </w:t>
      </w:r>
      <w:r w:rsidR="001F5A20" w:rsidRPr="00267487">
        <w:t>the applicant</w:t>
      </w:r>
      <w:r w:rsidR="00267487" w:rsidRPr="00267487">
        <w:t>’</w:t>
      </w:r>
      <w:r w:rsidR="001F5A20" w:rsidRPr="00267487">
        <w:t xml:space="preserve">s </w:t>
      </w:r>
      <w:r w:rsidR="00A135E1" w:rsidRPr="00267487">
        <w:t>“private</w:t>
      </w:r>
      <w:r w:rsidR="00D801D3" w:rsidRPr="00267487">
        <w:t xml:space="preserve"> life” (see </w:t>
      </w:r>
      <w:r w:rsidR="00116180" w:rsidRPr="00267487">
        <w:rPr>
          <w:i/>
        </w:rPr>
        <w:t>Yildirim v. </w:t>
      </w:r>
      <w:r w:rsidR="00774009" w:rsidRPr="00267487">
        <w:rPr>
          <w:i/>
        </w:rPr>
        <w:t>Austria</w:t>
      </w:r>
      <w:r w:rsidR="00387CBD" w:rsidRPr="00267487">
        <w:t xml:space="preserve"> (dec.), no. </w:t>
      </w:r>
      <w:hyperlink r:id="rId14" w:anchor="{&quot;appno&quot;:[&quot;34308/96&quot;]}" w:tgtFrame="_blank" w:history="1">
        <w:r w:rsidR="00774009" w:rsidRPr="00267487">
          <w:t>34308/96</w:t>
        </w:r>
      </w:hyperlink>
      <w:r w:rsidR="00D801D3" w:rsidRPr="00267487">
        <w:t>, 19 October 1999)</w:t>
      </w:r>
      <w:r w:rsidR="00774009" w:rsidRPr="00267487">
        <w:t>.</w:t>
      </w:r>
      <w:r w:rsidRPr="00267487">
        <w:t xml:space="preserve"> </w:t>
      </w:r>
      <w:r w:rsidR="00774009" w:rsidRPr="00267487">
        <w:t>Accordingly, the facts of the</w:t>
      </w:r>
      <w:r w:rsidR="00387CBD" w:rsidRPr="00267487">
        <w:t xml:space="preserve"> present</w:t>
      </w:r>
      <w:r w:rsidR="00774009" w:rsidRPr="00267487">
        <w:t xml:space="preserve"> case fall within the ambit of Article 8.</w:t>
      </w:r>
    </w:p>
    <w:p w:rsidR="00774009" w:rsidRPr="00267487" w:rsidRDefault="00774009" w:rsidP="00267487">
      <w:pPr>
        <w:pStyle w:val="ECHRHeading4"/>
      </w:pPr>
      <w:r w:rsidRPr="00267487">
        <w:t>(b)  General principles</w:t>
      </w:r>
    </w:p>
    <w:p w:rsidR="00E40507"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19</w:t>
      </w:r>
      <w:r w:rsidRPr="00267487">
        <w:fldChar w:fldCharType="end"/>
      </w:r>
      <w:r w:rsidR="00014566" w:rsidRPr="00267487">
        <w:t>.  </w:t>
      </w:r>
      <w:r w:rsidR="00630C29" w:rsidRPr="00267487">
        <w:t>The Court reiterates that</w:t>
      </w:r>
      <w:r w:rsidR="0048476E" w:rsidRPr="00267487">
        <w:t>, w</w:t>
      </w:r>
      <w:r w:rsidR="000E001E" w:rsidRPr="00267487">
        <w:t xml:space="preserve">hether the situations were to be examined from the perspective of positive or negative obligations on the part of the State, the applicable principles were similar. In both contexts </w:t>
      </w:r>
      <w:r w:rsidR="00DE2DF9" w:rsidRPr="00267487">
        <w:t xml:space="preserve">consideration </w:t>
      </w:r>
      <w:r w:rsidR="000E001E" w:rsidRPr="00267487">
        <w:t xml:space="preserve">had to be </w:t>
      </w:r>
      <w:r w:rsidR="00DE2DF9" w:rsidRPr="00267487">
        <w:t>given</w:t>
      </w:r>
      <w:r w:rsidR="000E001E" w:rsidRPr="00267487">
        <w:t xml:space="preserve"> to the fair balance that needed to be struck between the competing interests of the individual and of the community as a whole; and in both contexts the State enjoyed </w:t>
      </w:r>
      <w:r w:rsidR="00E3608E" w:rsidRPr="00267487">
        <w:t xml:space="preserve">a </w:t>
      </w:r>
      <w:r w:rsidR="00EF3790" w:rsidRPr="00267487">
        <w:t>certain</w:t>
      </w:r>
      <w:r w:rsidR="000E001E" w:rsidRPr="00267487">
        <w:t xml:space="preserve"> margin of appreciation (</w:t>
      </w:r>
      <w:r w:rsidR="0016784B" w:rsidRPr="00267487">
        <w:t>see</w:t>
      </w:r>
      <w:r w:rsidR="00FC6CFF" w:rsidRPr="00267487">
        <w:t>, among other authorities,</w:t>
      </w:r>
      <w:r w:rsidR="0016784B" w:rsidRPr="00267487">
        <w:t xml:space="preserve"> </w:t>
      </w:r>
      <w:r w:rsidR="0016784B" w:rsidRPr="00267487">
        <w:rPr>
          <w:i/>
        </w:rPr>
        <w:t>Różański v. Poland</w:t>
      </w:r>
      <w:r w:rsidR="00503D28" w:rsidRPr="00267487">
        <w:t>, no.</w:t>
      </w:r>
      <w:r w:rsidR="0048476E" w:rsidRPr="00267487">
        <w:t xml:space="preserve"> </w:t>
      </w:r>
      <w:r w:rsidR="0016784B" w:rsidRPr="00267487">
        <w:t>55339/00, § 61, 18 May 2006</w:t>
      </w:r>
      <w:r w:rsidR="00DE2DF9" w:rsidRPr="00267487">
        <w:t>, and</w:t>
      </w:r>
      <w:r w:rsidR="000E001E" w:rsidRPr="00267487">
        <w:t xml:space="preserve"> </w:t>
      </w:r>
      <w:r w:rsidR="000E001E" w:rsidRPr="00267487">
        <w:rPr>
          <w:i/>
        </w:rPr>
        <w:t>Keegan v. Ireland</w:t>
      </w:r>
      <w:r w:rsidR="000E001E" w:rsidRPr="00267487">
        <w:t>, judgment of 26 M</w:t>
      </w:r>
      <w:r w:rsidR="00E3608E" w:rsidRPr="00267487">
        <w:t>ay 1994, Series A no. 290, § </w:t>
      </w:r>
      <w:r w:rsidR="00503D28" w:rsidRPr="00267487">
        <w:t>49</w:t>
      </w:r>
      <w:r w:rsidR="000E001E" w:rsidRPr="00267487">
        <w:t xml:space="preserve">). </w:t>
      </w:r>
      <w:r w:rsidR="001111BE" w:rsidRPr="00267487">
        <w:t xml:space="preserve">The Court has clarified in this context that it cannot satisfactorily assess whether </w:t>
      </w:r>
      <w:r w:rsidR="008367B8" w:rsidRPr="00267487">
        <w:t>a fair balance was struck</w:t>
      </w:r>
      <w:r w:rsidR="001111BE" w:rsidRPr="00267487">
        <w:t xml:space="preserve"> for the purposes of Article 8 § 2 without determining whether the decision-making process, seen as a whole, provided the applicant with the requisite protection of his interests (see</w:t>
      </w:r>
      <w:r w:rsidR="008367B8" w:rsidRPr="00267487">
        <w:t xml:space="preserve"> </w:t>
      </w:r>
      <w:r w:rsidR="008367B8" w:rsidRPr="00267487">
        <w:rPr>
          <w:i/>
        </w:rPr>
        <w:t xml:space="preserve">Sommerfeld v. Germany </w:t>
      </w:r>
      <w:r w:rsidR="008367B8" w:rsidRPr="00267487">
        <w:t>[GC],</w:t>
      </w:r>
      <w:r w:rsidR="008367B8" w:rsidRPr="00267487">
        <w:rPr>
          <w:i/>
        </w:rPr>
        <w:t xml:space="preserve"> </w:t>
      </w:r>
      <w:r w:rsidR="008367B8" w:rsidRPr="00267487">
        <w:t>no. 31871/96, § 66, ECHR 2003</w:t>
      </w:r>
      <w:r w:rsidR="008367B8" w:rsidRPr="00267487">
        <w:noBreakHyphen/>
        <w:t>VIII (extracts) with further references</w:t>
      </w:r>
      <w:r w:rsidR="007179EF" w:rsidRPr="00267487">
        <w:t>,</w:t>
      </w:r>
      <w:r w:rsidR="00DE2DF9" w:rsidRPr="00267487">
        <w:t xml:space="preserve"> and</w:t>
      </w:r>
      <w:r w:rsidR="00912BCF" w:rsidRPr="00267487">
        <w:t xml:space="preserve"> </w:t>
      </w:r>
      <w:r w:rsidR="00912BCF" w:rsidRPr="00267487">
        <w:rPr>
          <w:i/>
        </w:rPr>
        <w:t>Krisztián Barnabás Tóth</w:t>
      </w:r>
      <w:r w:rsidR="00A0741A" w:rsidRPr="00267487">
        <w:rPr>
          <w:i/>
        </w:rPr>
        <w:t xml:space="preserve"> v. Hungary</w:t>
      </w:r>
      <w:r w:rsidR="00A0741A" w:rsidRPr="00267487">
        <w:t>, no. 48494/06</w:t>
      </w:r>
      <w:r w:rsidR="00A0741A" w:rsidRPr="00267487">
        <w:rPr>
          <w:snapToGrid w:val="0"/>
        </w:rPr>
        <w:t>, § 32</w:t>
      </w:r>
      <w:r w:rsidR="00FC6CFF" w:rsidRPr="00267487">
        <w:rPr>
          <w:snapToGrid w:val="0"/>
        </w:rPr>
        <w:t xml:space="preserve">, 12 </w:t>
      </w:r>
      <w:r w:rsidR="00A0741A" w:rsidRPr="00267487">
        <w:rPr>
          <w:snapToGrid w:val="0"/>
        </w:rPr>
        <w:t>February 2013</w:t>
      </w:r>
      <w:r w:rsidR="001111BE" w:rsidRPr="00267487">
        <w:t>).</w:t>
      </w:r>
    </w:p>
    <w:p w:rsidR="0048476E" w:rsidRPr="00267487" w:rsidRDefault="00E40507"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20</w:t>
      </w:r>
      <w:r w:rsidRPr="00267487">
        <w:fldChar w:fldCharType="end"/>
      </w:r>
      <w:r w:rsidRPr="00267487">
        <w:t>.  </w:t>
      </w:r>
      <w:r w:rsidR="00D24DF2" w:rsidRPr="00267487">
        <w:t>I</w:t>
      </w:r>
      <w:r w:rsidR="0027583D" w:rsidRPr="00267487">
        <w:t>n the context of applicants wishing to challenge the existing status quo as regards their relationship with</w:t>
      </w:r>
      <w:r w:rsidR="00DE2DF9" w:rsidRPr="00267487">
        <w:t xml:space="preserve"> a</w:t>
      </w:r>
      <w:r w:rsidR="0027583D" w:rsidRPr="00267487">
        <w:t xml:space="preserve"> child, </w:t>
      </w:r>
      <w:r w:rsidR="000E001E" w:rsidRPr="00267487">
        <w:t xml:space="preserve">the Court </w:t>
      </w:r>
      <w:r w:rsidR="0027583D" w:rsidRPr="00267487">
        <w:t>has</w:t>
      </w:r>
      <w:r w:rsidR="000E001E" w:rsidRPr="00267487">
        <w:t xml:space="preserve"> repeatedly found that limitations to the ind</w:t>
      </w:r>
      <w:r w:rsidR="0027583D" w:rsidRPr="00267487">
        <w:t>ividual right to private life</w:t>
      </w:r>
      <w:r w:rsidR="000E001E" w:rsidRPr="00267487">
        <w:t xml:space="preserve"> were justified by considerations of legal certainty in family relations. Furthermore, the Court </w:t>
      </w:r>
      <w:r w:rsidR="0027583D" w:rsidRPr="00267487">
        <w:t xml:space="preserve">has </w:t>
      </w:r>
      <w:r w:rsidR="000E001E" w:rsidRPr="00267487">
        <w:t xml:space="preserve">emphasised that consideration of what </w:t>
      </w:r>
      <w:r w:rsidR="00DE2DF9" w:rsidRPr="00267487">
        <w:t xml:space="preserve">was </w:t>
      </w:r>
      <w:r w:rsidR="000E001E" w:rsidRPr="00267487">
        <w:t>in the best interests of the child concerned was of paramount importance in every case of this kind and that, depending on their nature and seriousness, the child</w:t>
      </w:r>
      <w:r w:rsidR="00267487" w:rsidRPr="00267487">
        <w:t>’</w:t>
      </w:r>
      <w:r w:rsidR="000E001E" w:rsidRPr="00267487">
        <w:t>s best interests might override th</w:t>
      </w:r>
      <w:r w:rsidR="00DE2DF9" w:rsidRPr="00267487">
        <w:t>ose</w:t>
      </w:r>
      <w:r w:rsidR="000E001E" w:rsidRPr="00267487">
        <w:t xml:space="preserve"> of the parents (see </w:t>
      </w:r>
      <w:r w:rsidR="000E001E" w:rsidRPr="00267487">
        <w:rPr>
          <w:i/>
        </w:rPr>
        <w:t>Sommerfeld</w:t>
      </w:r>
      <w:r w:rsidR="004E2C7B" w:rsidRPr="00267487">
        <w:t>, cited above, § 64</w:t>
      </w:r>
      <w:r w:rsidR="000E001E" w:rsidRPr="00267487">
        <w:t xml:space="preserve">, and </w:t>
      </w:r>
      <w:r w:rsidR="000E001E" w:rsidRPr="00267487">
        <w:rPr>
          <w:i/>
        </w:rPr>
        <w:t>Görgülü v. Germany</w:t>
      </w:r>
      <w:r w:rsidR="000E001E" w:rsidRPr="00267487">
        <w:t>, no. 74969/01</w:t>
      </w:r>
      <w:r w:rsidR="001111BE" w:rsidRPr="00267487">
        <w:t>, §</w:t>
      </w:r>
      <w:r w:rsidR="00602547" w:rsidRPr="00267487">
        <w:t xml:space="preserve"> </w:t>
      </w:r>
      <w:r w:rsidRPr="00267487">
        <w:t>43, 26</w:t>
      </w:r>
      <w:r w:rsidR="0048476E" w:rsidRPr="00267487">
        <w:t xml:space="preserve"> </w:t>
      </w:r>
      <w:r w:rsidR="000E001E" w:rsidRPr="00267487">
        <w:t>February 2004).</w:t>
      </w:r>
    </w:p>
    <w:p w:rsidR="0022587F" w:rsidRPr="00267487" w:rsidRDefault="00F17164" w:rsidP="00267487">
      <w:pPr>
        <w:pStyle w:val="ECHRHeading4"/>
        <w:rPr>
          <w:rFonts w:asciiTheme="minorHAnsi" w:eastAsiaTheme="minorEastAsia" w:hAnsiTheme="minorHAnsi" w:cstheme="minorBidi"/>
          <w:b w:val="0"/>
          <w:bCs w:val="0"/>
          <w:iCs w:val="0"/>
          <w:sz w:val="24"/>
        </w:rPr>
      </w:pPr>
      <w:r w:rsidRPr="00267487">
        <w:lastRenderedPageBreak/>
        <w:t>(c)  Application of these principles to the present case</w:t>
      </w:r>
    </w:p>
    <w:p w:rsidR="00F8439E" w:rsidRPr="00267487" w:rsidRDefault="00886CB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21</w:t>
      </w:r>
      <w:r w:rsidRPr="00267487">
        <w:fldChar w:fldCharType="end"/>
      </w:r>
      <w:r w:rsidRPr="00267487">
        <w:t>.  </w:t>
      </w:r>
      <w:r w:rsidR="00FF1ABB" w:rsidRPr="00267487">
        <w:t>The Court</w:t>
      </w:r>
      <w:r w:rsidR="0062217D" w:rsidRPr="00267487">
        <w:t xml:space="preserve"> first</w:t>
      </w:r>
      <w:r w:rsidR="00FF1ABB" w:rsidRPr="00267487">
        <w:t xml:space="preserve"> </w:t>
      </w:r>
      <w:r w:rsidR="0062217D" w:rsidRPr="00267487">
        <w:t>notes</w:t>
      </w:r>
      <w:r w:rsidR="00FF1ABB" w:rsidRPr="00267487">
        <w:t xml:space="preserve"> that there is no dispute between the parties that the domestic court</w:t>
      </w:r>
      <w:r w:rsidR="00DB14FA" w:rsidRPr="00267487">
        <w:t>s</w:t>
      </w:r>
      <w:r w:rsidR="00267487" w:rsidRPr="00267487">
        <w:t>’</w:t>
      </w:r>
      <w:r w:rsidR="00FF1ABB" w:rsidRPr="00267487">
        <w:t xml:space="preserve"> decision to di</w:t>
      </w:r>
      <w:r w:rsidR="00FC6CFF" w:rsidRPr="00267487">
        <w:t>smiss the applicant</w:t>
      </w:r>
      <w:r w:rsidR="00267487" w:rsidRPr="00267487">
        <w:t>’</w:t>
      </w:r>
      <w:r w:rsidR="00FC6CFF" w:rsidRPr="00267487">
        <w:t>s request for</w:t>
      </w:r>
      <w:r w:rsidR="00FF1ABB" w:rsidRPr="00267487">
        <w:t xml:space="preserve"> </w:t>
      </w:r>
      <w:r w:rsidR="00BC23DB" w:rsidRPr="00267487">
        <w:t>bring</w:t>
      </w:r>
      <w:r w:rsidR="00FC6CFF" w:rsidRPr="00267487">
        <w:t>ing</w:t>
      </w:r>
      <w:r w:rsidR="00FF1ABB" w:rsidRPr="00267487">
        <w:t xml:space="preserve"> proceedings </w:t>
      </w:r>
      <w:r w:rsidR="00FC6CFF" w:rsidRPr="00267487">
        <w:t>to contest</w:t>
      </w:r>
      <w:r w:rsidR="00FF1ABB" w:rsidRPr="00267487">
        <w:t xml:space="preserve"> his paternity </w:t>
      </w:r>
      <w:r w:rsidR="00B07344" w:rsidRPr="00267487">
        <w:t>represented an interference with the applicant</w:t>
      </w:r>
      <w:r w:rsidR="00267487" w:rsidRPr="00267487">
        <w:t>’</w:t>
      </w:r>
      <w:r w:rsidR="00B07344" w:rsidRPr="00267487">
        <w:t>s Article 8 rights and</w:t>
      </w:r>
      <w:r w:rsidR="003D6599" w:rsidRPr="00267487">
        <w:t xml:space="preserve"> that it</w:t>
      </w:r>
      <w:r w:rsidR="00B07344" w:rsidRPr="00267487">
        <w:t xml:space="preserve"> </w:t>
      </w:r>
      <w:r w:rsidR="00FF1ABB" w:rsidRPr="00267487">
        <w:t>was “in accordance with the law”</w:t>
      </w:r>
      <w:r w:rsidR="00F13467" w:rsidRPr="00267487">
        <w:t xml:space="preserve"> (see paragraphs 8, 10 and 11 above)</w:t>
      </w:r>
      <w:r w:rsidR="00FF1ABB" w:rsidRPr="00267487">
        <w:t>.</w:t>
      </w:r>
    </w:p>
    <w:p w:rsidR="00F8439E" w:rsidRPr="00267487" w:rsidRDefault="003D6599"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22</w:t>
      </w:r>
      <w:r w:rsidRPr="00267487">
        <w:fldChar w:fldCharType="end"/>
      </w:r>
      <w:r w:rsidRPr="00267487">
        <w:t>.  </w:t>
      </w:r>
      <w:r w:rsidR="00CA405B" w:rsidRPr="00267487">
        <w:t>As to whether it pursued a legitimate aim, the Court finds that the strict application of a year-long time-limit for the institution of such proceedings could be said to be justified by the objective of ensuring legal certainty as regards recognised parental affiliation and related support, and the general interest of society to see stability in civil relations and individuals</w:t>
      </w:r>
      <w:r w:rsidR="00267487" w:rsidRPr="00267487">
        <w:t>’</w:t>
      </w:r>
      <w:r w:rsidR="00CA405B" w:rsidRPr="00267487">
        <w:t xml:space="preserve"> origin upheld</w:t>
      </w:r>
      <w:r w:rsidR="009C4DFE" w:rsidRPr="00267487">
        <w:t xml:space="preserve"> (see, </w:t>
      </w:r>
      <w:r w:rsidR="00EF4EC0" w:rsidRPr="00267487">
        <w:rPr>
          <w:i/>
        </w:rPr>
        <w:t>mutatis mutandis</w:t>
      </w:r>
      <w:r w:rsidR="009C4DFE" w:rsidRPr="00267487">
        <w:t>,</w:t>
      </w:r>
      <w:r w:rsidR="00F91903" w:rsidRPr="00267487">
        <w:t xml:space="preserve"> </w:t>
      </w:r>
      <w:r w:rsidR="00F91903" w:rsidRPr="00267487">
        <w:rPr>
          <w:i/>
        </w:rPr>
        <w:t>Mizzi v. Malta</w:t>
      </w:r>
      <w:r w:rsidR="007C1726" w:rsidRPr="00267487">
        <w:t>, no. </w:t>
      </w:r>
      <w:r w:rsidR="00F91903" w:rsidRPr="00267487">
        <w:t>26111/02</w:t>
      </w:r>
      <w:r w:rsidR="007C1726" w:rsidRPr="00267487">
        <w:t xml:space="preserve">, § </w:t>
      </w:r>
      <w:r w:rsidR="00F91903" w:rsidRPr="00267487">
        <w:t>88, ECHR 2006</w:t>
      </w:r>
      <w:r w:rsidR="00F91903" w:rsidRPr="00267487">
        <w:noBreakHyphen/>
      </w:r>
      <w:r w:rsidR="00DB14FA" w:rsidRPr="00267487">
        <w:t>I</w:t>
      </w:r>
      <w:r w:rsidR="00E91031" w:rsidRPr="00267487">
        <w:t xml:space="preserve"> (extracts); </w:t>
      </w:r>
      <w:r w:rsidR="00F91903" w:rsidRPr="00267487">
        <w:rPr>
          <w:i/>
        </w:rPr>
        <w:t>Rasmussen</w:t>
      </w:r>
      <w:r w:rsidR="007C1726" w:rsidRPr="00267487">
        <w:t>, cited above § </w:t>
      </w:r>
      <w:r w:rsidR="00E91031" w:rsidRPr="00267487">
        <w:t>41, and</w:t>
      </w:r>
      <w:r w:rsidR="00F91903" w:rsidRPr="00267487">
        <w:t xml:space="preserve"> </w:t>
      </w:r>
      <w:r w:rsidR="00F91903" w:rsidRPr="00267487">
        <w:rPr>
          <w:i/>
        </w:rPr>
        <w:t>Shofman v. Russia</w:t>
      </w:r>
      <w:r w:rsidR="00F91903" w:rsidRPr="00267487">
        <w:t>, no.</w:t>
      </w:r>
      <w:r w:rsidR="002E70F9" w:rsidRPr="00267487">
        <w:t xml:space="preserve"> </w:t>
      </w:r>
      <w:r w:rsidR="00F91903" w:rsidRPr="00267487">
        <w:t>74826/01, § 39, 24 November 2009</w:t>
      </w:r>
      <w:r w:rsidR="009C4DFE" w:rsidRPr="00267487">
        <w:t>).</w:t>
      </w:r>
    </w:p>
    <w:p w:rsidR="00C916C8" w:rsidRPr="00267487" w:rsidRDefault="00E00A82"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23</w:t>
      </w:r>
      <w:r w:rsidRPr="00267487">
        <w:fldChar w:fldCharType="end"/>
      </w:r>
      <w:r w:rsidRPr="00267487">
        <w:t>.  </w:t>
      </w:r>
      <w:r w:rsidR="003917E4" w:rsidRPr="00267487">
        <w:t>It remains to be established</w:t>
      </w:r>
      <w:r w:rsidR="00544A57" w:rsidRPr="00267487">
        <w:t xml:space="preserve"> whether not </w:t>
      </w:r>
      <w:r w:rsidR="007831FC" w:rsidRPr="00267487">
        <w:t>accepting to hear</w:t>
      </w:r>
      <w:r w:rsidR="00544A57" w:rsidRPr="00267487">
        <w:t xml:space="preserve"> such </w:t>
      </w:r>
      <w:r w:rsidR="007831FC" w:rsidRPr="00267487">
        <w:t>a claim</w:t>
      </w:r>
      <w:r w:rsidR="00FA7AE2" w:rsidRPr="00267487">
        <w:t xml:space="preserve"> for contesting paternity</w:t>
      </w:r>
      <w:r w:rsidR="00180B5D" w:rsidRPr="00267487">
        <w:t xml:space="preserve"> by reference to the applicable law</w:t>
      </w:r>
      <w:r w:rsidR="00FA7AE2" w:rsidRPr="00267487">
        <w:t xml:space="preserve"> was</w:t>
      </w:r>
      <w:r w:rsidR="00544A57" w:rsidRPr="00267487">
        <w:t xml:space="preserve"> </w:t>
      </w:r>
      <w:r w:rsidR="00C63DDF" w:rsidRPr="00267487">
        <w:t>“</w:t>
      </w:r>
      <w:r w:rsidR="00544A57" w:rsidRPr="00267487">
        <w:t>necessary in a democratic society</w:t>
      </w:r>
      <w:r w:rsidR="00C63DDF" w:rsidRPr="00267487">
        <w:t>”</w:t>
      </w:r>
      <w:r w:rsidR="00F97FE9" w:rsidRPr="00267487">
        <w:t xml:space="preserve"> </w:t>
      </w:r>
      <w:r w:rsidR="00BC23DB" w:rsidRPr="00267487">
        <w:t>or</w:t>
      </w:r>
      <w:r w:rsidR="00F97FE9" w:rsidRPr="00267487">
        <w:t xml:space="preserve">, in other words, </w:t>
      </w:r>
      <w:r w:rsidR="00FD4F84" w:rsidRPr="00267487">
        <w:t xml:space="preserve">whether the authorities struck a fair balance </w:t>
      </w:r>
      <w:r w:rsidR="00F97FE9" w:rsidRPr="00267487">
        <w:t>between the different interests involved</w:t>
      </w:r>
      <w:r w:rsidR="00FD4F84" w:rsidRPr="00267487">
        <w:t>.</w:t>
      </w:r>
    </w:p>
    <w:p w:rsidR="00CA405B" w:rsidRPr="00267487" w:rsidRDefault="00E00A82"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24</w:t>
      </w:r>
      <w:r w:rsidRPr="00267487">
        <w:fldChar w:fldCharType="end"/>
      </w:r>
      <w:r w:rsidRPr="00267487">
        <w:t>.  </w:t>
      </w:r>
      <w:r w:rsidR="00CA405B" w:rsidRPr="00267487">
        <w:t>The Court notes that the introduction of a general measure in the form of a legislative response designed to deal with a certain type of situation might be an appropriate means to ensure the fair balance referred to above (see paragraph 19 above). However, an excessively strict statutory limitation on an applicant</w:t>
      </w:r>
      <w:r w:rsidR="00267487" w:rsidRPr="00267487">
        <w:t>’</w:t>
      </w:r>
      <w:r w:rsidR="00CA405B" w:rsidRPr="00267487">
        <w:t>s possibility to contest paternity – in the present case one year starting from the birth of the child rather than from the moment the applicant became aware that he might not be the father of the child – cannot be said to constitute a proportionate balancing of the competing interests involved. While the legislator</w:t>
      </w:r>
      <w:r w:rsidR="00267487" w:rsidRPr="00267487">
        <w:t>’</w:t>
      </w:r>
      <w:r w:rsidR="00CA405B" w:rsidRPr="00267487">
        <w:t>s choice to limit that possibility in time could not be characterised as either irrational or arbitrary, the Court finds that it cannot be considered proportionate in view of the particular interests at stake and the rigidity with which it operated in all cases. In particular, it failed to provide for any procedure that would allow the consideration of the individual circumstances of persons who, like the applicant, fell outside the legal limitation period for reasons which could not be imputed to them.</w:t>
      </w:r>
    </w:p>
    <w:p w:rsidR="00F8439E" w:rsidRPr="00267487" w:rsidRDefault="004100B9"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25</w:t>
      </w:r>
      <w:r w:rsidRPr="00267487">
        <w:fldChar w:fldCharType="end"/>
      </w:r>
      <w:r w:rsidRPr="00267487">
        <w:t>.  </w:t>
      </w:r>
      <w:r w:rsidR="009E3787" w:rsidRPr="00267487">
        <w:t xml:space="preserve">The Court </w:t>
      </w:r>
      <w:r w:rsidR="00B93184" w:rsidRPr="00267487">
        <w:t>observes</w:t>
      </w:r>
      <w:r w:rsidR="008358A0" w:rsidRPr="00267487">
        <w:t xml:space="preserve"> in that connection</w:t>
      </w:r>
      <w:r w:rsidR="009E3787" w:rsidRPr="00267487">
        <w:t xml:space="preserve"> that its task is not to substitute itself for the competent domestic authorities in regulating paternity disputes at the national level, but rather to review under the Convention the decisions that those authorities</w:t>
      </w:r>
      <w:r w:rsidR="00E91031" w:rsidRPr="00267487">
        <w:t xml:space="preserve"> </w:t>
      </w:r>
      <w:r w:rsidR="009E3787" w:rsidRPr="00267487">
        <w:t>have taken in the exercise of their power of appreciation (see</w:t>
      </w:r>
      <w:r w:rsidR="00F82900" w:rsidRPr="00267487">
        <w:t xml:space="preserve"> </w:t>
      </w:r>
      <w:r w:rsidR="00F82900" w:rsidRPr="00267487">
        <w:rPr>
          <w:i/>
        </w:rPr>
        <w:t>Krisztián Barnabás Tóth</w:t>
      </w:r>
      <w:r w:rsidR="00F82900" w:rsidRPr="00267487">
        <w:rPr>
          <w:snapToGrid w:val="0"/>
        </w:rPr>
        <w:t>,</w:t>
      </w:r>
      <w:r w:rsidR="00A0741A" w:rsidRPr="00267487">
        <w:rPr>
          <w:snapToGrid w:val="0"/>
        </w:rPr>
        <w:t xml:space="preserve"> cited above,</w:t>
      </w:r>
      <w:r w:rsidR="00F82900" w:rsidRPr="00267487">
        <w:rPr>
          <w:snapToGrid w:val="0"/>
        </w:rPr>
        <w:t xml:space="preserve"> § 32</w:t>
      </w:r>
      <w:r w:rsidR="00DE2DF9" w:rsidRPr="00267487">
        <w:t>, and</w:t>
      </w:r>
      <w:r w:rsidR="009E3787" w:rsidRPr="00267487">
        <w:t xml:space="preserve"> </w:t>
      </w:r>
      <w:r w:rsidR="00870F21" w:rsidRPr="00267487">
        <w:rPr>
          <w:i/>
        </w:rPr>
        <w:t>A.L.</w:t>
      </w:r>
      <w:r w:rsidR="007F03D3" w:rsidRPr="00267487">
        <w:t> </w:t>
      </w:r>
      <w:r w:rsidR="00116180" w:rsidRPr="00267487">
        <w:rPr>
          <w:i/>
        </w:rPr>
        <w:t>v. </w:t>
      </w:r>
      <w:r w:rsidR="00870F21" w:rsidRPr="00267487">
        <w:rPr>
          <w:i/>
        </w:rPr>
        <w:t>Poland</w:t>
      </w:r>
      <w:r w:rsidR="0074774B" w:rsidRPr="00267487">
        <w:t>, no.</w:t>
      </w:r>
      <w:r w:rsidR="00546C6E" w:rsidRPr="00267487">
        <w:t xml:space="preserve"> </w:t>
      </w:r>
      <w:r w:rsidR="00870F21" w:rsidRPr="00267487">
        <w:t>28609/08</w:t>
      </w:r>
      <w:r w:rsidR="00870F21" w:rsidRPr="00267487">
        <w:rPr>
          <w:snapToGrid w:val="0"/>
        </w:rPr>
        <w:t>, § 66, 18 February 2014</w:t>
      </w:r>
      <w:r w:rsidR="009E3787" w:rsidRPr="00267487">
        <w:t>). Accordingly, the Court finds that it is called upon to examine whether, in handling the applicant</w:t>
      </w:r>
      <w:r w:rsidR="00267487" w:rsidRPr="00267487">
        <w:t>’</w:t>
      </w:r>
      <w:r w:rsidR="009E3787" w:rsidRPr="00267487">
        <w:t xml:space="preserve">s claim contesting his paternity, </w:t>
      </w:r>
      <w:r w:rsidR="007179EF" w:rsidRPr="00267487">
        <w:t xml:space="preserve">the respondent State </w:t>
      </w:r>
      <w:r w:rsidR="009E3787" w:rsidRPr="00267487">
        <w:t>complied with the requirements of Article 8 of the Convention.</w:t>
      </w:r>
    </w:p>
    <w:p w:rsidR="005E6A8B"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26</w:t>
      </w:r>
      <w:r w:rsidRPr="00267487">
        <w:fldChar w:fldCharType="end"/>
      </w:r>
      <w:r w:rsidRPr="00267487">
        <w:t>.  </w:t>
      </w:r>
      <w:r w:rsidR="009E3787" w:rsidRPr="00267487">
        <w:t>T</w:t>
      </w:r>
      <w:r w:rsidR="005E7C1C" w:rsidRPr="00267487">
        <w:t>he Court</w:t>
      </w:r>
      <w:r w:rsidR="009E3787" w:rsidRPr="00267487">
        <w:t xml:space="preserve"> </w:t>
      </w:r>
      <w:r w:rsidR="00C916C8" w:rsidRPr="00267487">
        <w:t>reiterates</w:t>
      </w:r>
      <w:r w:rsidR="009E3787" w:rsidRPr="00267487">
        <w:t xml:space="preserve"> that</w:t>
      </w:r>
      <w:r w:rsidR="005E004C" w:rsidRPr="00267487">
        <w:t xml:space="preserve"> the State enjoyed a </w:t>
      </w:r>
      <w:r w:rsidR="00EF3790" w:rsidRPr="00267487">
        <w:t>wider</w:t>
      </w:r>
      <w:r w:rsidR="005E004C" w:rsidRPr="00267487">
        <w:t xml:space="preserve"> margin of appreciation in </w:t>
      </w:r>
      <w:r w:rsidR="009E3787" w:rsidRPr="00267487">
        <w:t>dealing with the applicant</w:t>
      </w:r>
      <w:r w:rsidR="00267487" w:rsidRPr="00267487">
        <w:t>’</w:t>
      </w:r>
      <w:r w:rsidR="009E3787" w:rsidRPr="00267487">
        <w:t>s claim</w:t>
      </w:r>
      <w:r w:rsidR="005E004C" w:rsidRPr="00267487">
        <w:t xml:space="preserve">, given that </w:t>
      </w:r>
      <w:r w:rsidR="009E3787" w:rsidRPr="00267487">
        <w:t>the latter</w:t>
      </w:r>
      <w:r w:rsidR="005E004C" w:rsidRPr="00267487">
        <w:t xml:space="preserve"> ultimately </w:t>
      </w:r>
      <w:r w:rsidR="006A1244" w:rsidRPr="00267487">
        <w:t xml:space="preserve">concerned </w:t>
      </w:r>
      <w:r w:rsidR="005E004C" w:rsidRPr="00267487">
        <w:t>the child</w:t>
      </w:r>
      <w:r w:rsidR="00267487" w:rsidRPr="00267487">
        <w:t>’</w:t>
      </w:r>
      <w:r w:rsidR="009E3787" w:rsidRPr="00267487">
        <w:t>s legal status</w:t>
      </w:r>
      <w:r w:rsidR="006A1244" w:rsidRPr="00267487">
        <w:t>,</w:t>
      </w:r>
      <w:r w:rsidR="009E3787" w:rsidRPr="00267487">
        <w:t xml:space="preserve"> as opposed to contact or information rights</w:t>
      </w:r>
      <w:r w:rsidR="00DE2DF9" w:rsidRPr="00267487">
        <w:t>,</w:t>
      </w:r>
      <w:r w:rsidR="009E3787" w:rsidRPr="00267487">
        <w:t xml:space="preserve"> where the Court</w:t>
      </w:r>
      <w:r w:rsidR="00267487" w:rsidRPr="00267487">
        <w:t>’</w:t>
      </w:r>
      <w:r w:rsidR="00DB14FA" w:rsidRPr="00267487">
        <w:t>s scrutiny h</w:t>
      </w:r>
      <w:r w:rsidR="009E3787" w:rsidRPr="00267487">
        <w:t>as</w:t>
      </w:r>
      <w:r w:rsidR="00DB14FA" w:rsidRPr="00267487">
        <w:t xml:space="preserve"> been</w:t>
      </w:r>
      <w:r w:rsidR="009E3787" w:rsidRPr="00267487">
        <w:t xml:space="preserve"> tighter</w:t>
      </w:r>
      <w:r w:rsidR="00B11CE2" w:rsidRPr="00267487">
        <w:t xml:space="preserve"> and the State</w:t>
      </w:r>
      <w:r w:rsidR="00267487" w:rsidRPr="00267487">
        <w:t>’</w:t>
      </w:r>
      <w:r w:rsidR="00B11CE2" w:rsidRPr="00267487">
        <w:t>s margin</w:t>
      </w:r>
      <w:r w:rsidR="007179EF" w:rsidRPr="00267487">
        <w:t xml:space="preserve"> of appreciation</w:t>
      </w:r>
      <w:r w:rsidR="00B11CE2" w:rsidRPr="00267487">
        <w:t xml:space="preserve"> smaller</w:t>
      </w:r>
      <w:r w:rsidR="009E3787" w:rsidRPr="00267487">
        <w:t xml:space="preserve"> (see, similarly, </w:t>
      </w:r>
      <w:r w:rsidR="009E3787" w:rsidRPr="00267487">
        <w:rPr>
          <w:i/>
        </w:rPr>
        <w:lastRenderedPageBreak/>
        <w:t>Kautzor v. Germany</w:t>
      </w:r>
      <w:r w:rsidR="009E3787" w:rsidRPr="00267487">
        <w:t>, no.</w:t>
      </w:r>
      <w:r w:rsidR="007C1726" w:rsidRPr="00267487">
        <w:t> </w:t>
      </w:r>
      <w:r w:rsidR="009E3787" w:rsidRPr="00267487">
        <w:t>23338/09, §</w:t>
      </w:r>
      <w:r w:rsidR="00463026" w:rsidRPr="00267487">
        <w:t>§ 72 and 78</w:t>
      </w:r>
      <w:r w:rsidR="009E3787" w:rsidRPr="00267487">
        <w:t xml:space="preserve">, 22 March 2012; </w:t>
      </w:r>
      <w:r w:rsidR="009E3787" w:rsidRPr="00267487">
        <w:rPr>
          <w:i/>
        </w:rPr>
        <w:t>Ahrens v. Germany</w:t>
      </w:r>
      <w:r w:rsidR="00CF375E" w:rsidRPr="00267487">
        <w:t>, no. 45071/09, § 70</w:t>
      </w:r>
      <w:r w:rsidR="009E3787" w:rsidRPr="00267487">
        <w:t>, 22 March 2012</w:t>
      </w:r>
      <w:r w:rsidR="008B4C34" w:rsidRPr="00267487">
        <w:t>,</w:t>
      </w:r>
      <w:r w:rsidR="00870F21" w:rsidRPr="00267487">
        <w:t xml:space="preserve"> </w:t>
      </w:r>
      <w:r w:rsidR="007179EF" w:rsidRPr="00267487">
        <w:t xml:space="preserve">and </w:t>
      </w:r>
      <w:r w:rsidR="00870F21" w:rsidRPr="00267487">
        <w:rPr>
          <w:i/>
        </w:rPr>
        <w:t>A.L</w:t>
      </w:r>
      <w:r w:rsidR="00870F21" w:rsidRPr="00267487">
        <w:t>., cited above,</w:t>
      </w:r>
      <w:r w:rsidR="00870F21" w:rsidRPr="00267487">
        <w:rPr>
          <w:i/>
        </w:rPr>
        <w:t xml:space="preserve"> </w:t>
      </w:r>
      <w:r w:rsidR="00870F21" w:rsidRPr="00267487">
        <w:rPr>
          <w:snapToGrid w:val="0"/>
        </w:rPr>
        <w:t>§ 68</w:t>
      </w:r>
      <w:r w:rsidR="009E3787" w:rsidRPr="00267487">
        <w:t xml:space="preserve">). </w:t>
      </w:r>
      <w:r w:rsidR="00B11CE2" w:rsidRPr="00267487">
        <w:t>As a part of that margin</w:t>
      </w:r>
      <w:r w:rsidR="009356D5" w:rsidRPr="00267487">
        <w:t xml:space="preserve"> of appreciation</w:t>
      </w:r>
      <w:r w:rsidR="006A1244" w:rsidRPr="00267487">
        <w:t>, the national law</w:t>
      </w:r>
      <w:r w:rsidR="000C472C" w:rsidRPr="00267487">
        <w:t xml:space="preserve"> in the present case</w:t>
      </w:r>
      <w:r w:rsidR="006A1244" w:rsidRPr="00267487">
        <w:t xml:space="preserve"> provided legally presumed fathers </w:t>
      </w:r>
      <w:r w:rsidR="00DE2DF9" w:rsidRPr="00267487">
        <w:t xml:space="preserve">with the possibility </w:t>
      </w:r>
      <w:r w:rsidR="006A1244" w:rsidRPr="00267487">
        <w:t>o</w:t>
      </w:r>
      <w:r w:rsidR="00DE2DF9" w:rsidRPr="00267487">
        <w:t>f</w:t>
      </w:r>
      <w:r w:rsidR="006A1244" w:rsidRPr="00267487">
        <w:t xml:space="preserve"> challeng</w:t>
      </w:r>
      <w:r w:rsidR="00DE2DF9" w:rsidRPr="00267487">
        <w:t>ing</w:t>
      </w:r>
      <w:r w:rsidR="006A1244" w:rsidRPr="00267487">
        <w:t xml:space="preserve"> their paternity</w:t>
      </w:r>
      <w:r w:rsidR="00DE2DF9" w:rsidRPr="00267487">
        <w:t xml:space="preserve"> in court</w:t>
      </w:r>
      <w:r w:rsidR="006A1244" w:rsidRPr="00267487">
        <w:t xml:space="preserve">; however, this possibility was </w:t>
      </w:r>
      <w:r w:rsidR="00886CBF" w:rsidRPr="00267487">
        <w:t xml:space="preserve">strictly </w:t>
      </w:r>
      <w:r w:rsidR="006A1244" w:rsidRPr="00267487">
        <w:t xml:space="preserve">limited </w:t>
      </w:r>
      <w:r w:rsidR="00283C8E" w:rsidRPr="00267487">
        <w:t xml:space="preserve">in time </w:t>
      </w:r>
      <w:r w:rsidR="006A1244" w:rsidRPr="00267487">
        <w:t xml:space="preserve">to a year from the </w:t>
      </w:r>
      <w:r w:rsidR="00363202" w:rsidRPr="00267487">
        <w:t xml:space="preserve">date </w:t>
      </w:r>
      <w:r w:rsidR="006A1244" w:rsidRPr="00267487">
        <w:t>of learning about the child</w:t>
      </w:r>
      <w:r w:rsidR="00267487" w:rsidRPr="00267487">
        <w:t>’</w:t>
      </w:r>
      <w:r w:rsidR="006A1244" w:rsidRPr="00267487">
        <w:t>s birth.</w:t>
      </w:r>
    </w:p>
    <w:p w:rsidR="005E6A8B"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27</w:t>
      </w:r>
      <w:r w:rsidRPr="00267487">
        <w:fldChar w:fldCharType="end"/>
      </w:r>
      <w:r w:rsidRPr="00267487">
        <w:t>.  </w:t>
      </w:r>
      <w:r w:rsidR="00071AA0" w:rsidRPr="00267487">
        <w:t>The Court</w:t>
      </w:r>
      <w:r w:rsidR="001C5147" w:rsidRPr="00267487">
        <w:t xml:space="preserve"> </w:t>
      </w:r>
      <w:r w:rsidR="00071AA0" w:rsidRPr="00267487">
        <w:t>notes that</w:t>
      </w:r>
      <w:r w:rsidR="008F4C7C" w:rsidRPr="00267487">
        <w:t xml:space="preserve">, at the time when the child in respect of whom the applicant wished to contest paternity was born, </w:t>
      </w:r>
      <w:r w:rsidR="000D35B4" w:rsidRPr="00267487">
        <w:t>t</w:t>
      </w:r>
      <w:r w:rsidR="008F4C7C" w:rsidRPr="00267487">
        <w:t>he</w:t>
      </w:r>
      <w:r w:rsidR="000D35B4" w:rsidRPr="00267487">
        <w:t xml:space="preserve"> applicant</w:t>
      </w:r>
      <w:r w:rsidR="008F4C7C" w:rsidRPr="00267487">
        <w:t xml:space="preserve"> was married to the child</w:t>
      </w:r>
      <w:r w:rsidR="00267487" w:rsidRPr="00267487">
        <w:t>’</w:t>
      </w:r>
      <w:r w:rsidR="008F4C7C" w:rsidRPr="00267487">
        <w:t>s mother. As a result of this he was considered</w:t>
      </w:r>
      <w:r w:rsidR="007179EF" w:rsidRPr="00267487">
        <w:t xml:space="preserve"> to be</w:t>
      </w:r>
      <w:r w:rsidR="008F4C7C" w:rsidRPr="00267487">
        <w:t xml:space="preserve"> the child</w:t>
      </w:r>
      <w:r w:rsidR="00267487" w:rsidRPr="00267487">
        <w:t>’</w:t>
      </w:r>
      <w:r w:rsidR="008F4C7C" w:rsidRPr="00267487">
        <w:t>s father. He continued to live with the mother and the child as a family for about three years after the child</w:t>
      </w:r>
      <w:r w:rsidR="00267487" w:rsidRPr="00267487">
        <w:t>’</w:t>
      </w:r>
      <w:r w:rsidR="008F4C7C" w:rsidRPr="00267487">
        <w:t xml:space="preserve">s birth and before he and the mother divorced. </w:t>
      </w:r>
      <w:r w:rsidR="006C5060" w:rsidRPr="00267487">
        <w:t xml:space="preserve">Consequently, the applicant had established a parental relationship with the child in question, both in law and in practice and </w:t>
      </w:r>
      <w:r w:rsidR="00165316" w:rsidRPr="00267487">
        <w:t xml:space="preserve">it was in the interest of </w:t>
      </w:r>
      <w:r w:rsidR="006C5060" w:rsidRPr="00267487">
        <w:t xml:space="preserve">the child to rely on the stability and continuity of this relationship, despite the subsequent divorce of his </w:t>
      </w:r>
      <w:r w:rsidR="00685CEE" w:rsidRPr="00267487">
        <w:t xml:space="preserve">legal </w:t>
      </w:r>
      <w:r w:rsidR="006C5060" w:rsidRPr="00267487">
        <w:t xml:space="preserve">parents. </w:t>
      </w:r>
      <w:r w:rsidR="00973B3E" w:rsidRPr="00267487">
        <w:t>When the applicant challenged his paternity</w:t>
      </w:r>
      <w:r w:rsidR="003368D2" w:rsidRPr="00267487">
        <w:t>,</w:t>
      </w:r>
      <w:r w:rsidR="00973B3E" w:rsidRPr="00267487">
        <w:t xml:space="preserve"> the domestic courts dismissed his claim</w:t>
      </w:r>
      <w:r w:rsidR="000D35B4" w:rsidRPr="00267487">
        <w:t>,</w:t>
      </w:r>
      <w:r w:rsidR="00973B3E" w:rsidRPr="00267487">
        <w:t xml:space="preserve"> finding </w:t>
      </w:r>
      <w:r w:rsidR="00DF1B96" w:rsidRPr="00267487">
        <w:t xml:space="preserve">that </w:t>
      </w:r>
      <w:r w:rsidR="00973B3E" w:rsidRPr="00267487">
        <w:t>it</w:t>
      </w:r>
      <w:r w:rsidR="000D35B4" w:rsidRPr="00267487">
        <w:t xml:space="preserve"> had been</w:t>
      </w:r>
      <w:r w:rsidR="00973B3E" w:rsidRPr="00267487">
        <w:t xml:space="preserve"> submitted </w:t>
      </w:r>
      <w:r w:rsidR="007179EF" w:rsidRPr="00267487">
        <w:t xml:space="preserve">after expiry </w:t>
      </w:r>
      <w:r w:rsidR="00973B3E" w:rsidRPr="00267487">
        <w:t>of the time-limit under the law</w:t>
      </w:r>
      <w:r w:rsidR="001D6294" w:rsidRPr="00267487">
        <w:t xml:space="preserve"> (see paragraph 8 above)</w:t>
      </w:r>
      <w:r w:rsidR="00CC520A" w:rsidRPr="00267487">
        <w:t>.</w:t>
      </w:r>
    </w:p>
    <w:p w:rsidR="00CC520A"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28</w:t>
      </w:r>
      <w:r w:rsidRPr="00267487">
        <w:fldChar w:fldCharType="end"/>
      </w:r>
      <w:r w:rsidRPr="00267487">
        <w:t>.  </w:t>
      </w:r>
      <w:r w:rsidR="004C0E46" w:rsidRPr="00267487">
        <w:t>I</w:t>
      </w:r>
      <w:r w:rsidR="00AC304B" w:rsidRPr="00267487">
        <w:t xml:space="preserve">n an earlier case (see </w:t>
      </w:r>
      <w:r w:rsidR="00EC1D7A" w:rsidRPr="00267487">
        <w:rPr>
          <w:i/>
        </w:rPr>
        <w:t>Yildirim</w:t>
      </w:r>
      <w:r w:rsidR="004C0E46" w:rsidRPr="00267487">
        <w:t xml:space="preserve">, </w:t>
      </w:r>
      <w:r w:rsidR="00480BE5" w:rsidRPr="00267487">
        <w:t>cited above</w:t>
      </w:r>
      <w:r w:rsidR="00AC304B" w:rsidRPr="00267487">
        <w:t>), the Court found that “once the limitation period for the applicant</w:t>
      </w:r>
      <w:r w:rsidR="00267487" w:rsidRPr="00267487">
        <w:t>’</w:t>
      </w:r>
      <w:r w:rsidR="00AC304B" w:rsidRPr="00267487">
        <w:t>s own claim to contest paternity had expired, greater weight was given to the interests of the child than to the applicant</w:t>
      </w:r>
      <w:r w:rsidR="00267487" w:rsidRPr="00267487">
        <w:t>’</w:t>
      </w:r>
      <w:r w:rsidR="00AC304B" w:rsidRPr="00267487">
        <w:t>s interest in disproving his paternity”. However, this</w:t>
      </w:r>
      <w:r w:rsidR="00E33A66" w:rsidRPr="00267487">
        <w:t xml:space="preserve"> </w:t>
      </w:r>
      <w:r w:rsidR="00EC1D7A" w:rsidRPr="00267487">
        <w:t>finding was made against a background whereby</w:t>
      </w:r>
      <w:r w:rsidR="00AC304B" w:rsidRPr="00267487">
        <w:t xml:space="preserve"> the applicant had known that he was not the father from the first day of the child</w:t>
      </w:r>
      <w:r w:rsidR="00267487" w:rsidRPr="00267487">
        <w:t>’</w:t>
      </w:r>
      <w:r w:rsidR="00AC304B" w:rsidRPr="00267487">
        <w:t>s life but – for reasons unconnected with the law – had taken no steps to contest paternity within the statutory time-limit (see</w:t>
      </w:r>
      <w:r w:rsidR="00A20CE0" w:rsidRPr="00267487">
        <w:t xml:space="preserve"> for a similar approach</w:t>
      </w:r>
      <w:r w:rsidR="00AC304B" w:rsidRPr="00267487">
        <w:t xml:space="preserve"> </w:t>
      </w:r>
      <w:r w:rsidR="00FF34C7" w:rsidRPr="00267487">
        <w:rPr>
          <w:i/>
        </w:rPr>
        <w:t>Shofman</w:t>
      </w:r>
      <w:r w:rsidR="00FF34C7" w:rsidRPr="00267487">
        <w:t xml:space="preserve">, </w:t>
      </w:r>
      <w:r w:rsidR="008B7D24" w:rsidRPr="00267487">
        <w:t>cited above</w:t>
      </w:r>
      <w:r w:rsidR="008824BB" w:rsidRPr="00267487">
        <w:t>, § </w:t>
      </w:r>
      <w:r w:rsidR="00FF34C7" w:rsidRPr="00267487">
        <w:t>39</w:t>
      </w:r>
      <w:r w:rsidR="00AC304B" w:rsidRPr="00267487">
        <w:t>).</w:t>
      </w:r>
    </w:p>
    <w:p w:rsidR="00F17493" w:rsidRPr="00267487" w:rsidRDefault="00E14134" w:rsidP="00267487">
      <w:pPr>
        <w:pStyle w:val="ECHRPara"/>
        <w:rPr>
          <w:rFonts w:eastAsia="Times New Roman"/>
        </w:rPr>
      </w:pPr>
      <w:r w:rsidRPr="00267487">
        <w:fldChar w:fldCharType="begin"/>
      </w:r>
      <w:r w:rsidRPr="00267487">
        <w:instrText xml:space="preserve"> SEQ level0 \*arabic </w:instrText>
      </w:r>
      <w:r w:rsidRPr="00267487">
        <w:fldChar w:fldCharType="separate"/>
      </w:r>
      <w:r w:rsidR="00267487" w:rsidRPr="00267487">
        <w:rPr>
          <w:noProof/>
        </w:rPr>
        <w:t>29</w:t>
      </w:r>
      <w:r w:rsidRPr="00267487">
        <w:fldChar w:fldCharType="end"/>
      </w:r>
      <w:r w:rsidRPr="00267487">
        <w:t>.  </w:t>
      </w:r>
      <w:r w:rsidR="00E33A66" w:rsidRPr="00267487">
        <w:t>The situation in the present case was different. It had only been brought to the applicant</w:t>
      </w:r>
      <w:r w:rsidR="00267487" w:rsidRPr="00267487">
        <w:t>’</w:t>
      </w:r>
      <w:r w:rsidR="00E33A66" w:rsidRPr="00267487">
        <w:t xml:space="preserve">s </w:t>
      </w:r>
      <w:r w:rsidR="006B16DA" w:rsidRPr="00267487">
        <w:t>attention</w:t>
      </w:r>
      <w:r w:rsidR="00E33A66" w:rsidRPr="00267487">
        <w:t xml:space="preserve"> that he was </w:t>
      </w:r>
      <w:r w:rsidR="008B3C7A" w:rsidRPr="00267487">
        <w:t>probab</w:t>
      </w:r>
      <w:r w:rsidR="00E33A66" w:rsidRPr="00267487">
        <w:t xml:space="preserve">ly not the father of the child </w:t>
      </w:r>
      <w:r w:rsidR="008B3C7A" w:rsidRPr="00267487">
        <w:t>a</w:t>
      </w:r>
      <w:r w:rsidR="00E33A66" w:rsidRPr="00267487">
        <w:t>f</w:t>
      </w:r>
      <w:r w:rsidR="008B3C7A" w:rsidRPr="00267487">
        <w:t>ter</w:t>
      </w:r>
      <w:r w:rsidR="00E33A66" w:rsidRPr="00267487">
        <w:t xml:space="preserve"> his divorce </w:t>
      </w:r>
      <w:r w:rsidR="008B3C7A" w:rsidRPr="00267487">
        <w:t>from</w:t>
      </w:r>
      <w:r w:rsidR="00E33A66" w:rsidRPr="00267487">
        <w:t xml:space="preserve"> the child</w:t>
      </w:r>
      <w:r w:rsidR="00267487" w:rsidRPr="00267487">
        <w:t>’</w:t>
      </w:r>
      <w:r w:rsidR="00E33A66" w:rsidRPr="00267487">
        <w:t xml:space="preserve">s mother. The applicant had obtained </w:t>
      </w:r>
      <w:r w:rsidR="00DC1553" w:rsidRPr="00267487">
        <w:t>a</w:t>
      </w:r>
      <w:r w:rsidR="000627A1" w:rsidRPr="00267487">
        <w:t xml:space="preserve"> </w:t>
      </w:r>
      <w:r w:rsidR="00E33A66" w:rsidRPr="00267487">
        <w:t>DNA report and</w:t>
      </w:r>
      <w:r w:rsidR="008B3C7A" w:rsidRPr="00267487">
        <w:t xml:space="preserve"> had</w:t>
      </w:r>
      <w:r w:rsidR="00E33A66" w:rsidRPr="00267487">
        <w:t xml:space="preserve"> attempted </w:t>
      </w:r>
      <w:r w:rsidR="00E269B1" w:rsidRPr="00267487">
        <w:t xml:space="preserve">to institute </w:t>
      </w:r>
      <w:r w:rsidR="00E33A66" w:rsidRPr="00267487">
        <w:t xml:space="preserve">judicial proceedings </w:t>
      </w:r>
      <w:r w:rsidR="00E269B1" w:rsidRPr="00267487">
        <w:t xml:space="preserve">in that respect </w:t>
      </w:r>
      <w:r w:rsidR="00E33A66" w:rsidRPr="00267487">
        <w:t>immediately thereafter, to no avail. The</w:t>
      </w:r>
      <w:r w:rsidR="00CC520A" w:rsidRPr="00267487">
        <w:t xml:space="preserve"> Court </w:t>
      </w:r>
      <w:r w:rsidR="00973B3E" w:rsidRPr="00267487">
        <w:t xml:space="preserve">has </w:t>
      </w:r>
      <w:r w:rsidR="008B3C7A" w:rsidRPr="00267487">
        <w:t xml:space="preserve">previously </w:t>
      </w:r>
      <w:r w:rsidR="00973B3E" w:rsidRPr="00267487">
        <w:t>found</w:t>
      </w:r>
      <w:r w:rsidR="00CC520A" w:rsidRPr="00267487">
        <w:t xml:space="preserve"> that the establishment of inflexible time limit</w:t>
      </w:r>
      <w:r w:rsidR="00241AB4" w:rsidRPr="00267487">
        <w:t>s</w:t>
      </w:r>
      <w:r w:rsidR="00CC520A" w:rsidRPr="00267487">
        <w:t xml:space="preserve"> is likely to run counter to the importance of the private life interest at stake</w:t>
      </w:r>
      <w:r w:rsidR="00C07484" w:rsidRPr="00267487">
        <w:t xml:space="preserve"> (</w:t>
      </w:r>
      <w:r w:rsidR="00B72928" w:rsidRPr="00267487">
        <w:t xml:space="preserve">see </w:t>
      </w:r>
      <w:r w:rsidR="00B72928" w:rsidRPr="00267487">
        <w:rPr>
          <w:i/>
        </w:rPr>
        <w:t>A.L</w:t>
      </w:r>
      <w:r w:rsidR="00B72928" w:rsidRPr="00267487">
        <w:t xml:space="preserve">., cited above, </w:t>
      </w:r>
      <w:r w:rsidR="00B72928" w:rsidRPr="00267487">
        <w:rPr>
          <w:rFonts w:cstheme="minorHAnsi"/>
        </w:rPr>
        <w:t>§</w:t>
      </w:r>
      <w:r w:rsidR="007179EF" w:rsidRPr="00267487">
        <w:t> </w:t>
      </w:r>
      <w:r w:rsidR="00B72928" w:rsidRPr="00267487">
        <w:t>71)</w:t>
      </w:r>
      <w:r w:rsidR="00CC520A" w:rsidRPr="00267487">
        <w:t xml:space="preserve">. </w:t>
      </w:r>
      <w:r w:rsidR="00F17493" w:rsidRPr="00267487">
        <w:rPr>
          <w:rFonts w:eastAsia="Times New Roman"/>
        </w:rPr>
        <w:t xml:space="preserve">Thus, in several cases it has found a violation of Article 8 as a result of the impossibility, due to the application of strict time-limits running as from the birth of the child, to contest paternity where the applicants had learned about the circumstances supporting their claims − or had obtained relevant scientific evidence − only after the expiry of this time limit (see </w:t>
      </w:r>
      <w:r w:rsidR="00F17493" w:rsidRPr="00267487">
        <w:rPr>
          <w:rFonts w:eastAsia="Times New Roman"/>
          <w:i/>
          <w:iCs/>
        </w:rPr>
        <w:t>Mizzi</w:t>
      </w:r>
      <w:r w:rsidR="00F17493" w:rsidRPr="00267487">
        <w:rPr>
          <w:rFonts w:eastAsia="Times New Roman"/>
        </w:rPr>
        <w:t xml:space="preserve">, cited above, §§ 112–114, and </w:t>
      </w:r>
      <w:r w:rsidR="00F17493" w:rsidRPr="00267487">
        <w:rPr>
          <w:rFonts w:eastAsia="Times New Roman"/>
          <w:i/>
          <w:iCs/>
        </w:rPr>
        <w:t>Tavlı v. Turkey</w:t>
      </w:r>
      <w:r w:rsidR="00116180" w:rsidRPr="00267487">
        <w:rPr>
          <w:rFonts w:eastAsia="Times New Roman"/>
        </w:rPr>
        <w:t>, no. 11449/02, §§ </w:t>
      </w:r>
      <w:r w:rsidR="00F17493" w:rsidRPr="00267487">
        <w:rPr>
          <w:rFonts w:eastAsia="Times New Roman"/>
        </w:rPr>
        <w:t>33</w:t>
      </w:r>
      <w:r w:rsidR="00116180" w:rsidRPr="00267487">
        <w:rPr>
          <w:rFonts w:eastAsia="Times New Roman"/>
        </w:rPr>
        <w:noBreakHyphen/>
      </w:r>
      <w:r w:rsidR="00F17493" w:rsidRPr="00267487">
        <w:rPr>
          <w:rFonts w:eastAsia="Times New Roman"/>
        </w:rPr>
        <w:t>36, 9 November 2006).</w:t>
      </w:r>
    </w:p>
    <w:p w:rsidR="00886CBF"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30</w:t>
      </w:r>
      <w:r w:rsidRPr="00267487">
        <w:fldChar w:fldCharType="end"/>
      </w:r>
      <w:r w:rsidRPr="00267487">
        <w:t>.  </w:t>
      </w:r>
      <w:r w:rsidR="00886CBF" w:rsidRPr="00267487">
        <w:t xml:space="preserve">In the present case, the applicant had acquired a piece of scientific evidence which demonstrated the likelihood of his not being the biological father of the child in question. However, his subsequent legal challenge to paternity was never examined on the merits; instead, it was dismissed as time-barred. The absolute strictness of the applicable time-limit meant that the probative force of that evidence was never tested, nor was the applicant given an opportunity to have his case heard in a domestic procedure capable of assessing the different interests involved and balancing them with </w:t>
      </w:r>
      <w:r w:rsidR="00886CBF" w:rsidRPr="00267487">
        <w:lastRenderedPageBreak/>
        <w:t xml:space="preserve">reference to the primary consideration of the best interests of the child. In previous similar cases the Court has found the decision-making process problematic where there had been no examination by the national authorities of the personal circumstances of the applicants (see </w:t>
      </w:r>
      <w:r w:rsidR="00886CBF" w:rsidRPr="00267487">
        <w:rPr>
          <w:i/>
        </w:rPr>
        <w:t>Różański</w:t>
      </w:r>
      <w:r w:rsidR="00886CBF" w:rsidRPr="00267487">
        <w:t>, cited above, §</w:t>
      </w:r>
      <w:r w:rsidR="00283421" w:rsidRPr="00267487">
        <w:t> </w:t>
      </w:r>
      <w:r w:rsidR="00886CBF" w:rsidRPr="00267487">
        <w:t xml:space="preserve">77; </w:t>
      </w:r>
      <w:r w:rsidR="00886CBF" w:rsidRPr="00267487">
        <w:rPr>
          <w:i/>
        </w:rPr>
        <w:t>Anayo</w:t>
      </w:r>
      <w:r w:rsidR="00886CBF" w:rsidRPr="00267487">
        <w:t xml:space="preserve">, cited above, § 71; </w:t>
      </w:r>
      <w:r w:rsidR="00886CBF" w:rsidRPr="00267487">
        <w:rPr>
          <w:i/>
        </w:rPr>
        <w:t>Shofman</w:t>
      </w:r>
      <w:r w:rsidR="00886CBF" w:rsidRPr="00267487">
        <w:t>, cited above, § 43)</w:t>
      </w:r>
    </w:p>
    <w:p w:rsidR="004607EB" w:rsidRPr="00267487" w:rsidRDefault="00ED4E90"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31</w:t>
      </w:r>
      <w:r w:rsidRPr="00267487">
        <w:fldChar w:fldCharType="end"/>
      </w:r>
      <w:r w:rsidRPr="00267487">
        <w:t>.  </w:t>
      </w:r>
      <w:r w:rsidR="00C91DCA" w:rsidRPr="00267487">
        <w:t>The situation in whi</w:t>
      </w:r>
      <w:r w:rsidR="00A863C4" w:rsidRPr="00267487">
        <w:t>ch the applicant found himself</w:t>
      </w:r>
      <w:r w:rsidR="0016524C" w:rsidRPr="00267487">
        <w:t xml:space="preserve"> in the present case</w:t>
      </w:r>
      <w:r w:rsidR="00A863C4" w:rsidRPr="00267487">
        <w:t xml:space="preserve"> </w:t>
      </w:r>
      <w:r w:rsidR="00C91DCA" w:rsidRPr="00267487">
        <w:t xml:space="preserve">has to be </w:t>
      </w:r>
      <w:r w:rsidR="00AA266C" w:rsidRPr="00267487">
        <w:t>distinguished</w:t>
      </w:r>
      <w:r w:rsidR="00C91DCA" w:rsidRPr="00267487">
        <w:t xml:space="preserve"> from that of the applicants in a number of other cases who </w:t>
      </w:r>
      <w:r w:rsidR="00AA266C" w:rsidRPr="00267487">
        <w:t xml:space="preserve">had </w:t>
      </w:r>
      <w:r w:rsidR="00C91DCA" w:rsidRPr="00267487">
        <w:t xml:space="preserve">sought to either contest or claim paternity on the basis of a biological reality at odds with </w:t>
      </w:r>
      <w:r w:rsidR="00AA266C" w:rsidRPr="00267487">
        <w:t xml:space="preserve">established </w:t>
      </w:r>
      <w:r w:rsidR="00C91DCA" w:rsidRPr="00267487">
        <w:t>legal presumptions. In particular, in those cases the applicants</w:t>
      </w:r>
      <w:r w:rsidR="00267487" w:rsidRPr="00267487">
        <w:t>’</w:t>
      </w:r>
      <w:r w:rsidR="00C91DCA" w:rsidRPr="00267487">
        <w:t xml:space="preserve"> claims</w:t>
      </w:r>
      <w:r w:rsidR="00546C6E" w:rsidRPr="00267487">
        <w:t>, or the claims brought in their interest,</w:t>
      </w:r>
      <w:r w:rsidR="00C91DCA" w:rsidRPr="00267487">
        <w:t xml:space="preserve"> were rejected </w:t>
      </w:r>
      <w:r w:rsidR="00AB08EE" w:rsidRPr="00267487">
        <w:t xml:space="preserve">by the relevant national authorities </w:t>
      </w:r>
      <w:r w:rsidR="00C91DCA" w:rsidRPr="00267487">
        <w:t xml:space="preserve">after </w:t>
      </w:r>
      <w:r w:rsidR="00AA266C" w:rsidRPr="00267487">
        <w:t>consideration</w:t>
      </w:r>
      <w:r w:rsidR="00C91DCA" w:rsidRPr="00267487">
        <w:t xml:space="preserve"> of the</w:t>
      </w:r>
      <w:r w:rsidR="00E90AF4" w:rsidRPr="00267487">
        <w:t>ir</w:t>
      </w:r>
      <w:r w:rsidR="00C91DCA" w:rsidRPr="00267487">
        <w:t xml:space="preserve"> factual circumstances </w:t>
      </w:r>
      <w:r w:rsidR="00AA266C" w:rsidRPr="00267487">
        <w:t>and following a balancing exercise which, however succinct, accounted for the different interests involved paying particular attention to the need</w:t>
      </w:r>
      <w:r w:rsidR="006C43E7" w:rsidRPr="00267487">
        <w:t>s of the child</w:t>
      </w:r>
      <w:r w:rsidR="00AA266C" w:rsidRPr="00267487">
        <w:t xml:space="preserve"> </w:t>
      </w:r>
      <w:r w:rsidR="00E90AF4" w:rsidRPr="00267487">
        <w:t xml:space="preserve">(see, in particular, </w:t>
      </w:r>
      <w:r w:rsidR="008839A7" w:rsidRPr="00267487">
        <w:rPr>
          <w:i/>
        </w:rPr>
        <w:t>Krisztián Barnabás Tóth</w:t>
      </w:r>
      <w:r w:rsidR="008839A7" w:rsidRPr="00267487">
        <w:rPr>
          <w:snapToGrid w:val="0"/>
        </w:rPr>
        <w:t>, cited above, §§ 33</w:t>
      </w:r>
      <w:r w:rsidR="00E34A5D" w:rsidRPr="00267487">
        <w:rPr>
          <w:snapToGrid w:val="0"/>
        </w:rPr>
        <w:t>–</w:t>
      </w:r>
      <w:r w:rsidR="008839A7" w:rsidRPr="00267487">
        <w:rPr>
          <w:snapToGrid w:val="0"/>
        </w:rPr>
        <w:t>37</w:t>
      </w:r>
      <w:r w:rsidR="008B3C7A" w:rsidRPr="00267487">
        <w:rPr>
          <w:snapToGrid w:val="0"/>
        </w:rPr>
        <w:t>,</w:t>
      </w:r>
      <w:r w:rsidR="00E90AF4" w:rsidRPr="00267487">
        <w:rPr>
          <w:snapToGrid w:val="0"/>
        </w:rPr>
        <w:t xml:space="preserve"> and</w:t>
      </w:r>
      <w:r w:rsidR="00CC6295" w:rsidRPr="00267487">
        <w:rPr>
          <w:i/>
        </w:rPr>
        <w:t xml:space="preserve"> </w:t>
      </w:r>
      <w:r w:rsidR="008839A7" w:rsidRPr="00267487">
        <w:rPr>
          <w:i/>
        </w:rPr>
        <w:t>A.L</w:t>
      </w:r>
      <w:r w:rsidR="008839A7" w:rsidRPr="00267487">
        <w:t xml:space="preserve">., cited above, </w:t>
      </w:r>
      <w:r w:rsidR="008839A7" w:rsidRPr="00267487">
        <w:rPr>
          <w:rFonts w:cstheme="minorHAnsi"/>
        </w:rPr>
        <w:t>§§</w:t>
      </w:r>
      <w:r w:rsidR="008839A7" w:rsidRPr="00267487">
        <w:t xml:space="preserve"> 75</w:t>
      </w:r>
      <w:r w:rsidR="00112EA1" w:rsidRPr="00267487">
        <w:t>–</w:t>
      </w:r>
      <w:r w:rsidR="00E90AF4" w:rsidRPr="00267487">
        <w:t xml:space="preserve">78). In other cases the Court </w:t>
      </w:r>
      <w:r w:rsidR="008B3C7A" w:rsidRPr="00267487">
        <w:t xml:space="preserve">has </w:t>
      </w:r>
      <w:r w:rsidR="00E90AF4" w:rsidRPr="00267487">
        <w:t>found th</w:t>
      </w:r>
      <w:r w:rsidR="008B3C7A" w:rsidRPr="00267487">
        <w:t>at</w:t>
      </w:r>
      <w:r w:rsidR="00E90AF4" w:rsidRPr="00267487">
        <w:t xml:space="preserve"> rejection</w:t>
      </w:r>
      <w:r w:rsidR="00AB08EE" w:rsidRPr="00267487">
        <w:t>s</w:t>
      </w:r>
      <w:r w:rsidR="00E90AF4" w:rsidRPr="00267487">
        <w:t xml:space="preserve"> of the applicants</w:t>
      </w:r>
      <w:r w:rsidR="00267487" w:rsidRPr="00267487">
        <w:t>’</w:t>
      </w:r>
      <w:r w:rsidR="00E90AF4" w:rsidRPr="00267487">
        <w:t xml:space="preserve"> paternity-related claims</w:t>
      </w:r>
      <w:r w:rsidR="008B3C7A" w:rsidRPr="00267487">
        <w:t xml:space="preserve"> did</w:t>
      </w:r>
      <w:r w:rsidR="00E90AF4" w:rsidRPr="00267487">
        <w:t xml:space="preserve"> not</w:t>
      </w:r>
      <w:r w:rsidR="00AB08EE" w:rsidRPr="00267487">
        <w:t xml:space="preserve"> </w:t>
      </w:r>
      <w:r w:rsidR="00E90AF4" w:rsidRPr="00267487">
        <w:t xml:space="preserve">breach the required fair balance under Article 8 of the Convention because they </w:t>
      </w:r>
      <w:r w:rsidR="008B3C7A" w:rsidRPr="00267487">
        <w:t>had been</w:t>
      </w:r>
      <w:r w:rsidR="00E90AF4" w:rsidRPr="00267487">
        <w:t xml:space="preserve"> based on considerations such as the child </w:t>
      </w:r>
      <w:r w:rsidR="007355A2" w:rsidRPr="00267487">
        <w:t>having the benefit of</w:t>
      </w:r>
      <w:r w:rsidR="00E90AF4" w:rsidRPr="00267487">
        <w:t xml:space="preserve"> previously established origin, </w:t>
      </w:r>
      <w:r w:rsidR="007355A2" w:rsidRPr="00267487">
        <w:t>the need to preserve stability and continuity in the children</w:t>
      </w:r>
      <w:r w:rsidR="00267487" w:rsidRPr="00267487">
        <w:t>’</w:t>
      </w:r>
      <w:r w:rsidR="007355A2" w:rsidRPr="00267487">
        <w:t>s relations</w:t>
      </w:r>
      <w:r w:rsidR="008B3C7A" w:rsidRPr="00267487">
        <w:t>hips</w:t>
      </w:r>
      <w:r w:rsidR="007355A2" w:rsidRPr="00267487">
        <w:t xml:space="preserve"> where there </w:t>
      </w:r>
      <w:r w:rsidR="008B3C7A" w:rsidRPr="00267487">
        <w:t>was</w:t>
      </w:r>
      <w:r w:rsidR="007355A2" w:rsidRPr="00267487">
        <w:t xml:space="preserve"> an established social reality in which they thrived</w:t>
      </w:r>
      <w:r w:rsidR="00E90AF4" w:rsidRPr="00267487">
        <w:t xml:space="preserve">, </w:t>
      </w:r>
      <w:r w:rsidR="007355A2" w:rsidRPr="00267487">
        <w:t>or the fact that</w:t>
      </w:r>
      <w:r w:rsidR="00E90AF4" w:rsidRPr="00267487">
        <w:t xml:space="preserve"> </w:t>
      </w:r>
      <w:r w:rsidR="007355A2" w:rsidRPr="00267487">
        <w:t>granting such requests would not</w:t>
      </w:r>
      <w:r w:rsidR="008B3C7A" w:rsidRPr="00267487">
        <w:t xml:space="preserve"> have</w:t>
      </w:r>
      <w:r w:rsidR="007355A2" w:rsidRPr="00267487">
        <w:t xml:space="preserve"> be</w:t>
      </w:r>
      <w:r w:rsidR="008B3C7A" w:rsidRPr="00267487">
        <w:t>en</w:t>
      </w:r>
      <w:r w:rsidR="007355A2" w:rsidRPr="00267487">
        <w:t xml:space="preserve"> in the child</w:t>
      </w:r>
      <w:r w:rsidR="00267487" w:rsidRPr="00267487">
        <w:t>’</w:t>
      </w:r>
      <w:r w:rsidR="007355A2" w:rsidRPr="00267487">
        <w:t xml:space="preserve">s best interests </w:t>
      </w:r>
      <w:r w:rsidR="00A203F6" w:rsidRPr="00267487">
        <w:t>for other reasons</w:t>
      </w:r>
      <w:r w:rsidR="00E90AF4" w:rsidRPr="00267487">
        <w:t xml:space="preserve"> </w:t>
      </w:r>
      <w:r w:rsidR="00A203F6" w:rsidRPr="00267487">
        <w:t xml:space="preserve">(see </w:t>
      </w:r>
      <w:r w:rsidR="00E90AF4" w:rsidRPr="00267487">
        <w:rPr>
          <w:i/>
        </w:rPr>
        <w:t>Kautzor</w:t>
      </w:r>
      <w:r w:rsidR="00112EA1" w:rsidRPr="00267487">
        <w:t>, cited above,</w:t>
      </w:r>
      <w:r w:rsidR="00E90AF4" w:rsidRPr="00267487">
        <w:rPr>
          <w:i/>
        </w:rPr>
        <w:t xml:space="preserve"> </w:t>
      </w:r>
      <w:r w:rsidR="00A203F6" w:rsidRPr="00267487">
        <w:t>§ 77</w:t>
      </w:r>
      <w:r w:rsidR="00E90AF4" w:rsidRPr="00267487">
        <w:t xml:space="preserve">; </w:t>
      </w:r>
      <w:r w:rsidR="00E90AF4" w:rsidRPr="00267487">
        <w:rPr>
          <w:i/>
        </w:rPr>
        <w:t>Ahrens</w:t>
      </w:r>
      <w:r w:rsidR="00AB08EE" w:rsidRPr="00267487">
        <w:t xml:space="preserve">, </w:t>
      </w:r>
      <w:r w:rsidR="00112EA1" w:rsidRPr="00267487">
        <w:t>cited above</w:t>
      </w:r>
      <w:r w:rsidR="00A203F6" w:rsidRPr="00267487">
        <w:t>, §</w:t>
      </w:r>
      <w:r w:rsidR="00112EA1" w:rsidRPr="00267487">
        <w:t xml:space="preserve"> </w:t>
      </w:r>
      <w:r w:rsidR="00A203F6" w:rsidRPr="00267487">
        <w:t>74</w:t>
      </w:r>
      <w:r w:rsidR="00E90AF4" w:rsidRPr="00267487">
        <w:t>;</w:t>
      </w:r>
      <w:r w:rsidR="00A203F6" w:rsidRPr="00267487">
        <w:t xml:space="preserve"> </w:t>
      </w:r>
      <w:r w:rsidR="00116180" w:rsidRPr="00267487">
        <w:rPr>
          <w:i/>
        </w:rPr>
        <w:t>Marinis v. </w:t>
      </w:r>
      <w:r w:rsidR="00A203F6" w:rsidRPr="00267487">
        <w:rPr>
          <w:i/>
        </w:rPr>
        <w:t>Greece</w:t>
      </w:r>
      <w:r w:rsidR="00A203F6" w:rsidRPr="00267487">
        <w:rPr>
          <w:snapToGrid w:val="0"/>
        </w:rPr>
        <w:t>, no.</w:t>
      </w:r>
      <w:r w:rsidR="00A203F6" w:rsidRPr="00267487">
        <w:t xml:space="preserve"> 3004/10</w:t>
      </w:r>
      <w:r w:rsidR="00A203F6" w:rsidRPr="00267487">
        <w:rPr>
          <w:snapToGrid w:val="0"/>
        </w:rPr>
        <w:t>, § 77</w:t>
      </w:r>
      <w:r w:rsidR="00AB08EE" w:rsidRPr="00267487">
        <w:rPr>
          <w:snapToGrid w:val="0"/>
        </w:rPr>
        <w:t>, 9</w:t>
      </w:r>
      <w:r w:rsidR="00B96EE6" w:rsidRPr="00267487">
        <w:rPr>
          <w:snapToGrid w:val="0"/>
        </w:rPr>
        <w:t xml:space="preserve"> </w:t>
      </w:r>
      <w:r w:rsidR="00A203F6" w:rsidRPr="00267487">
        <w:rPr>
          <w:snapToGrid w:val="0"/>
        </w:rPr>
        <w:t>October 2014</w:t>
      </w:r>
      <w:r w:rsidR="00112EA1" w:rsidRPr="00267487">
        <w:rPr>
          <w:snapToGrid w:val="0"/>
        </w:rPr>
        <w:t>,</w:t>
      </w:r>
      <w:r w:rsidR="008B3C7A" w:rsidRPr="00267487">
        <w:rPr>
          <w:snapToGrid w:val="0"/>
        </w:rPr>
        <w:t xml:space="preserve"> and</w:t>
      </w:r>
      <w:r w:rsidR="00A203F6" w:rsidRPr="00267487">
        <w:rPr>
          <w:snapToGrid w:val="0"/>
        </w:rPr>
        <w:t xml:space="preserve"> </w:t>
      </w:r>
      <w:r w:rsidR="00A203F6" w:rsidRPr="00267487">
        <w:rPr>
          <w:i/>
        </w:rPr>
        <w:t>Nylund v. Finland</w:t>
      </w:r>
      <w:r w:rsidR="00A203F6" w:rsidRPr="00267487">
        <w:t xml:space="preserve"> (dec.), no. 27110/95, ECHR 1999</w:t>
      </w:r>
      <w:r w:rsidR="00A203F6" w:rsidRPr="00267487">
        <w:noBreakHyphen/>
        <w:t>VI</w:t>
      </w:r>
      <w:r w:rsidR="00A203F6" w:rsidRPr="00267487">
        <w:rPr>
          <w:snapToGrid w:val="0"/>
        </w:rPr>
        <w:t>). In all these cases the Court noted that the father</w:t>
      </w:r>
      <w:r w:rsidR="00267487" w:rsidRPr="00267487">
        <w:rPr>
          <w:snapToGrid w:val="0"/>
        </w:rPr>
        <w:t>’</w:t>
      </w:r>
      <w:r w:rsidR="008B3C7A" w:rsidRPr="00267487">
        <w:rPr>
          <w:snapToGrid w:val="0"/>
        </w:rPr>
        <w:t>s</w:t>
      </w:r>
      <w:r w:rsidR="00A203F6" w:rsidRPr="00267487">
        <w:rPr>
          <w:snapToGrid w:val="0"/>
        </w:rPr>
        <w:t xml:space="preserve"> </w:t>
      </w:r>
      <w:r w:rsidR="008B3C7A" w:rsidRPr="00267487">
        <w:rPr>
          <w:snapToGrid w:val="0"/>
        </w:rPr>
        <w:t xml:space="preserve">inability </w:t>
      </w:r>
      <w:r w:rsidR="00A203F6" w:rsidRPr="00267487">
        <w:rPr>
          <w:snapToGrid w:val="0"/>
        </w:rPr>
        <w:t xml:space="preserve">to have his paternity claim examined on the merits was not absolute and that the domestic law envisaged situations in which such claims were allowed, for example when the legal presumption did not correspond to the established social and family reality. Importantly, the Court </w:t>
      </w:r>
      <w:r w:rsidR="008B3C7A" w:rsidRPr="00267487">
        <w:rPr>
          <w:snapToGrid w:val="0"/>
        </w:rPr>
        <w:t xml:space="preserve">also </w:t>
      </w:r>
      <w:r w:rsidR="00A203F6" w:rsidRPr="00267487">
        <w:rPr>
          <w:snapToGrid w:val="0"/>
        </w:rPr>
        <w:t xml:space="preserve">considered relevant in those cases that the decision-making process comprised elements such as a detailed examination of the factual circumstances by the competent authorities, </w:t>
      </w:r>
      <w:r w:rsidR="00AB08EE" w:rsidRPr="00267487">
        <w:rPr>
          <w:snapToGrid w:val="0"/>
        </w:rPr>
        <w:t>a</w:t>
      </w:r>
      <w:r w:rsidR="00A203F6" w:rsidRPr="00267487">
        <w:rPr>
          <w:snapToGrid w:val="0"/>
        </w:rPr>
        <w:t xml:space="preserve"> consideration of t</w:t>
      </w:r>
      <w:r w:rsidR="00AB08EE" w:rsidRPr="00267487">
        <w:rPr>
          <w:snapToGrid w:val="0"/>
        </w:rPr>
        <w:t>he different interests involved</w:t>
      </w:r>
      <w:r w:rsidR="008B3C7A" w:rsidRPr="00267487">
        <w:rPr>
          <w:snapToGrid w:val="0"/>
        </w:rPr>
        <w:t>,</w:t>
      </w:r>
      <w:r w:rsidR="00AB08EE" w:rsidRPr="00267487">
        <w:rPr>
          <w:snapToGrid w:val="0"/>
        </w:rPr>
        <w:t xml:space="preserve"> keeping in mind</w:t>
      </w:r>
      <w:r w:rsidR="00A203F6" w:rsidRPr="00267487">
        <w:rPr>
          <w:snapToGrid w:val="0"/>
        </w:rPr>
        <w:t xml:space="preserve"> the higher interest of the child</w:t>
      </w:r>
      <w:r w:rsidR="008B3C7A" w:rsidRPr="00267487">
        <w:rPr>
          <w:snapToGrid w:val="0"/>
        </w:rPr>
        <w:t>,</w:t>
      </w:r>
      <w:r w:rsidR="00A203F6" w:rsidRPr="00267487">
        <w:rPr>
          <w:snapToGrid w:val="0"/>
        </w:rPr>
        <w:t xml:space="preserve"> and</w:t>
      </w:r>
      <w:r w:rsidR="008B3C7A" w:rsidRPr="00267487">
        <w:rPr>
          <w:snapToGrid w:val="0"/>
        </w:rPr>
        <w:t xml:space="preserve"> the question of</w:t>
      </w:r>
      <w:r w:rsidR="00A203F6" w:rsidRPr="00267487">
        <w:rPr>
          <w:snapToGrid w:val="0"/>
        </w:rPr>
        <w:t xml:space="preserve"> whether the applicant had been given </w:t>
      </w:r>
      <w:r w:rsidR="00AB08EE" w:rsidRPr="00267487">
        <w:rPr>
          <w:snapToGrid w:val="0"/>
        </w:rPr>
        <w:t>an</w:t>
      </w:r>
      <w:r w:rsidR="00A203F6" w:rsidRPr="00267487">
        <w:rPr>
          <w:snapToGrid w:val="0"/>
        </w:rPr>
        <w:t xml:space="preserve"> opportunity to present his personal situation and pos</w:t>
      </w:r>
      <w:r w:rsidR="004F3211" w:rsidRPr="00267487">
        <w:rPr>
          <w:snapToGrid w:val="0"/>
        </w:rPr>
        <w:t xml:space="preserve">ition (see </w:t>
      </w:r>
      <w:r w:rsidR="00CC6295" w:rsidRPr="00267487">
        <w:rPr>
          <w:i/>
        </w:rPr>
        <w:t>L.D. and P.K. v. Bulgaria</w:t>
      </w:r>
      <w:r w:rsidR="006C7981" w:rsidRPr="00267487">
        <w:t>, nos. </w:t>
      </w:r>
      <w:r w:rsidR="004F3211" w:rsidRPr="00267487">
        <w:t>7949/11 and 45522/13, §</w:t>
      </w:r>
      <w:r w:rsidR="00AB08EE" w:rsidRPr="00267487">
        <w:t xml:space="preserve"> </w:t>
      </w:r>
      <w:r w:rsidR="004F3211" w:rsidRPr="00267487">
        <w:t>6</w:t>
      </w:r>
      <w:r w:rsidR="00E34A5D" w:rsidRPr="00267487">
        <w:t>3</w:t>
      </w:r>
      <w:r w:rsidR="004F3211" w:rsidRPr="00267487">
        <w:t xml:space="preserve"> with further references</w:t>
      </w:r>
      <w:r w:rsidR="00CC6295" w:rsidRPr="00267487">
        <w:t>, 8 December 2016</w:t>
      </w:r>
      <w:r w:rsidR="004F3211" w:rsidRPr="00267487">
        <w:t>)</w:t>
      </w:r>
      <w:r w:rsidR="00B55A29" w:rsidRPr="00267487">
        <w:t>.</w:t>
      </w:r>
    </w:p>
    <w:p w:rsidR="005E6A8B"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32</w:t>
      </w:r>
      <w:r w:rsidRPr="00267487">
        <w:fldChar w:fldCharType="end"/>
      </w:r>
      <w:r w:rsidRPr="00267487">
        <w:t>.  </w:t>
      </w:r>
      <w:r w:rsidR="003406D3" w:rsidRPr="00267487">
        <w:t xml:space="preserve">In the present case, </w:t>
      </w:r>
      <w:r w:rsidR="00F831CE" w:rsidRPr="00267487">
        <w:t xml:space="preserve">the applicant did not have </w:t>
      </w:r>
      <w:r w:rsidR="00202020" w:rsidRPr="00267487">
        <w:t>the</w:t>
      </w:r>
      <w:r w:rsidR="003406D3" w:rsidRPr="00267487">
        <w:t xml:space="preserve"> pr</w:t>
      </w:r>
      <w:r w:rsidR="00F831CE" w:rsidRPr="00267487">
        <w:t>actical possibility o</w:t>
      </w:r>
      <w:r w:rsidR="00202020" w:rsidRPr="00267487">
        <w:t>f</w:t>
      </w:r>
      <w:r w:rsidR="00F831CE" w:rsidRPr="00267487">
        <w:t xml:space="preserve"> hav</w:t>
      </w:r>
      <w:r w:rsidR="00202020" w:rsidRPr="00267487">
        <w:t>ing</w:t>
      </w:r>
      <w:r w:rsidR="00F831CE" w:rsidRPr="00267487">
        <w:t xml:space="preserve"> his</w:t>
      </w:r>
      <w:r w:rsidR="003406D3" w:rsidRPr="00267487">
        <w:t xml:space="preserve"> paternity</w:t>
      </w:r>
      <w:r w:rsidR="00F831CE" w:rsidRPr="00267487">
        <w:t xml:space="preserve"> challenge</w:t>
      </w:r>
      <w:r w:rsidR="003406D3" w:rsidRPr="00267487">
        <w:t xml:space="preserve"> examined on the merits.</w:t>
      </w:r>
      <w:r w:rsidR="006C7981" w:rsidRPr="00267487">
        <w:t xml:space="preserve"> Neither could he have </w:t>
      </w:r>
      <w:r w:rsidR="00BE6AE7" w:rsidRPr="00267487">
        <w:t>resorted</w:t>
      </w:r>
      <w:r w:rsidR="00D66732" w:rsidRPr="00267487">
        <w:t xml:space="preserve">, for </w:t>
      </w:r>
      <w:r w:rsidR="007060EF" w:rsidRPr="00267487">
        <w:t>such</w:t>
      </w:r>
      <w:r w:rsidR="00D66732" w:rsidRPr="00267487">
        <w:t xml:space="preserve"> did not exist in law,</w:t>
      </w:r>
      <w:r w:rsidR="00BE6AE7" w:rsidRPr="00267487">
        <w:t xml:space="preserve"> to </w:t>
      </w:r>
      <w:r w:rsidR="00BF10D8" w:rsidRPr="00267487">
        <w:t xml:space="preserve">preliminary </w:t>
      </w:r>
      <w:r w:rsidR="00BE6AE7" w:rsidRPr="00267487">
        <w:t>proceedings</w:t>
      </w:r>
      <w:r w:rsidR="00BF10D8" w:rsidRPr="00267487">
        <w:t>,</w:t>
      </w:r>
      <w:r w:rsidR="00BE6AE7" w:rsidRPr="00267487">
        <w:t xml:space="preserve"> </w:t>
      </w:r>
      <w:r w:rsidR="0065789E" w:rsidRPr="00267487">
        <w:t xml:space="preserve">or an examination </w:t>
      </w:r>
      <w:r w:rsidR="00BE6AE7" w:rsidRPr="00267487">
        <w:t>of a preliminary character</w:t>
      </w:r>
      <w:r w:rsidR="00BF10D8" w:rsidRPr="00267487">
        <w:t>,</w:t>
      </w:r>
      <w:r w:rsidR="00BE6AE7" w:rsidRPr="00267487">
        <w:t xml:space="preserve"> in which the courts could have </w:t>
      </w:r>
      <w:r w:rsidR="0065789E" w:rsidRPr="00267487">
        <w:t>considered</w:t>
      </w:r>
      <w:r w:rsidR="00BE6AE7" w:rsidRPr="00267487">
        <w:t xml:space="preserve"> the concrete</w:t>
      </w:r>
      <w:r w:rsidR="006C7981" w:rsidRPr="00267487">
        <w:t xml:space="preserve"> circumstances</w:t>
      </w:r>
      <w:r w:rsidR="00BE6AE7" w:rsidRPr="00267487">
        <w:t xml:space="preserve"> of his situation</w:t>
      </w:r>
      <w:r w:rsidR="006C7981" w:rsidRPr="00267487">
        <w:t xml:space="preserve"> </w:t>
      </w:r>
      <w:r w:rsidR="00BE6AE7" w:rsidRPr="00267487">
        <w:t>and whether it was in the best interest</w:t>
      </w:r>
      <w:r w:rsidR="00BF10D8" w:rsidRPr="00267487">
        <w:t>s</w:t>
      </w:r>
      <w:r w:rsidR="00BE6AE7" w:rsidRPr="00267487">
        <w:t xml:space="preserve"> of the child involved</w:t>
      </w:r>
      <w:r w:rsidR="00BF10D8" w:rsidRPr="00267487">
        <w:t xml:space="preserve"> to allow an examination on</w:t>
      </w:r>
      <w:r w:rsidR="00BE6AE7" w:rsidRPr="00267487">
        <w:t xml:space="preserve"> the merits of the applicant</w:t>
      </w:r>
      <w:r w:rsidR="00267487" w:rsidRPr="00267487">
        <w:t>’</w:t>
      </w:r>
      <w:r w:rsidR="00F42ED9" w:rsidRPr="00267487">
        <w:t>s</w:t>
      </w:r>
      <w:r w:rsidR="00BE6AE7" w:rsidRPr="00267487">
        <w:t xml:space="preserve"> challenge to his paternity</w:t>
      </w:r>
      <w:r w:rsidR="007060EF" w:rsidRPr="00267487">
        <w:t xml:space="preserve"> (contrast with </w:t>
      </w:r>
      <w:r w:rsidR="007060EF" w:rsidRPr="00267487">
        <w:rPr>
          <w:i/>
        </w:rPr>
        <w:t>Krisztián Barnabás Tóth</w:t>
      </w:r>
      <w:r w:rsidR="007060EF" w:rsidRPr="00267487">
        <w:rPr>
          <w:snapToGrid w:val="0"/>
        </w:rPr>
        <w:t>, cited above, §§ 12–13</w:t>
      </w:r>
      <w:r w:rsidR="0065789E" w:rsidRPr="00267487">
        <w:rPr>
          <w:snapToGrid w:val="0"/>
        </w:rPr>
        <w:t xml:space="preserve">, and </w:t>
      </w:r>
      <w:r w:rsidR="0065789E" w:rsidRPr="00267487">
        <w:rPr>
          <w:i/>
        </w:rPr>
        <w:t>Ahrens</w:t>
      </w:r>
      <w:r w:rsidR="0065789E" w:rsidRPr="00267487">
        <w:t>, cited above, § 77</w:t>
      </w:r>
      <w:r w:rsidR="0005284B" w:rsidRPr="00267487">
        <w:rPr>
          <w:snapToGrid w:val="0"/>
        </w:rPr>
        <w:t>)</w:t>
      </w:r>
      <w:r w:rsidR="00BE6AE7" w:rsidRPr="00267487">
        <w:t>.</w:t>
      </w:r>
      <w:r w:rsidR="003406D3" w:rsidRPr="00267487">
        <w:t xml:space="preserve"> </w:t>
      </w:r>
      <w:r w:rsidR="001F6092" w:rsidRPr="00267487">
        <w:t>T</w:t>
      </w:r>
      <w:r w:rsidR="003406D3" w:rsidRPr="00267487">
        <w:t xml:space="preserve">he Court acknowledges that this situation </w:t>
      </w:r>
      <w:r w:rsidR="00202020" w:rsidRPr="00267487">
        <w:t xml:space="preserve">is </w:t>
      </w:r>
      <w:r w:rsidR="003406D3" w:rsidRPr="00267487">
        <w:t>apparently the result of the legislator</w:t>
      </w:r>
      <w:r w:rsidR="00267487" w:rsidRPr="00267487">
        <w:t>’</w:t>
      </w:r>
      <w:r w:rsidR="003406D3" w:rsidRPr="00267487">
        <w:t xml:space="preserve">s objective to maintain stability in </w:t>
      </w:r>
      <w:r w:rsidR="00BF10D8" w:rsidRPr="00267487">
        <w:t>social relation</w:t>
      </w:r>
      <w:r w:rsidR="00202020" w:rsidRPr="00267487">
        <w:t>s</w:t>
      </w:r>
      <w:r w:rsidR="003406D3" w:rsidRPr="00267487">
        <w:t xml:space="preserve"> through giving prevalence to already established legal origin</w:t>
      </w:r>
      <w:r w:rsidR="009E1FA0" w:rsidRPr="00267487">
        <w:t xml:space="preserve"> (see, similarly, </w:t>
      </w:r>
      <w:r w:rsidR="009E1FA0" w:rsidRPr="00267487">
        <w:rPr>
          <w:i/>
        </w:rPr>
        <w:t>Paulík v. Slovakia</w:t>
      </w:r>
      <w:r w:rsidR="00BF10D8" w:rsidRPr="00267487">
        <w:t xml:space="preserve">, no. </w:t>
      </w:r>
      <w:r w:rsidR="00BF10D8" w:rsidRPr="00267487">
        <w:lastRenderedPageBreak/>
        <w:t xml:space="preserve">10699/05, § </w:t>
      </w:r>
      <w:r w:rsidR="009E1FA0" w:rsidRPr="00267487">
        <w:t>44, ECHR 2006</w:t>
      </w:r>
      <w:r w:rsidR="009E1FA0" w:rsidRPr="00267487">
        <w:noBreakHyphen/>
        <w:t>XI (extracts))</w:t>
      </w:r>
      <w:r w:rsidR="003406D3" w:rsidRPr="00267487">
        <w:t xml:space="preserve">. </w:t>
      </w:r>
      <w:r w:rsidR="001F6092" w:rsidRPr="00267487">
        <w:t xml:space="preserve">Although it accepts that this is a reasonable consideration, the Court finds that other elements need to be determined in situations </w:t>
      </w:r>
      <w:r w:rsidR="007179EF" w:rsidRPr="00267487">
        <w:t xml:space="preserve">like </w:t>
      </w:r>
      <w:r w:rsidR="001F6092" w:rsidRPr="00267487">
        <w:t>the present one, such as the particular circumstances</w:t>
      </w:r>
      <w:r w:rsidR="00202020" w:rsidRPr="00267487">
        <w:t xml:space="preserve"> of the case in issue</w:t>
      </w:r>
      <w:r w:rsidR="001F6092" w:rsidRPr="00267487">
        <w:t xml:space="preserve"> and how those have affected each of the parties involved.</w:t>
      </w:r>
    </w:p>
    <w:p w:rsidR="005E6A8B" w:rsidRPr="00267487" w:rsidRDefault="001F6092"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33</w:t>
      </w:r>
      <w:r w:rsidRPr="00267487">
        <w:fldChar w:fldCharType="end"/>
      </w:r>
      <w:r w:rsidRPr="00267487">
        <w:t xml:space="preserve">.  In view of the above, the Court finds that </w:t>
      </w:r>
      <w:r w:rsidR="00B74A35" w:rsidRPr="00267487">
        <w:t>depriving the applicant of any and all possibility o</w:t>
      </w:r>
      <w:r w:rsidR="00B7561D" w:rsidRPr="00267487">
        <w:t>f</w:t>
      </w:r>
      <w:r w:rsidR="00B74A35" w:rsidRPr="00267487">
        <w:t xml:space="preserve"> hav</w:t>
      </w:r>
      <w:r w:rsidR="00B7561D" w:rsidRPr="00267487">
        <w:t>ing</w:t>
      </w:r>
      <w:r w:rsidR="00B74A35" w:rsidRPr="00267487">
        <w:t xml:space="preserve"> his case heard and his</w:t>
      </w:r>
      <w:r w:rsidR="00DE7C93" w:rsidRPr="00267487">
        <w:t xml:space="preserve"> individual</w:t>
      </w:r>
      <w:r w:rsidR="00B74A35" w:rsidRPr="00267487">
        <w:t xml:space="preserve"> circumstances considered</w:t>
      </w:r>
      <w:r w:rsidR="00B55A29" w:rsidRPr="00267487">
        <w:t xml:space="preserve"> was not proportionate to the legitimate aims pursued. It follows that a fair balance has not been struck between the general interest of the protection of legal certainty </w:t>
      </w:r>
      <w:r w:rsidR="00B7561D" w:rsidRPr="00267487">
        <w:t xml:space="preserve">in </w:t>
      </w:r>
      <w:r w:rsidR="00E515D4" w:rsidRPr="00267487">
        <w:t>social</w:t>
      </w:r>
      <w:r w:rsidR="00B55A29" w:rsidRPr="00267487">
        <w:t xml:space="preserve"> </w:t>
      </w:r>
      <w:r w:rsidR="00E515D4" w:rsidRPr="00267487">
        <w:t>relation</w:t>
      </w:r>
      <w:r w:rsidR="00B74A35" w:rsidRPr="00267487">
        <w:t>s</w:t>
      </w:r>
      <w:r w:rsidR="00E515D4" w:rsidRPr="00267487">
        <w:t xml:space="preserve"> and affiliation</w:t>
      </w:r>
      <w:r w:rsidR="00B74A35" w:rsidRPr="00267487">
        <w:t>, the interests of the other parties and in particular the child, and the applicant</w:t>
      </w:r>
      <w:r w:rsidR="00267487" w:rsidRPr="00267487">
        <w:t>’</w:t>
      </w:r>
      <w:r w:rsidR="00B55A29" w:rsidRPr="00267487">
        <w:t xml:space="preserve">s right to have the legal presumption of his paternity reviewed in the light of </w:t>
      </w:r>
      <w:r w:rsidR="009C0094" w:rsidRPr="00267487">
        <w:t>his particular circumstances</w:t>
      </w:r>
      <w:r w:rsidR="00B55A29" w:rsidRPr="00267487">
        <w:t xml:space="preserve"> (see, </w:t>
      </w:r>
      <w:r w:rsidR="00B55A29" w:rsidRPr="00267487">
        <w:rPr>
          <w:i/>
        </w:rPr>
        <w:t>mutatis mutandis</w:t>
      </w:r>
      <w:r w:rsidR="00B55A29" w:rsidRPr="00267487">
        <w:t xml:space="preserve">, </w:t>
      </w:r>
      <w:r w:rsidR="00B55A29" w:rsidRPr="00267487">
        <w:rPr>
          <w:i/>
        </w:rPr>
        <w:t>Mizzi</w:t>
      </w:r>
      <w:r w:rsidR="00B55A29" w:rsidRPr="00267487">
        <w:t xml:space="preserve">, cited above, § 114, and </w:t>
      </w:r>
      <w:r w:rsidR="00B55A29" w:rsidRPr="00267487">
        <w:rPr>
          <w:i/>
        </w:rPr>
        <w:t>Shofman</w:t>
      </w:r>
      <w:r w:rsidR="00B55A29" w:rsidRPr="00267487">
        <w:t>, cited above, § 45).</w:t>
      </w:r>
    </w:p>
    <w:p w:rsidR="00B74A35" w:rsidRPr="00267487" w:rsidRDefault="00E14134"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34</w:t>
      </w:r>
      <w:r w:rsidRPr="00267487">
        <w:fldChar w:fldCharType="end"/>
      </w:r>
      <w:r w:rsidRPr="00267487">
        <w:t>.  </w:t>
      </w:r>
      <w:r w:rsidR="00B55A29" w:rsidRPr="00267487">
        <w:t>There has therefore been a violation of Article 8 of the Convention</w:t>
      </w:r>
      <w:r w:rsidR="00B74A35" w:rsidRPr="00267487">
        <w:t>.</w:t>
      </w:r>
    </w:p>
    <w:p w:rsidR="00014566" w:rsidRPr="00267487" w:rsidRDefault="0034216A" w:rsidP="00267487">
      <w:pPr>
        <w:pStyle w:val="ECHRHeading1"/>
      </w:pPr>
      <w:r w:rsidRPr="00267487">
        <w:t>II</w:t>
      </w:r>
      <w:r w:rsidR="00014566" w:rsidRPr="00267487">
        <w:t xml:space="preserve">.  ALLEGED VIOLATION OF ARTICLE </w:t>
      </w:r>
      <w:r w:rsidRPr="00267487">
        <w:t>13</w:t>
      </w:r>
      <w:r w:rsidR="00014566" w:rsidRPr="00267487">
        <w:t xml:space="preserve"> OF THE CONVENTION</w:t>
      </w:r>
      <w:r w:rsidRPr="00267487">
        <w:t xml:space="preserve"> IN CONJUNCTION WITH ARTICLE 8</w:t>
      </w:r>
    </w:p>
    <w:p w:rsidR="00574879" w:rsidRPr="00267487" w:rsidRDefault="00CA405B"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35</w:t>
      </w:r>
      <w:r w:rsidRPr="00267487">
        <w:fldChar w:fldCharType="end"/>
      </w:r>
      <w:r w:rsidRPr="00267487">
        <w:t>.  </w:t>
      </w:r>
      <w:r w:rsidR="00014566" w:rsidRPr="00267487">
        <w:t xml:space="preserve">The applicant complained of a violation of </w:t>
      </w:r>
      <w:r w:rsidR="0034216A" w:rsidRPr="00267487">
        <w:t>his right to an effective domestic remedy in conjunction with his Article 8 complaint.</w:t>
      </w:r>
      <w:r w:rsidR="00014566" w:rsidRPr="00267487">
        <w:t xml:space="preserve"> </w:t>
      </w:r>
      <w:r w:rsidR="003E4E7F" w:rsidRPr="00267487">
        <w:t>He</w:t>
      </w:r>
      <w:r w:rsidR="00014566" w:rsidRPr="00267487">
        <w:t xml:space="preserve"> relied on Article </w:t>
      </w:r>
      <w:r w:rsidR="0034216A" w:rsidRPr="00267487">
        <w:t>13</w:t>
      </w:r>
      <w:r w:rsidR="00014566" w:rsidRPr="00267487">
        <w:t xml:space="preserve"> of the Convention</w:t>
      </w:r>
      <w:r w:rsidR="0034216A" w:rsidRPr="00267487">
        <w:t>, which reads as follows:</w:t>
      </w:r>
    </w:p>
    <w:p w:rsidR="00014566" w:rsidRPr="00267487" w:rsidRDefault="00574879" w:rsidP="00267487">
      <w:pPr>
        <w:pStyle w:val="ECHRParaQuote"/>
      </w:pPr>
      <w:r w:rsidRPr="00267487">
        <w:t>“Everyone whose rights and freedoms as set forth in [the] Convention are violated shall have an effective remedy before a national authority notwithstanding that the violation has been committed by persons acting in an official capacity.”</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36</w:t>
      </w:r>
      <w:r w:rsidRPr="00267487">
        <w:fldChar w:fldCharType="end"/>
      </w:r>
      <w:r w:rsidR="00014566" w:rsidRPr="00267487">
        <w:t>.  The Government contested that argument.</w:t>
      </w:r>
      <w:r w:rsidR="00574879" w:rsidRPr="00267487">
        <w:t xml:space="preserve"> In particular, they submitted with reference to Article 33 (1) of the 1985 C</w:t>
      </w:r>
      <w:r w:rsidR="00E7025A" w:rsidRPr="00267487">
        <w:t>ode (see paragraph 10</w:t>
      </w:r>
      <w:r w:rsidR="00574879" w:rsidRPr="00267487">
        <w:t xml:space="preserve"> above) that the applicant had had </w:t>
      </w:r>
      <w:r w:rsidR="00A7500F" w:rsidRPr="00267487">
        <w:t>the</w:t>
      </w:r>
      <w:r w:rsidR="00574879" w:rsidRPr="00267487">
        <w:t xml:space="preserve"> possibility in law o</w:t>
      </w:r>
      <w:r w:rsidR="00A7500F" w:rsidRPr="00267487">
        <w:t>f</w:t>
      </w:r>
      <w:r w:rsidR="00574879" w:rsidRPr="00267487">
        <w:t xml:space="preserve"> challeng</w:t>
      </w:r>
      <w:r w:rsidR="00A7500F" w:rsidRPr="00267487">
        <w:t>ing</w:t>
      </w:r>
      <w:r w:rsidR="00574879" w:rsidRPr="00267487">
        <w:t xml:space="preserve"> his paternity</w:t>
      </w:r>
      <w:r w:rsidR="00DE4FAE" w:rsidRPr="00267487">
        <w:t xml:space="preserve"> within a year of having learned about the child</w:t>
      </w:r>
      <w:r w:rsidR="00267487" w:rsidRPr="00267487">
        <w:t>’</w:t>
      </w:r>
      <w:r w:rsidR="00DE4FAE" w:rsidRPr="00267487">
        <w:t>s birth</w:t>
      </w:r>
      <w:r w:rsidR="0023567B" w:rsidRPr="00267487">
        <w:t xml:space="preserve"> and the fact that this possibility </w:t>
      </w:r>
      <w:r w:rsidR="00A7500F" w:rsidRPr="00267487">
        <w:t xml:space="preserve">had been </w:t>
      </w:r>
      <w:r w:rsidR="0023567B" w:rsidRPr="00267487">
        <w:t xml:space="preserve">subject to </w:t>
      </w:r>
      <w:r w:rsidR="00A7500F" w:rsidRPr="00267487">
        <w:t xml:space="preserve">temporal </w:t>
      </w:r>
      <w:r w:rsidR="0023567B" w:rsidRPr="00267487">
        <w:t>limitations was proportionate.</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37</w:t>
      </w:r>
      <w:r w:rsidRPr="00267487">
        <w:fldChar w:fldCharType="end"/>
      </w:r>
      <w:r w:rsidR="00014566" w:rsidRPr="00267487">
        <w:t>.  The Court notes that this complaint is linked to the one examined above and must therefore likewise be declared admissible.</w:t>
      </w:r>
    </w:p>
    <w:p w:rsidR="00DE4FAE"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38</w:t>
      </w:r>
      <w:r w:rsidRPr="00267487">
        <w:fldChar w:fldCharType="end"/>
      </w:r>
      <w:r w:rsidR="00014566" w:rsidRPr="00267487">
        <w:t>.  </w:t>
      </w:r>
      <w:r w:rsidR="00DE4FAE" w:rsidRPr="00267487">
        <w:rPr>
          <w:rFonts w:ascii="Times New Roman" w:hAnsi="Times New Roman"/>
          <w:szCs w:val="24"/>
        </w:rPr>
        <w:t>The Court finds that, in the instant case, the limitation in time on the applicant</w:t>
      </w:r>
      <w:r w:rsidR="00267487" w:rsidRPr="00267487">
        <w:rPr>
          <w:rFonts w:ascii="Times New Roman" w:hAnsi="Times New Roman"/>
          <w:szCs w:val="24"/>
        </w:rPr>
        <w:t>’</w:t>
      </w:r>
      <w:r w:rsidR="00DE4FAE" w:rsidRPr="00267487">
        <w:rPr>
          <w:rFonts w:ascii="Times New Roman" w:hAnsi="Times New Roman"/>
          <w:szCs w:val="24"/>
        </w:rPr>
        <w:t xml:space="preserve">s possibility to contest paternity lies at the heart of his complaint under Article 13 (see paragraphs </w:t>
      </w:r>
      <w:r w:rsidR="000E5B1A" w:rsidRPr="00267487">
        <w:rPr>
          <w:rFonts w:ascii="Times New Roman" w:hAnsi="Times New Roman"/>
          <w:szCs w:val="24"/>
        </w:rPr>
        <w:t>22–35</w:t>
      </w:r>
      <w:r w:rsidR="00DE4FAE" w:rsidRPr="00267487">
        <w:rPr>
          <w:rFonts w:ascii="Times New Roman" w:hAnsi="Times New Roman"/>
          <w:szCs w:val="24"/>
        </w:rPr>
        <w:t xml:space="preserve"> above). The issues linked to that statutory limitation have</w:t>
      </w:r>
      <w:r w:rsidR="00DE4FAE" w:rsidRPr="00267487">
        <w:t xml:space="preserve"> been examined under Article 8 above. The Court therefore considers that </w:t>
      </w:r>
      <w:r w:rsidR="00DE4FAE" w:rsidRPr="00267487">
        <w:rPr>
          <w:rFonts w:ascii="Times New Roman" w:hAnsi="Times New Roman"/>
          <w:szCs w:val="24"/>
        </w:rPr>
        <w:t xml:space="preserve">no separate issue arises under Article 13 of the Convention (see, for a similar approach, </w:t>
      </w:r>
      <w:r w:rsidR="00DE4FAE" w:rsidRPr="00267487">
        <w:rPr>
          <w:i/>
        </w:rPr>
        <w:t>Dimova and Peeva v. Bulgaria</w:t>
      </w:r>
      <w:r w:rsidR="00DE4FAE" w:rsidRPr="00267487">
        <w:t>, no. 20440/11, § 47, 19 January 2017).</w:t>
      </w:r>
    </w:p>
    <w:p w:rsidR="00014566" w:rsidRPr="00267487" w:rsidRDefault="007E1A49" w:rsidP="00267487">
      <w:pPr>
        <w:pStyle w:val="ECHRHeading1"/>
      </w:pPr>
      <w:r w:rsidRPr="00267487">
        <w:t>III</w:t>
      </w:r>
      <w:r w:rsidR="00014566" w:rsidRPr="00267487">
        <w:t>.  APPLICATION OF ARTICLE 41 OF THE CONVENTION</w:t>
      </w:r>
    </w:p>
    <w:p w:rsidR="00014566" w:rsidRPr="00267487" w:rsidRDefault="00DE4FAE"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39</w:t>
      </w:r>
      <w:r w:rsidRPr="00267487">
        <w:fldChar w:fldCharType="end"/>
      </w:r>
      <w:r w:rsidRPr="00267487">
        <w:t>.  </w:t>
      </w:r>
      <w:r w:rsidR="00014566" w:rsidRPr="00267487">
        <w:t>Article 41 of the Convention provides:</w:t>
      </w:r>
    </w:p>
    <w:p w:rsidR="00014566" w:rsidRPr="00267487" w:rsidRDefault="00014566" w:rsidP="00267487">
      <w:pPr>
        <w:pStyle w:val="ECHRParaQuote"/>
        <w:keepNext/>
        <w:keepLines/>
      </w:pPr>
      <w:r w:rsidRPr="00267487">
        <w:lastRenderedPageBreak/>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72168A" w:rsidRPr="00267487" w:rsidRDefault="0072168A" w:rsidP="00267487">
      <w:pPr>
        <w:pStyle w:val="ECHRHeading2"/>
      </w:pPr>
      <w:r w:rsidRPr="00267487">
        <w:t>A.  Damage</w:t>
      </w:r>
    </w:p>
    <w:p w:rsidR="00571869"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40</w:t>
      </w:r>
      <w:r w:rsidRPr="00267487">
        <w:fldChar w:fldCharType="end"/>
      </w:r>
      <w:r w:rsidR="00014566" w:rsidRPr="00267487">
        <w:t xml:space="preserve">.  The applicant did not submit a </w:t>
      </w:r>
      <w:r w:rsidR="009139B7" w:rsidRPr="00267487">
        <w:t xml:space="preserve">specific claim for just satisfaction but instead </w:t>
      </w:r>
      <w:r w:rsidR="00D926D6" w:rsidRPr="00267487">
        <w:t>invited the Court to hold that the best redress in his case</w:t>
      </w:r>
      <w:r w:rsidR="009139B7" w:rsidRPr="00267487">
        <w:t xml:space="preserve"> would </w:t>
      </w:r>
      <w:r w:rsidR="00D926D6" w:rsidRPr="00267487">
        <w:t>be the</w:t>
      </w:r>
      <w:r w:rsidR="00571869" w:rsidRPr="00267487">
        <w:t xml:space="preserve"> reopening of the judicial proceedings at the national level</w:t>
      </w:r>
      <w:r w:rsidR="009139B7" w:rsidRPr="00267487">
        <w:t>.</w:t>
      </w:r>
    </w:p>
    <w:p w:rsidR="00F8439E" w:rsidRPr="00267487" w:rsidRDefault="00571869"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41</w:t>
      </w:r>
      <w:r w:rsidRPr="00267487">
        <w:fldChar w:fldCharType="end"/>
      </w:r>
      <w:r w:rsidRPr="00267487">
        <w:t xml:space="preserve">.  The Court </w:t>
      </w:r>
      <w:r w:rsidR="00D926D6" w:rsidRPr="00267487">
        <w:t xml:space="preserve">observes that the Code of Civil Procedure </w:t>
      </w:r>
      <w:r w:rsidR="00E7025A" w:rsidRPr="00267487">
        <w:t>2007 provides for such a reopening possibility in cases where the Court has found a violation of the Convention and where a fresh examination of the case is necessary in order to eliminate the consequences of the violation (see paragraph 11 above). Furthermore, in the absence of a claim for a monetary award</w:t>
      </w:r>
      <w:r w:rsidR="00D926D6" w:rsidRPr="00267487">
        <w:t xml:space="preserve">, the Court considers that there is no call to award </w:t>
      </w:r>
      <w:r w:rsidR="00E7025A" w:rsidRPr="00267487">
        <w:t>the applicant</w:t>
      </w:r>
      <w:r w:rsidR="00D926D6" w:rsidRPr="00267487">
        <w:t xml:space="preserve"> any sum on that account.</w:t>
      </w:r>
    </w:p>
    <w:p w:rsidR="00014566" w:rsidRPr="00267487" w:rsidRDefault="00014566" w:rsidP="00267487">
      <w:pPr>
        <w:pStyle w:val="ECHRHeading2"/>
      </w:pPr>
      <w:r w:rsidRPr="00267487">
        <w:t>B.  Costs and expenses</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42</w:t>
      </w:r>
      <w:r w:rsidRPr="00267487">
        <w:fldChar w:fldCharType="end"/>
      </w:r>
      <w:r w:rsidR="00014566" w:rsidRPr="00267487">
        <w:t xml:space="preserve">.  The applicant claimed expenses </w:t>
      </w:r>
      <w:r w:rsidR="009139B7" w:rsidRPr="00267487">
        <w:t xml:space="preserve">incurred in connection with the legal representation </w:t>
      </w:r>
      <w:r w:rsidR="00014566" w:rsidRPr="00267487">
        <w:t xml:space="preserve">before </w:t>
      </w:r>
      <w:r w:rsidR="009139B7" w:rsidRPr="00267487">
        <w:t xml:space="preserve">the Court, </w:t>
      </w:r>
      <w:r w:rsidR="00A7500F" w:rsidRPr="00267487">
        <w:t xml:space="preserve">but </w:t>
      </w:r>
      <w:r w:rsidR="009139B7" w:rsidRPr="00267487">
        <w:t>without specify</w:t>
      </w:r>
      <w:r w:rsidR="00A7500F" w:rsidRPr="00267487">
        <w:t>ing</w:t>
      </w:r>
      <w:r w:rsidR="009139B7" w:rsidRPr="00267487">
        <w:t xml:space="preserve"> their amount.</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43</w:t>
      </w:r>
      <w:r w:rsidRPr="00267487">
        <w:fldChar w:fldCharType="end"/>
      </w:r>
      <w:r w:rsidR="00014566" w:rsidRPr="00267487">
        <w:t xml:space="preserve">.  The Government </w:t>
      </w:r>
      <w:r w:rsidR="009139B7" w:rsidRPr="00267487">
        <w:t>submitted that no sum for costs and expenses should thus be awarded.</w:t>
      </w:r>
    </w:p>
    <w:p w:rsidR="00014566" w:rsidRPr="00267487" w:rsidRDefault="003E4E7F" w:rsidP="00267487">
      <w:pPr>
        <w:pStyle w:val="ECHRPara"/>
      </w:pPr>
      <w:r w:rsidRPr="00267487">
        <w:fldChar w:fldCharType="begin"/>
      </w:r>
      <w:r w:rsidRPr="00267487">
        <w:instrText xml:space="preserve"> SEQ level0 \*arabic </w:instrText>
      </w:r>
      <w:r w:rsidRPr="00267487">
        <w:fldChar w:fldCharType="separate"/>
      </w:r>
      <w:r w:rsidR="00267487" w:rsidRPr="00267487">
        <w:rPr>
          <w:noProof/>
        </w:rPr>
        <w:t>44</w:t>
      </w:r>
      <w:r w:rsidRPr="00267487">
        <w:fldChar w:fldCharType="end"/>
      </w:r>
      <w:r w:rsidR="00014566" w:rsidRPr="00267487">
        <w:t>.  </w:t>
      </w:r>
      <w:r w:rsidRPr="00267487">
        <w:t>According to the Court</w:t>
      </w:r>
      <w:r w:rsidR="00267487" w:rsidRPr="00267487">
        <w:t>’</w:t>
      </w:r>
      <w:r w:rsidRPr="00267487">
        <w:t>s case-law, an applicant is entitled to the reimbursement of costs and expenses only in so far as it has been shown that these have been actually and necessarily incurred and are reasonable as to quantum. In the present case, regard</w:t>
      </w:r>
      <w:r w:rsidR="00014566" w:rsidRPr="00267487">
        <w:t xml:space="preserve"> being had to the documents in its possession and </w:t>
      </w:r>
      <w:r w:rsidRPr="00267487">
        <w:t>the above criteria</w:t>
      </w:r>
      <w:r w:rsidR="00014566" w:rsidRPr="00267487">
        <w:t xml:space="preserve">, the Court rejects the </w:t>
      </w:r>
      <w:r w:rsidR="009139B7" w:rsidRPr="00267487">
        <w:t>claim for costs and expenses.</w:t>
      </w:r>
    </w:p>
    <w:p w:rsidR="00014566" w:rsidRPr="00267487" w:rsidRDefault="00BB5883" w:rsidP="00267487">
      <w:pPr>
        <w:pStyle w:val="ECHRTitle1"/>
      </w:pPr>
      <w:r w:rsidRPr="00267487">
        <w:t>FOR THESE REASONS, THE COURT</w:t>
      </w:r>
      <w:r w:rsidR="003E4E7F" w:rsidRPr="00267487">
        <w:t>, UNANIMOUSLY,</w:t>
      </w:r>
    </w:p>
    <w:p w:rsidR="00B637B9" w:rsidRPr="00267487" w:rsidRDefault="00B637B9" w:rsidP="00267487">
      <w:pPr>
        <w:pStyle w:val="JuList"/>
      </w:pPr>
      <w:r w:rsidRPr="00267487">
        <w:t>1.  </w:t>
      </w:r>
      <w:r w:rsidRPr="00267487">
        <w:rPr>
          <w:i/>
        </w:rPr>
        <w:t>Declares</w:t>
      </w:r>
      <w:r w:rsidR="003E4E7F" w:rsidRPr="00267487">
        <w:t xml:space="preserve"> </w:t>
      </w:r>
      <w:r w:rsidRPr="00267487">
        <w:t xml:space="preserve">the </w:t>
      </w:r>
      <w:r w:rsidR="0058795C" w:rsidRPr="00267487">
        <w:t>application</w:t>
      </w:r>
      <w:r w:rsidRPr="00267487">
        <w:t xml:space="preserve"> admissible;</w:t>
      </w:r>
    </w:p>
    <w:p w:rsidR="00014566" w:rsidRPr="00267487" w:rsidRDefault="00014566" w:rsidP="00267487">
      <w:pPr>
        <w:pStyle w:val="JuList"/>
        <w:ind w:left="0" w:firstLine="0"/>
      </w:pPr>
    </w:p>
    <w:p w:rsidR="00014566" w:rsidRPr="00267487" w:rsidRDefault="009139B7" w:rsidP="00267487">
      <w:pPr>
        <w:pStyle w:val="JuList"/>
      </w:pPr>
      <w:r w:rsidRPr="00267487">
        <w:t>2</w:t>
      </w:r>
      <w:r w:rsidR="00014566" w:rsidRPr="00267487">
        <w:t>.  </w:t>
      </w:r>
      <w:r w:rsidR="00014566" w:rsidRPr="00267487">
        <w:rPr>
          <w:i/>
        </w:rPr>
        <w:t>Holds</w:t>
      </w:r>
      <w:r w:rsidR="003E4E7F" w:rsidRPr="00267487">
        <w:t xml:space="preserve"> </w:t>
      </w:r>
      <w:r w:rsidR="00014566" w:rsidRPr="00267487">
        <w:t xml:space="preserve">that there has been a violation of Article </w:t>
      </w:r>
      <w:r w:rsidRPr="00267487">
        <w:t>8</w:t>
      </w:r>
      <w:r w:rsidR="00014566" w:rsidRPr="00267487">
        <w:t xml:space="preserve"> of the Convention;</w:t>
      </w:r>
    </w:p>
    <w:p w:rsidR="00014566" w:rsidRPr="00267487" w:rsidRDefault="00014566" w:rsidP="00267487">
      <w:pPr>
        <w:pStyle w:val="JuList"/>
        <w:ind w:left="0" w:firstLine="0"/>
      </w:pPr>
    </w:p>
    <w:p w:rsidR="00014566" w:rsidRPr="00267487" w:rsidRDefault="009139B7" w:rsidP="00267487">
      <w:pPr>
        <w:pStyle w:val="JuList"/>
      </w:pPr>
      <w:r w:rsidRPr="00267487">
        <w:t>3</w:t>
      </w:r>
      <w:r w:rsidR="00014566" w:rsidRPr="00267487">
        <w:t>.  </w:t>
      </w:r>
      <w:r w:rsidR="00014566" w:rsidRPr="00267487">
        <w:rPr>
          <w:i/>
        </w:rPr>
        <w:t>Holds</w:t>
      </w:r>
      <w:r w:rsidR="003E4E7F" w:rsidRPr="00267487">
        <w:t xml:space="preserve"> </w:t>
      </w:r>
      <w:r w:rsidR="00014566" w:rsidRPr="00267487">
        <w:t xml:space="preserve">that </w:t>
      </w:r>
      <w:r w:rsidR="00571869" w:rsidRPr="00267487">
        <w:t>no separate issue arises</w:t>
      </w:r>
      <w:r w:rsidR="00D3500A" w:rsidRPr="00267487">
        <w:t xml:space="preserve"> under</w:t>
      </w:r>
      <w:r w:rsidR="00014566" w:rsidRPr="00267487">
        <w:t xml:space="preserve"> Article </w:t>
      </w:r>
      <w:r w:rsidRPr="00267487">
        <w:t>13</w:t>
      </w:r>
      <w:r w:rsidR="00014566" w:rsidRPr="00267487">
        <w:t xml:space="preserve"> of the Convention</w:t>
      </w:r>
      <w:r w:rsidRPr="00267487">
        <w:t xml:space="preserve"> in conjunction with Article 8</w:t>
      </w:r>
      <w:r w:rsidR="00014566" w:rsidRPr="00267487">
        <w:t>;</w:t>
      </w:r>
    </w:p>
    <w:p w:rsidR="004F64F7" w:rsidRPr="00267487" w:rsidRDefault="004F64F7" w:rsidP="00267487">
      <w:pPr>
        <w:pStyle w:val="JuList"/>
        <w:ind w:left="0" w:firstLine="0"/>
      </w:pPr>
    </w:p>
    <w:p w:rsidR="004F64F7" w:rsidRPr="00267487" w:rsidRDefault="00E7025A" w:rsidP="00267487">
      <w:pPr>
        <w:pStyle w:val="JuList"/>
      </w:pPr>
      <w:r w:rsidRPr="00267487">
        <w:t>4</w:t>
      </w:r>
      <w:r w:rsidR="004F64F7" w:rsidRPr="00267487">
        <w:t>.  </w:t>
      </w:r>
      <w:r w:rsidR="004F64F7" w:rsidRPr="00267487">
        <w:rPr>
          <w:i/>
        </w:rPr>
        <w:t>Dismisses</w:t>
      </w:r>
      <w:r w:rsidR="004F64F7" w:rsidRPr="00267487">
        <w:rPr>
          <w:color w:val="000000"/>
        </w:rPr>
        <w:t xml:space="preserve"> </w:t>
      </w:r>
      <w:r w:rsidRPr="00267487">
        <w:t>the</w:t>
      </w:r>
      <w:r w:rsidR="004F64F7" w:rsidRPr="00267487">
        <w:t xml:space="preserve"> applicant</w:t>
      </w:r>
      <w:r w:rsidR="00267487" w:rsidRPr="00267487">
        <w:t>’</w:t>
      </w:r>
      <w:r w:rsidR="004F64F7" w:rsidRPr="00267487">
        <w:t>s claim for just satisfaction.</w:t>
      </w:r>
    </w:p>
    <w:p w:rsidR="00014566" w:rsidRPr="00267487" w:rsidRDefault="00014566" w:rsidP="00267487">
      <w:pPr>
        <w:pStyle w:val="JuParaLast"/>
      </w:pPr>
      <w:r w:rsidRPr="00267487">
        <w:lastRenderedPageBreak/>
        <w:t xml:space="preserve">Done in English, and notified in writing on </w:t>
      </w:r>
      <w:r w:rsidR="00B717E3" w:rsidRPr="00267487">
        <w:t>5 April 2018</w:t>
      </w:r>
      <w:r w:rsidR="00C915FB" w:rsidRPr="00267487">
        <w:t>, pursuant to Rule </w:t>
      </w:r>
      <w:r w:rsidRPr="00267487">
        <w:t>77</w:t>
      </w:r>
      <w:r w:rsidR="00C915FB" w:rsidRPr="00267487">
        <w:t> </w:t>
      </w:r>
      <w:r w:rsidRPr="00267487">
        <w:t>§§</w:t>
      </w:r>
      <w:r w:rsidR="00C915FB" w:rsidRPr="00267487">
        <w:t> </w:t>
      </w:r>
      <w:r w:rsidRPr="00267487">
        <w:t>2 and 3 of the Rules of Court.</w:t>
      </w:r>
    </w:p>
    <w:p w:rsidR="00014566" w:rsidRPr="00267487" w:rsidRDefault="00014566" w:rsidP="00267487">
      <w:pPr>
        <w:pStyle w:val="JuSigned"/>
      </w:pPr>
      <w:r w:rsidRPr="00267487">
        <w:tab/>
      </w:r>
      <w:r w:rsidR="003E4E7F" w:rsidRPr="00267487">
        <w:t>Claudia Westerdiek</w:t>
      </w:r>
      <w:r w:rsidRPr="00267487">
        <w:tab/>
      </w:r>
      <w:r w:rsidR="003E4E7F" w:rsidRPr="00267487">
        <w:rPr>
          <w:szCs w:val="24"/>
        </w:rPr>
        <w:t>Angelika Nußberger</w:t>
      </w:r>
      <w:r w:rsidR="00E1557C" w:rsidRPr="00267487">
        <w:rPr>
          <w:szCs w:val="24"/>
        </w:rPr>
        <w:br/>
      </w:r>
      <w:r w:rsidRPr="00267487">
        <w:tab/>
      </w:r>
      <w:r w:rsidR="003E4E7F" w:rsidRPr="00267487">
        <w:rPr>
          <w:iCs/>
        </w:rPr>
        <w:t>Registrar</w:t>
      </w:r>
      <w:r w:rsidRPr="00267487">
        <w:tab/>
        <w:t>President</w:t>
      </w:r>
    </w:p>
    <w:sectPr w:rsidR="00014566" w:rsidRPr="00267487" w:rsidSect="002246B7">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C9" w:rsidRPr="00E4133A" w:rsidRDefault="00C26AC9" w:rsidP="00014566">
      <w:r w:rsidRPr="00E4133A">
        <w:separator/>
      </w:r>
    </w:p>
  </w:endnote>
  <w:endnote w:type="continuationSeparator" w:id="0">
    <w:p w:rsidR="00C26AC9" w:rsidRPr="00E4133A" w:rsidRDefault="00C26AC9" w:rsidP="00014566">
      <w:r w:rsidRPr="00E41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B7" w:rsidRPr="00150BFA" w:rsidRDefault="002246B7" w:rsidP="0020718E">
    <w:pPr>
      <w:jc w:val="center"/>
    </w:pPr>
    <w:r>
      <w:rPr>
        <w:noProof/>
        <w:lang w:eastAsia="en-GB"/>
      </w:rPr>
      <w:drawing>
        <wp:inline distT="0" distB="0" distL="0" distR="0" wp14:anchorId="6505ABF5" wp14:editId="25A2CCE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246B7" w:rsidRDefault="0022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C9" w:rsidRPr="00E4133A" w:rsidRDefault="00C26AC9" w:rsidP="00014566">
      <w:r w:rsidRPr="00E4133A">
        <w:separator/>
      </w:r>
    </w:p>
  </w:footnote>
  <w:footnote w:type="continuationSeparator" w:id="0">
    <w:p w:rsidR="00C26AC9" w:rsidRPr="00E4133A" w:rsidRDefault="00C26AC9" w:rsidP="00014566">
      <w:r w:rsidRPr="00E4133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C9" w:rsidRPr="002246B7" w:rsidRDefault="00C26AC9" w:rsidP="002246B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B7" w:rsidRPr="00A45145" w:rsidRDefault="002246B7" w:rsidP="00A45145">
    <w:pPr>
      <w:jc w:val="center"/>
    </w:pPr>
    <w:r>
      <w:rPr>
        <w:noProof/>
        <w:lang w:eastAsia="en-GB"/>
      </w:rPr>
      <w:drawing>
        <wp:inline distT="0" distB="0" distL="0" distR="0" wp14:anchorId="01470198" wp14:editId="1C14CCE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26AC9" w:rsidRDefault="00C26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B7" w:rsidRPr="00E4133A" w:rsidRDefault="002246B7"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3D52A1">
      <w:rPr>
        <w:rStyle w:val="PageNumber"/>
        <w:noProof/>
        <w:szCs w:val="18"/>
      </w:rPr>
      <w:t>10</w:t>
    </w:r>
    <w:r>
      <w:rPr>
        <w:rStyle w:val="PageNumber"/>
        <w:szCs w:val="18"/>
      </w:rPr>
      <w:fldChar w:fldCharType="end"/>
    </w:r>
    <w:r w:rsidRPr="00E4133A">
      <w:tab/>
    </w:r>
    <w:r>
      <w:t>DOKTOROV v. BULGARIA</w:t>
    </w:r>
    <w:r w:rsidRPr="00E4133A">
      <w:t xml:space="preserve"> – </w:t>
    </w:r>
    <w:r w:rsidR="00121FD6">
      <w:rPr>
        <w:noProof/>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6B7" w:rsidRPr="00E4133A" w:rsidRDefault="002246B7" w:rsidP="00D60D87">
    <w:pPr>
      <w:pStyle w:val="ECHRHeader"/>
    </w:pPr>
    <w:r w:rsidRPr="00E4133A">
      <w:tab/>
    </w:r>
    <w:r>
      <w:t xml:space="preserve">DOKTOROV v. BULGARIA </w:t>
    </w:r>
    <w:r w:rsidRPr="00E4133A">
      <w:rPr>
        <w:noProof/>
      </w:rPr>
      <w:t>J</w:t>
    </w:r>
    <w:r>
      <w:rPr>
        <w:noProof/>
      </w:rPr>
      <w:t>UDGMENT</w:t>
    </w:r>
    <w:r w:rsidRPr="00E4133A">
      <w:tab/>
    </w:r>
    <w:r>
      <w:rPr>
        <w:rStyle w:val="PageNumber"/>
        <w:szCs w:val="18"/>
      </w:rPr>
      <w:fldChar w:fldCharType="begin"/>
    </w:r>
    <w:r>
      <w:rPr>
        <w:rStyle w:val="PageNumber"/>
        <w:szCs w:val="18"/>
      </w:rPr>
      <w:instrText xml:space="preserve"> PAGE </w:instrText>
    </w:r>
    <w:r>
      <w:rPr>
        <w:rStyle w:val="PageNumber"/>
        <w:szCs w:val="18"/>
      </w:rPr>
      <w:fldChar w:fldCharType="separate"/>
    </w:r>
    <w:r w:rsidR="003D52A1">
      <w:rPr>
        <w:rStyle w:val="PageNumber"/>
        <w:noProof/>
        <w:szCs w:val="18"/>
      </w:rPr>
      <w:t>1</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3E4E7F"/>
    <w:rsid w:val="00000067"/>
    <w:rsid w:val="000010ED"/>
    <w:rsid w:val="000041F8"/>
    <w:rsid w:val="000042A8"/>
    <w:rsid w:val="00004308"/>
    <w:rsid w:val="00005BF0"/>
    <w:rsid w:val="00007154"/>
    <w:rsid w:val="000103AE"/>
    <w:rsid w:val="00011D69"/>
    <w:rsid w:val="00012AD3"/>
    <w:rsid w:val="00013CB3"/>
    <w:rsid w:val="00014566"/>
    <w:rsid w:val="00015C2D"/>
    <w:rsid w:val="00015F00"/>
    <w:rsid w:val="000167A5"/>
    <w:rsid w:val="00021343"/>
    <w:rsid w:val="00022C1D"/>
    <w:rsid w:val="00034987"/>
    <w:rsid w:val="000350E3"/>
    <w:rsid w:val="0004018D"/>
    <w:rsid w:val="00043EF0"/>
    <w:rsid w:val="000466E8"/>
    <w:rsid w:val="000521E9"/>
    <w:rsid w:val="0005284B"/>
    <w:rsid w:val="00054FEE"/>
    <w:rsid w:val="00057E5C"/>
    <w:rsid w:val="00057E7A"/>
    <w:rsid w:val="000602DF"/>
    <w:rsid w:val="00061B05"/>
    <w:rsid w:val="000627A1"/>
    <w:rsid w:val="00062973"/>
    <w:rsid w:val="00062D5D"/>
    <w:rsid w:val="000632D5"/>
    <w:rsid w:val="000644EE"/>
    <w:rsid w:val="00066F84"/>
    <w:rsid w:val="00071AA0"/>
    <w:rsid w:val="00071ABC"/>
    <w:rsid w:val="000856D7"/>
    <w:rsid w:val="000900DD"/>
    <w:rsid w:val="000902AD"/>
    <w:rsid w:val="00090C15"/>
    <w:rsid w:val="000925AD"/>
    <w:rsid w:val="000A24EB"/>
    <w:rsid w:val="000A28CB"/>
    <w:rsid w:val="000A2ED5"/>
    <w:rsid w:val="000A37BD"/>
    <w:rsid w:val="000A65F7"/>
    <w:rsid w:val="000B6923"/>
    <w:rsid w:val="000C033C"/>
    <w:rsid w:val="000C472C"/>
    <w:rsid w:val="000C5F3C"/>
    <w:rsid w:val="000C6DCC"/>
    <w:rsid w:val="000D35B4"/>
    <w:rsid w:val="000D47AA"/>
    <w:rsid w:val="000D6427"/>
    <w:rsid w:val="000D721F"/>
    <w:rsid w:val="000E001E"/>
    <w:rsid w:val="000E0418"/>
    <w:rsid w:val="000E069B"/>
    <w:rsid w:val="000E0E82"/>
    <w:rsid w:val="000E1DC5"/>
    <w:rsid w:val="000E223F"/>
    <w:rsid w:val="000E35AC"/>
    <w:rsid w:val="000E5B1A"/>
    <w:rsid w:val="000E7D45"/>
    <w:rsid w:val="000F1758"/>
    <w:rsid w:val="000F7851"/>
    <w:rsid w:val="00104E23"/>
    <w:rsid w:val="001111BE"/>
    <w:rsid w:val="00111B0C"/>
    <w:rsid w:val="00112EA1"/>
    <w:rsid w:val="00116180"/>
    <w:rsid w:val="00116993"/>
    <w:rsid w:val="00120D6C"/>
    <w:rsid w:val="00121FD6"/>
    <w:rsid w:val="00123B64"/>
    <w:rsid w:val="00124CD2"/>
    <w:rsid w:val="001257EC"/>
    <w:rsid w:val="00125F31"/>
    <w:rsid w:val="00126A7F"/>
    <w:rsid w:val="00132C6A"/>
    <w:rsid w:val="00133D33"/>
    <w:rsid w:val="00134D64"/>
    <w:rsid w:val="00135A30"/>
    <w:rsid w:val="00136000"/>
    <w:rsid w:val="0013612C"/>
    <w:rsid w:val="001378BD"/>
    <w:rsid w:val="00137FF6"/>
    <w:rsid w:val="00141650"/>
    <w:rsid w:val="001457D8"/>
    <w:rsid w:val="00147999"/>
    <w:rsid w:val="00162A12"/>
    <w:rsid w:val="0016524C"/>
    <w:rsid w:val="00165316"/>
    <w:rsid w:val="00166530"/>
    <w:rsid w:val="0016784B"/>
    <w:rsid w:val="00170ABA"/>
    <w:rsid w:val="001716D8"/>
    <w:rsid w:val="00175FAA"/>
    <w:rsid w:val="00180B5D"/>
    <w:rsid w:val="00182EB0"/>
    <w:rsid w:val="001832BD"/>
    <w:rsid w:val="00186552"/>
    <w:rsid w:val="00193149"/>
    <w:rsid w:val="001943B5"/>
    <w:rsid w:val="00195134"/>
    <w:rsid w:val="0019620B"/>
    <w:rsid w:val="001A145B"/>
    <w:rsid w:val="001A674C"/>
    <w:rsid w:val="001A7EA8"/>
    <w:rsid w:val="001B3B24"/>
    <w:rsid w:val="001B3F8B"/>
    <w:rsid w:val="001B7DCB"/>
    <w:rsid w:val="001C0F98"/>
    <w:rsid w:val="001C2A42"/>
    <w:rsid w:val="001C345D"/>
    <w:rsid w:val="001C5147"/>
    <w:rsid w:val="001C5311"/>
    <w:rsid w:val="001D6294"/>
    <w:rsid w:val="001D63ED"/>
    <w:rsid w:val="001D7348"/>
    <w:rsid w:val="001D7844"/>
    <w:rsid w:val="001E035B"/>
    <w:rsid w:val="001E0961"/>
    <w:rsid w:val="001E3EAE"/>
    <w:rsid w:val="001E5348"/>
    <w:rsid w:val="001E6F32"/>
    <w:rsid w:val="001F1D2A"/>
    <w:rsid w:val="001F2145"/>
    <w:rsid w:val="001F5A20"/>
    <w:rsid w:val="001F6092"/>
    <w:rsid w:val="001F6262"/>
    <w:rsid w:val="001F67B0"/>
    <w:rsid w:val="001F7B3D"/>
    <w:rsid w:val="00202020"/>
    <w:rsid w:val="00202E6F"/>
    <w:rsid w:val="00205E9E"/>
    <w:rsid w:val="00205F9F"/>
    <w:rsid w:val="00210338"/>
    <w:rsid w:val="002115FC"/>
    <w:rsid w:val="00211838"/>
    <w:rsid w:val="00212138"/>
    <w:rsid w:val="002133F8"/>
    <w:rsid w:val="0021423C"/>
    <w:rsid w:val="002151CD"/>
    <w:rsid w:val="002246B7"/>
    <w:rsid w:val="0022587F"/>
    <w:rsid w:val="00230A93"/>
    <w:rsid w:val="00230D00"/>
    <w:rsid w:val="002313C8"/>
    <w:rsid w:val="00231DF7"/>
    <w:rsid w:val="00231FD1"/>
    <w:rsid w:val="0023241A"/>
    <w:rsid w:val="002339E0"/>
    <w:rsid w:val="00233CF8"/>
    <w:rsid w:val="00234AA9"/>
    <w:rsid w:val="0023567B"/>
    <w:rsid w:val="0023575D"/>
    <w:rsid w:val="00237148"/>
    <w:rsid w:val="00241AB4"/>
    <w:rsid w:val="0024222D"/>
    <w:rsid w:val="00242622"/>
    <w:rsid w:val="00242925"/>
    <w:rsid w:val="00242ED5"/>
    <w:rsid w:val="00244B0E"/>
    <w:rsid w:val="00244F6C"/>
    <w:rsid w:val="00247622"/>
    <w:rsid w:val="002532C5"/>
    <w:rsid w:val="00257BD6"/>
    <w:rsid w:val="00260C03"/>
    <w:rsid w:val="00262BB6"/>
    <w:rsid w:val="0026540E"/>
    <w:rsid w:val="00265DB8"/>
    <w:rsid w:val="00267487"/>
    <w:rsid w:val="002713D5"/>
    <w:rsid w:val="0027225C"/>
    <w:rsid w:val="00275123"/>
    <w:rsid w:val="0027583D"/>
    <w:rsid w:val="00282240"/>
    <w:rsid w:val="00283421"/>
    <w:rsid w:val="00283C8E"/>
    <w:rsid w:val="0028572A"/>
    <w:rsid w:val="002948AD"/>
    <w:rsid w:val="00294C05"/>
    <w:rsid w:val="00294C92"/>
    <w:rsid w:val="0029532A"/>
    <w:rsid w:val="002972E0"/>
    <w:rsid w:val="002974F7"/>
    <w:rsid w:val="002A01CC"/>
    <w:rsid w:val="002A359D"/>
    <w:rsid w:val="002A61B1"/>
    <w:rsid w:val="002A663C"/>
    <w:rsid w:val="002A6C42"/>
    <w:rsid w:val="002B1DAD"/>
    <w:rsid w:val="002B1E6C"/>
    <w:rsid w:val="002B444B"/>
    <w:rsid w:val="002B5887"/>
    <w:rsid w:val="002C0692"/>
    <w:rsid w:val="002C0D50"/>
    <w:rsid w:val="002C0E27"/>
    <w:rsid w:val="002C3040"/>
    <w:rsid w:val="002C6AD5"/>
    <w:rsid w:val="002C7E9A"/>
    <w:rsid w:val="002D022D"/>
    <w:rsid w:val="002D24BB"/>
    <w:rsid w:val="002E70F9"/>
    <w:rsid w:val="002F171B"/>
    <w:rsid w:val="002F2AF7"/>
    <w:rsid w:val="002F7E1C"/>
    <w:rsid w:val="00301A75"/>
    <w:rsid w:val="00302F70"/>
    <w:rsid w:val="0030336F"/>
    <w:rsid w:val="0030375E"/>
    <w:rsid w:val="00307E4C"/>
    <w:rsid w:val="0031102C"/>
    <w:rsid w:val="0031179D"/>
    <w:rsid w:val="00312A30"/>
    <w:rsid w:val="0031455D"/>
    <w:rsid w:val="00320F72"/>
    <w:rsid w:val="003241BD"/>
    <w:rsid w:val="0032463E"/>
    <w:rsid w:val="00326224"/>
    <w:rsid w:val="0032676F"/>
    <w:rsid w:val="00331EAC"/>
    <w:rsid w:val="00332F27"/>
    <w:rsid w:val="00332FE7"/>
    <w:rsid w:val="003368D2"/>
    <w:rsid w:val="00337EE4"/>
    <w:rsid w:val="0034051B"/>
    <w:rsid w:val="003406D3"/>
    <w:rsid w:val="00340FFD"/>
    <w:rsid w:val="0034216A"/>
    <w:rsid w:val="003506B1"/>
    <w:rsid w:val="00356AC7"/>
    <w:rsid w:val="003609FA"/>
    <w:rsid w:val="00362BA1"/>
    <w:rsid w:val="00363202"/>
    <w:rsid w:val="003710C8"/>
    <w:rsid w:val="003750BE"/>
    <w:rsid w:val="00387B9D"/>
    <w:rsid w:val="00387CBD"/>
    <w:rsid w:val="003917E4"/>
    <w:rsid w:val="0039246D"/>
    <w:rsid w:val="0039364F"/>
    <w:rsid w:val="00394767"/>
    <w:rsid w:val="00396686"/>
    <w:rsid w:val="0039778E"/>
    <w:rsid w:val="003A441D"/>
    <w:rsid w:val="003A4779"/>
    <w:rsid w:val="003B4941"/>
    <w:rsid w:val="003C5714"/>
    <w:rsid w:val="003C6B9F"/>
    <w:rsid w:val="003C6E2A"/>
    <w:rsid w:val="003D0299"/>
    <w:rsid w:val="003D0AE9"/>
    <w:rsid w:val="003D52A1"/>
    <w:rsid w:val="003D6599"/>
    <w:rsid w:val="003D72B8"/>
    <w:rsid w:val="003E0EA3"/>
    <w:rsid w:val="003E2316"/>
    <w:rsid w:val="003E4E7F"/>
    <w:rsid w:val="003E6D80"/>
    <w:rsid w:val="003F05FA"/>
    <w:rsid w:val="003F244A"/>
    <w:rsid w:val="003F30B8"/>
    <w:rsid w:val="003F32F2"/>
    <w:rsid w:val="003F4C45"/>
    <w:rsid w:val="003F5949"/>
    <w:rsid w:val="003F5F7B"/>
    <w:rsid w:val="003F7D64"/>
    <w:rsid w:val="00407909"/>
    <w:rsid w:val="004100B9"/>
    <w:rsid w:val="00410C44"/>
    <w:rsid w:val="00410FB2"/>
    <w:rsid w:val="00414300"/>
    <w:rsid w:val="00414EE8"/>
    <w:rsid w:val="004177E7"/>
    <w:rsid w:val="004209F8"/>
    <w:rsid w:val="00421548"/>
    <w:rsid w:val="00425C67"/>
    <w:rsid w:val="00426383"/>
    <w:rsid w:val="00426BE2"/>
    <w:rsid w:val="00427DD2"/>
    <w:rsid w:val="00427E7A"/>
    <w:rsid w:val="00436307"/>
    <w:rsid w:val="00436C49"/>
    <w:rsid w:val="004409B1"/>
    <w:rsid w:val="004420B9"/>
    <w:rsid w:val="00445366"/>
    <w:rsid w:val="00447CD2"/>
    <w:rsid w:val="00447F5B"/>
    <w:rsid w:val="004607EB"/>
    <w:rsid w:val="00461DB0"/>
    <w:rsid w:val="00463026"/>
    <w:rsid w:val="00463497"/>
    <w:rsid w:val="004636FB"/>
    <w:rsid w:val="00463926"/>
    <w:rsid w:val="00464097"/>
    <w:rsid w:val="004646E0"/>
    <w:rsid w:val="00464C9A"/>
    <w:rsid w:val="0046503C"/>
    <w:rsid w:val="0047351C"/>
    <w:rsid w:val="00474F3D"/>
    <w:rsid w:val="004763F3"/>
    <w:rsid w:val="00477663"/>
    <w:rsid w:val="00477E3A"/>
    <w:rsid w:val="004808A1"/>
    <w:rsid w:val="00480BE5"/>
    <w:rsid w:val="00483E5F"/>
    <w:rsid w:val="0048476E"/>
    <w:rsid w:val="00485FF9"/>
    <w:rsid w:val="004869CD"/>
    <w:rsid w:val="0048740C"/>
    <w:rsid w:val="00487906"/>
    <w:rsid w:val="004907F0"/>
    <w:rsid w:val="0049140B"/>
    <w:rsid w:val="00491A0D"/>
    <w:rsid w:val="004923A5"/>
    <w:rsid w:val="004948AC"/>
    <w:rsid w:val="00495337"/>
    <w:rsid w:val="00496BFB"/>
    <w:rsid w:val="004A15C7"/>
    <w:rsid w:val="004B013B"/>
    <w:rsid w:val="004B112B"/>
    <w:rsid w:val="004B113D"/>
    <w:rsid w:val="004C01E4"/>
    <w:rsid w:val="004C086C"/>
    <w:rsid w:val="004C0E46"/>
    <w:rsid w:val="004C1F56"/>
    <w:rsid w:val="004C27BC"/>
    <w:rsid w:val="004C44D7"/>
    <w:rsid w:val="004D15F3"/>
    <w:rsid w:val="004D347F"/>
    <w:rsid w:val="004D5311"/>
    <w:rsid w:val="004D5DCC"/>
    <w:rsid w:val="004E102E"/>
    <w:rsid w:val="004E2C7B"/>
    <w:rsid w:val="004E492C"/>
    <w:rsid w:val="004E6013"/>
    <w:rsid w:val="004F10AF"/>
    <w:rsid w:val="004F11A4"/>
    <w:rsid w:val="004F2389"/>
    <w:rsid w:val="004F304D"/>
    <w:rsid w:val="004F3211"/>
    <w:rsid w:val="004F3A00"/>
    <w:rsid w:val="004F61BE"/>
    <w:rsid w:val="004F64F7"/>
    <w:rsid w:val="004F66B1"/>
    <w:rsid w:val="00502A0D"/>
    <w:rsid w:val="00502D0F"/>
    <w:rsid w:val="00503D28"/>
    <w:rsid w:val="005047DB"/>
    <w:rsid w:val="00511C07"/>
    <w:rsid w:val="00512D5D"/>
    <w:rsid w:val="0051672A"/>
    <w:rsid w:val="005173A6"/>
    <w:rsid w:val="00520BAA"/>
    <w:rsid w:val="00525208"/>
    <w:rsid w:val="005257A5"/>
    <w:rsid w:val="005264C0"/>
    <w:rsid w:val="00526A8A"/>
    <w:rsid w:val="00530586"/>
    <w:rsid w:val="00531DF2"/>
    <w:rsid w:val="00533CF7"/>
    <w:rsid w:val="00535BB8"/>
    <w:rsid w:val="00537A07"/>
    <w:rsid w:val="00540438"/>
    <w:rsid w:val="005442EE"/>
    <w:rsid w:val="00544A57"/>
    <w:rsid w:val="005468A9"/>
    <w:rsid w:val="00546C6E"/>
    <w:rsid w:val="00547353"/>
    <w:rsid w:val="005474E7"/>
    <w:rsid w:val="005512A3"/>
    <w:rsid w:val="005519D3"/>
    <w:rsid w:val="00556266"/>
    <w:rsid w:val="00556C2C"/>
    <w:rsid w:val="005578CE"/>
    <w:rsid w:val="00561746"/>
    <w:rsid w:val="00562781"/>
    <w:rsid w:val="0056308E"/>
    <w:rsid w:val="00563277"/>
    <w:rsid w:val="00563E83"/>
    <w:rsid w:val="00571869"/>
    <w:rsid w:val="005719D5"/>
    <w:rsid w:val="0057271C"/>
    <w:rsid w:val="00572845"/>
    <w:rsid w:val="00574879"/>
    <w:rsid w:val="00575D1D"/>
    <w:rsid w:val="00576858"/>
    <w:rsid w:val="005811B8"/>
    <w:rsid w:val="0058795C"/>
    <w:rsid w:val="00592772"/>
    <w:rsid w:val="00594FB4"/>
    <w:rsid w:val="0059574A"/>
    <w:rsid w:val="005A1B9B"/>
    <w:rsid w:val="005A3428"/>
    <w:rsid w:val="005A348A"/>
    <w:rsid w:val="005A6751"/>
    <w:rsid w:val="005B03D1"/>
    <w:rsid w:val="005B092E"/>
    <w:rsid w:val="005B152C"/>
    <w:rsid w:val="005B1EE0"/>
    <w:rsid w:val="005B2B24"/>
    <w:rsid w:val="005B4425"/>
    <w:rsid w:val="005B47B0"/>
    <w:rsid w:val="005B4B94"/>
    <w:rsid w:val="005B7185"/>
    <w:rsid w:val="005C09C4"/>
    <w:rsid w:val="005C375B"/>
    <w:rsid w:val="005C3EE8"/>
    <w:rsid w:val="005D34F9"/>
    <w:rsid w:val="005D4190"/>
    <w:rsid w:val="005D67A3"/>
    <w:rsid w:val="005E004C"/>
    <w:rsid w:val="005E2988"/>
    <w:rsid w:val="005E2A43"/>
    <w:rsid w:val="005E3085"/>
    <w:rsid w:val="005E438A"/>
    <w:rsid w:val="005E45A2"/>
    <w:rsid w:val="005E6A8B"/>
    <w:rsid w:val="005E7C1C"/>
    <w:rsid w:val="005F1625"/>
    <w:rsid w:val="005F51E1"/>
    <w:rsid w:val="005F7DD9"/>
    <w:rsid w:val="00602547"/>
    <w:rsid w:val="00611C80"/>
    <w:rsid w:val="00617D43"/>
    <w:rsid w:val="00620692"/>
    <w:rsid w:val="00620AFF"/>
    <w:rsid w:val="0062217D"/>
    <w:rsid w:val="006222CE"/>
    <w:rsid w:val="006242CA"/>
    <w:rsid w:val="00627507"/>
    <w:rsid w:val="00630C29"/>
    <w:rsid w:val="00633717"/>
    <w:rsid w:val="00633A8F"/>
    <w:rsid w:val="00633E63"/>
    <w:rsid w:val="006344E1"/>
    <w:rsid w:val="006505AF"/>
    <w:rsid w:val="00651289"/>
    <w:rsid w:val="006525E6"/>
    <w:rsid w:val="00652C9C"/>
    <w:rsid w:val="006545C4"/>
    <w:rsid w:val="00654651"/>
    <w:rsid w:val="0065789E"/>
    <w:rsid w:val="00660728"/>
    <w:rsid w:val="00661971"/>
    <w:rsid w:val="00661CE8"/>
    <w:rsid w:val="006623D9"/>
    <w:rsid w:val="0066550C"/>
    <w:rsid w:val="006716F2"/>
    <w:rsid w:val="0068060B"/>
    <w:rsid w:val="00682BF2"/>
    <w:rsid w:val="006859CE"/>
    <w:rsid w:val="00685CEE"/>
    <w:rsid w:val="006905AB"/>
    <w:rsid w:val="006906DF"/>
    <w:rsid w:val="00691270"/>
    <w:rsid w:val="00692179"/>
    <w:rsid w:val="00692449"/>
    <w:rsid w:val="00694BA8"/>
    <w:rsid w:val="00695FBC"/>
    <w:rsid w:val="006A037C"/>
    <w:rsid w:val="006A079F"/>
    <w:rsid w:val="006A11D9"/>
    <w:rsid w:val="006A1244"/>
    <w:rsid w:val="006A36F4"/>
    <w:rsid w:val="006A406F"/>
    <w:rsid w:val="006A5D3A"/>
    <w:rsid w:val="006A74EF"/>
    <w:rsid w:val="006B16DA"/>
    <w:rsid w:val="006B3985"/>
    <w:rsid w:val="006C23D4"/>
    <w:rsid w:val="006C43E7"/>
    <w:rsid w:val="006C5060"/>
    <w:rsid w:val="006C7981"/>
    <w:rsid w:val="006C7BB0"/>
    <w:rsid w:val="006C7C1E"/>
    <w:rsid w:val="006D3237"/>
    <w:rsid w:val="006D3E91"/>
    <w:rsid w:val="006D53A7"/>
    <w:rsid w:val="006E1CA1"/>
    <w:rsid w:val="006E2E37"/>
    <w:rsid w:val="006E3CF1"/>
    <w:rsid w:val="006E4923"/>
    <w:rsid w:val="006E5987"/>
    <w:rsid w:val="006E7E80"/>
    <w:rsid w:val="006F1DF9"/>
    <w:rsid w:val="006F24DB"/>
    <w:rsid w:val="006F3248"/>
    <w:rsid w:val="006F48CA"/>
    <w:rsid w:val="006F64DD"/>
    <w:rsid w:val="007000A7"/>
    <w:rsid w:val="007011DA"/>
    <w:rsid w:val="00701F88"/>
    <w:rsid w:val="0070372E"/>
    <w:rsid w:val="007060EF"/>
    <w:rsid w:val="00715127"/>
    <w:rsid w:val="00715E8E"/>
    <w:rsid w:val="007179EF"/>
    <w:rsid w:val="0072168A"/>
    <w:rsid w:val="00723580"/>
    <w:rsid w:val="00723755"/>
    <w:rsid w:val="0073136C"/>
    <w:rsid w:val="00731F0F"/>
    <w:rsid w:val="00733250"/>
    <w:rsid w:val="007336FA"/>
    <w:rsid w:val="007353D9"/>
    <w:rsid w:val="00735562"/>
    <w:rsid w:val="007355A2"/>
    <w:rsid w:val="007376C0"/>
    <w:rsid w:val="00741404"/>
    <w:rsid w:val="007449E5"/>
    <w:rsid w:val="00746C5A"/>
    <w:rsid w:val="0074774B"/>
    <w:rsid w:val="00747FF0"/>
    <w:rsid w:val="007509D5"/>
    <w:rsid w:val="0075175A"/>
    <w:rsid w:val="00764D4E"/>
    <w:rsid w:val="00765A1F"/>
    <w:rsid w:val="007661F8"/>
    <w:rsid w:val="00774009"/>
    <w:rsid w:val="007740E3"/>
    <w:rsid w:val="00774A6E"/>
    <w:rsid w:val="00775B6D"/>
    <w:rsid w:val="007767BB"/>
    <w:rsid w:val="00776D68"/>
    <w:rsid w:val="007831FC"/>
    <w:rsid w:val="007850EE"/>
    <w:rsid w:val="00785B95"/>
    <w:rsid w:val="00790E96"/>
    <w:rsid w:val="00793366"/>
    <w:rsid w:val="00794E01"/>
    <w:rsid w:val="007968A7"/>
    <w:rsid w:val="007A2BD6"/>
    <w:rsid w:val="007A716F"/>
    <w:rsid w:val="007B04E9"/>
    <w:rsid w:val="007B270A"/>
    <w:rsid w:val="007B5E41"/>
    <w:rsid w:val="007C0695"/>
    <w:rsid w:val="007C1726"/>
    <w:rsid w:val="007C419A"/>
    <w:rsid w:val="007C4CC8"/>
    <w:rsid w:val="007C5426"/>
    <w:rsid w:val="007C5798"/>
    <w:rsid w:val="007C5CE0"/>
    <w:rsid w:val="007D4832"/>
    <w:rsid w:val="007E05D8"/>
    <w:rsid w:val="007E1A49"/>
    <w:rsid w:val="007E21B2"/>
    <w:rsid w:val="007E2C4E"/>
    <w:rsid w:val="007F03D3"/>
    <w:rsid w:val="007F1905"/>
    <w:rsid w:val="0080048F"/>
    <w:rsid w:val="00801300"/>
    <w:rsid w:val="00802C64"/>
    <w:rsid w:val="008040F0"/>
    <w:rsid w:val="008055F6"/>
    <w:rsid w:val="00805E52"/>
    <w:rsid w:val="008061D0"/>
    <w:rsid w:val="00810B38"/>
    <w:rsid w:val="00812B9F"/>
    <w:rsid w:val="008204C7"/>
    <w:rsid w:val="00820992"/>
    <w:rsid w:val="00823602"/>
    <w:rsid w:val="008255F5"/>
    <w:rsid w:val="0083014E"/>
    <w:rsid w:val="00831962"/>
    <w:rsid w:val="0083214A"/>
    <w:rsid w:val="00834220"/>
    <w:rsid w:val="0083558B"/>
    <w:rsid w:val="008358A0"/>
    <w:rsid w:val="008367B8"/>
    <w:rsid w:val="00845723"/>
    <w:rsid w:val="00851EF9"/>
    <w:rsid w:val="008577FD"/>
    <w:rsid w:val="00857A35"/>
    <w:rsid w:val="00860B03"/>
    <w:rsid w:val="0086497A"/>
    <w:rsid w:val="008670C7"/>
    <w:rsid w:val="00870F21"/>
    <w:rsid w:val="008713A1"/>
    <w:rsid w:val="00873AA6"/>
    <w:rsid w:val="008754AB"/>
    <w:rsid w:val="0088060C"/>
    <w:rsid w:val="00880B07"/>
    <w:rsid w:val="008824BB"/>
    <w:rsid w:val="008829EF"/>
    <w:rsid w:val="008839A7"/>
    <w:rsid w:val="00886CBF"/>
    <w:rsid w:val="00886DD1"/>
    <w:rsid w:val="00891BB0"/>
    <w:rsid w:val="008925AE"/>
    <w:rsid w:val="00893516"/>
    <w:rsid w:val="00893576"/>
    <w:rsid w:val="00893E73"/>
    <w:rsid w:val="0089528D"/>
    <w:rsid w:val="00896D48"/>
    <w:rsid w:val="008973A3"/>
    <w:rsid w:val="008A43C4"/>
    <w:rsid w:val="008B02DC"/>
    <w:rsid w:val="008B0C98"/>
    <w:rsid w:val="008B36FE"/>
    <w:rsid w:val="008B3C7A"/>
    <w:rsid w:val="008B4C34"/>
    <w:rsid w:val="008B57CE"/>
    <w:rsid w:val="008B659F"/>
    <w:rsid w:val="008B7D24"/>
    <w:rsid w:val="008C1EB1"/>
    <w:rsid w:val="008C26DE"/>
    <w:rsid w:val="008C57A3"/>
    <w:rsid w:val="008C63AA"/>
    <w:rsid w:val="008D2225"/>
    <w:rsid w:val="008D4752"/>
    <w:rsid w:val="008D552A"/>
    <w:rsid w:val="008D6897"/>
    <w:rsid w:val="008E271C"/>
    <w:rsid w:val="008E3E11"/>
    <w:rsid w:val="008E418E"/>
    <w:rsid w:val="008E4B1D"/>
    <w:rsid w:val="008E5BC6"/>
    <w:rsid w:val="008E6A25"/>
    <w:rsid w:val="008F2B6C"/>
    <w:rsid w:val="008F31D6"/>
    <w:rsid w:val="008F46C4"/>
    <w:rsid w:val="008F4C7C"/>
    <w:rsid w:val="008F5193"/>
    <w:rsid w:val="009013A7"/>
    <w:rsid w:val="009017FB"/>
    <w:rsid w:val="009017FC"/>
    <w:rsid w:val="00903B43"/>
    <w:rsid w:val="009043D5"/>
    <w:rsid w:val="0090506B"/>
    <w:rsid w:val="009050C9"/>
    <w:rsid w:val="009066FC"/>
    <w:rsid w:val="00912BCF"/>
    <w:rsid w:val="009139B7"/>
    <w:rsid w:val="009140A3"/>
    <w:rsid w:val="009144A2"/>
    <w:rsid w:val="0091510C"/>
    <w:rsid w:val="00921405"/>
    <w:rsid w:val="0092396C"/>
    <w:rsid w:val="00923FD0"/>
    <w:rsid w:val="009259AC"/>
    <w:rsid w:val="00926F38"/>
    <w:rsid w:val="00934301"/>
    <w:rsid w:val="00934939"/>
    <w:rsid w:val="009356D5"/>
    <w:rsid w:val="00936CD1"/>
    <w:rsid w:val="00941747"/>
    <w:rsid w:val="00941EFB"/>
    <w:rsid w:val="00947AFB"/>
    <w:rsid w:val="00951D7D"/>
    <w:rsid w:val="00952C12"/>
    <w:rsid w:val="009630C7"/>
    <w:rsid w:val="00972B55"/>
    <w:rsid w:val="00973B3E"/>
    <w:rsid w:val="009742A4"/>
    <w:rsid w:val="009743B7"/>
    <w:rsid w:val="009771B2"/>
    <w:rsid w:val="00981545"/>
    <w:rsid w:val="0098228B"/>
    <w:rsid w:val="009828DA"/>
    <w:rsid w:val="00985BAB"/>
    <w:rsid w:val="009955A2"/>
    <w:rsid w:val="00997F03"/>
    <w:rsid w:val="009A08B1"/>
    <w:rsid w:val="009A46DF"/>
    <w:rsid w:val="009B1B5F"/>
    <w:rsid w:val="009B2637"/>
    <w:rsid w:val="009B2EC2"/>
    <w:rsid w:val="009B47F7"/>
    <w:rsid w:val="009B6673"/>
    <w:rsid w:val="009B77B5"/>
    <w:rsid w:val="009C0094"/>
    <w:rsid w:val="009C191B"/>
    <w:rsid w:val="009C2BD6"/>
    <w:rsid w:val="009C35B7"/>
    <w:rsid w:val="009C4DFE"/>
    <w:rsid w:val="009D47D8"/>
    <w:rsid w:val="009D690F"/>
    <w:rsid w:val="009E1614"/>
    <w:rsid w:val="009E1F32"/>
    <w:rsid w:val="009E1FA0"/>
    <w:rsid w:val="009E3787"/>
    <w:rsid w:val="009E3FAA"/>
    <w:rsid w:val="009E5829"/>
    <w:rsid w:val="009E776C"/>
    <w:rsid w:val="009F659A"/>
    <w:rsid w:val="009F6BD9"/>
    <w:rsid w:val="00A006E6"/>
    <w:rsid w:val="00A06EA5"/>
    <w:rsid w:val="00A0741A"/>
    <w:rsid w:val="00A120E0"/>
    <w:rsid w:val="00A123F8"/>
    <w:rsid w:val="00A130B4"/>
    <w:rsid w:val="00A135E1"/>
    <w:rsid w:val="00A1364F"/>
    <w:rsid w:val="00A1726E"/>
    <w:rsid w:val="00A203F6"/>
    <w:rsid w:val="00A204CF"/>
    <w:rsid w:val="00A20CE0"/>
    <w:rsid w:val="00A23D49"/>
    <w:rsid w:val="00A24A28"/>
    <w:rsid w:val="00A24EF7"/>
    <w:rsid w:val="00A27004"/>
    <w:rsid w:val="00A30C29"/>
    <w:rsid w:val="00A314BC"/>
    <w:rsid w:val="00A34DD6"/>
    <w:rsid w:val="00A36819"/>
    <w:rsid w:val="00A36989"/>
    <w:rsid w:val="00A41BA0"/>
    <w:rsid w:val="00A43628"/>
    <w:rsid w:val="00A44278"/>
    <w:rsid w:val="00A44AE9"/>
    <w:rsid w:val="00A50936"/>
    <w:rsid w:val="00A54192"/>
    <w:rsid w:val="00A57003"/>
    <w:rsid w:val="00A6035E"/>
    <w:rsid w:val="00A6144C"/>
    <w:rsid w:val="00A6481E"/>
    <w:rsid w:val="00A66617"/>
    <w:rsid w:val="00A671F8"/>
    <w:rsid w:val="00A673A4"/>
    <w:rsid w:val="00A716FB"/>
    <w:rsid w:val="00A724AE"/>
    <w:rsid w:val="00A73329"/>
    <w:rsid w:val="00A7500F"/>
    <w:rsid w:val="00A82359"/>
    <w:rsid w:val="00A863C4"/>
    <w:rsid w:val="00A865D2"/>
    <w:rsid w:val="00A94C20"/>
    <w:rsid w:val="00A96ED6"/>
    <w:rsid w:val="00AA0996"/>
    <w:rsid w:val="00AA227F"/>
    <w:rsid w:val="00AA266C"/>
    <w:rsid w:val="00AA3BC7"/>
    <w:rsid w:val="00AA661C"/>
    <w:rsid w:val="00AA754A"/>
    <w:rsid w:val="00AB08EE"/>
    <w:rsid w:val="00AB099E"/>
    <w:rsid w:val="00AB2CD3"/>
    <w:rsid w:val="00AB4328"/>
    <w:rsid w:val="00AB57ED"/>
    <w:rsid w:val="00AB5FA0"/>
    <w:rsid w:val="00AB7C70"/>
    <w:rsid w:val="00AC27B3"/>
    <w:rsid w:val="00AC304B"/>
    <w:rsid w:val="00AE0A2E"/>
    <w:rsid w:val="00AE354C"/>
    <w:rsid w:val="00AF14B5"/>
    <w:rsid w:val="00AF4B07"/>
    <w:rsid w:val="00AF579E"/>
    <w:rsid w:val="00AF6186"/>
    <w:rsid w:val="00AF7A3A"/>
    <w:rsid w:val="00B015B0"/>
    <w:rsid w:val="00B04E7F"/>
    <w:rsid w:val="00B07344"/>
    <w:rsid w:val="00B11CE2"/>
    <w:rsid w:val="00B160DB"/>
    <w:rsid w:val="00B20836"/>
    <w:rsid w:val="00B235BB"/>
    <w:rsid w:val="00B26305"/>
    <w:rsid w:val="00B27A44"/>
    <w:rsid w:val="00B30BBF"/>
    <w:rsid w:val="00B33C03"/>
    <w:rsid w:val="00B3440E"/>
    <w:rsid w:val="00B406D1"/>
    <w:rsid w:val="00B42251"/>
    <w:rsid w:val="00B44E56"/>
    <w:rsid w:val="00B46543"/>
    <w:rsid w:val="00B4677F"/>
    <w:rsid w:val="00B47798"/>
    <w:rsid w:val="00B47D33"/>
    <w:rsid w:val="00B52BE0"/>
    <w:rsid w:val="00B54133"/>
    <w:rsid w:val="00B55A29"/>
    <w:rsid w:val="00B637B9"/>
    <w:rsid w:val="00B701ED"/>
    <w:rsid w:val="00B7027B"/>
    <w:rsid w:val="00B717E3"/>
    <w:rsid w:val="00B72928"/>
    <w:rsid w:val="00B74A35"/>
    <w:rsid w:val="00B7561D"/>
    <w:rsid w:val="00B8086C"/>
    <w:rsid w:val="00B861B4"/>
    <w:rsid w:val="00B86DFE"/>
    <w:rsid w:val="00B90990"/>
    <w:rsid w:val="00B922FF"/>
    <w:rsid w:val="00B92491"/>
    <w:rsid w:val="00B9281E"/>
    <w:rsid w:val="00B93184"/>
    <w:rsid w:val="00B93925"/>
    <w:rsid w:val="00B95187"/>
    <w:rsid w:val="00B96EE6"/>
    <w:rsid w:val="00BA2D55"/>
    <w:rsid w:val="00BA5778"/>
    <w:rsid w:val="00BA71B1"/>
    <w:rsid w:val="00BB00D1"/>
    <w:rsid w:val="00BB0637"/>
    <w:rsid w:val="00BB0C90"/>
    <w:rsid w:val="00BB345F"/>
    <w:rsid w:val="00BB5883"/>
    <w:rsid w:val="00BB68EA"/>
    <w:rsid w:val="00BC1C27"/>
    <w:rsid w:val="00BC23DB"/>
    <w:rsid w:val="00BC6BBF"/>
    <w:rsid w:val="00BD1572"/>
    <w:rsid w:val="00BD49B2"/>
    <w:rsid w:val="00BD7A37"/>
    <w:rsid w:val="00BE14E3"/>
    <w:rsid w:val="00BE3774"/>
    <w:rsid w:val="00BE3B41"/>
    <w:rsid w:val="00BE4037"/>
    <w:rsid w:val="00BE41E5"/>
    <w:rsid w:val="00BE6AE7"/>
    <w:rsid w:val="00BF0BBB"/>
    <w:rsid w:val="00BF10D8"/>
    <w:rsid w:val="00BF4109"/>
    <w:rsid w:val="00BF4CC3"/>
    <w:rsid w:val="00C03B10"/>
    <w:rsid w:val="00C04247"/>
    <w:rsid w:val="00C054C7"/>
    <w:rsid w:val="00C057B5"/>
    <w:rsid w:val="00C07484"/>
    <w:rsid w:val="00C13A15"/>
    <w:rsid w:val="00C1404F"/>
    <w:rsid w:val="00C14358"/>
    <w:rsid w:val="00C15449"/>
    <w:rsid w:val="00C22687"/>
    <w:rsid w:val="00C22E24"/>
    <w:rsid w:val="00C26AC9"/>
    <w:rsid w:val="00C31107"/>
    <w:rsid w:val="00C32E4D"/>
    <w:rsid w:val="00C333A0"/>
    <w:rsid w:val="00C335DF"/>
    <w:rsid w:val="00C35ED5"/>
    <w:rsid w:val="00C36A81"/>
    <w:rsid w:val="00C376F2"/>
    <w:rsid w:val="00C41974"/>
    <w:rsid w:val="00C4351A"/>
    <w:rsid w:val="00C447AD"/>
    <w:rsid w:val="00C46A63"/>
    <w:rsid w:val="00C477D4"/>
    <w:rsid w:val="00C53F4A"/>
    <w:rsid w:val="00C54125"/>
    <w:rsid w:val="00C55B54"/>
    <w:rsid w:val="00C55BE7"/>
    <w:rsid w:val="00C6098E"/>
    <w:rsid w:val="00C6152C"/>
    <w:rsid w:val="00C621C2"/>
    <w:rsid w:val="00C63636"/>
    <w:rsid w:val="00C63DDF"/>
    <w:rsid w:val="00C70646"/>
    <w:rsid w:val="00C70E86"/>
    <w:rsid w:val="00C7416B"/>
    <w:rsid w:val="00C74810"/>
    <w:rsid w:val="00C75AAE"/>
    <w:rsid w:val="00C777C8"/>
    <w:rsid w:val="00C86CBC"/>
    <w:rsid w:val="00C90D68"/>
    <w:rsid w:val="00C915FB"/>
    <w:rsid w:val="00C916C8"/>
    <w:rsid w:val="00C91DCA"/>
    <w:rsid w:val="00C93160"/>
    <w:rsid w:val="00C939FE"/>
    <w:rsid w:val="00CA2256"/>
    <w:rsid w:val="00CA2534"/>
    <w:rsid w:val="00CA3B0A"/>
    <w:rsid w:val="00CA405B"/>
    <w:rsid w:val="00CA412B"/>
    <w:rsid w:val="00CA4BDA"/>
    <w:rsid w:val="00CA6ED0"/>
    <w:rsid w:val="00CB1F66"/>
    <w:rsid w:val="00CB2951"/>
    <w:rsid w:val="00CC0D7C"/>
    <w:rsid w:val="00CC2B8D"/>
    <w:rsid w:val="00CC4CA8"/>
    <w:rsid w:val="00CC520A"/>
    <w:rsid w:val="00CC6295"/>
    <w:rsid w:val="00CC6BA7"/>
    <w:rsid w:val="00CC7812"/>
    <w:rsid w:val="00CD282B"/>
    <w:rsid w:val="00CD4C35"/>
    <w:rsid w:val="00CD728E"/>
    <w:rsid w:val="00CD7369"/>
    <w:rsid w:val="00CE0B0E"/>
    <w:rsid w:val="00CE0C14"/>
    <w:rsid w:val="00CE2F1E"/>
    <w:rsid w:val="00CE3831"/>
    <w:rsid w:val="00CF375E"/>
    <w:rsid w:val="00CF5E82"/>
    <w:rsid w:val="00D00ABB"/>
    <w:rsid w:val="00D02EEC"/>
    <w:rsid w:val="00D02FBD"/>
    <w:rsid w:val="00D03551"/>
    <w:rsid w:val="00D06A63"/>
    <w:rsid w:val="00D07E0E"/>
    <w:rsid w:val="00D11478"/>
    <w:rsid w:val="00D15ED0"/>
    <w:rsid w:val="00D1676F"/>
    <w:rsid w:val="00D171BE"/>
    <w:rsid w:val="00D20DDA"/>
    <w:rsid w:val="00D21B3E"/>
    <w:rsid w:val="00D21FED"/>
    <w:rsid w:val="00D24251"/>
    <w:rsid w:val="00D24DF2"/>
    <w:rsid w:val="00D27845"/>
    <w:rsid w:val="00D343E2"/>
    <w:rsid w:val="00D3500A"/>
    <w:rsid w:val="00D35AC9"/>
    <w:rsid w:val="00D361A2"/>
    <w:rsid w:val="00D44C2E"/>
    <w:rsid w:val="00D44E18"/>
    <w:rsid w:val="00D45414"/>
    <w:rsid w:val="00D53C0F"/>
    <w:rsid w:val="00D564E0"/>
    <w:rsid w:val="00D566BD"/>
    <w:rsid w:val="00D57A4D"/>
    <w:rsid w:val="00D60A34"/>
    <w:rsid w:val="00D60AA7"/>
    <w:rsid w:val="00D60D87"/>
    <w:rsid w:val="00D6435F"/>
    <w:rsid w:val="00D66676"/>
    <w:rsid w:val="00D66732"/>
    <w:rsid w:val="00D75E28"/>
    <w:rsid w:val="00D772C2"/>
    <w:rsid w:val="00D8008E"/>
    <w:rsid w:val="00D801D3"/>
    <w:rsid w:val="00D825D0"/>
    <w:rsid w:val="00D82C45"/>
    <w:rsid w:val="00D835EA"/>
    <w:rsid w:val="00D86EC4"/>
    <w:rsid w:val="00D908A8"/>
    <w:rsid w:val="00D91FF2"/>
    <w:rsid w:val="00D926D6"/>
    <w:rsid w:val="00D9399C"/>
    <w:rsid w:val="00D94AAA"/>
    <w:rsid w:val="00D977B6"/>
    <w:rsid w:val="00DA15E3"/>
    <w:rsid w:val="00DA16C2"/>
    <w:rsid w:val="00DA4A31"/>
    <w:rsid w:val="00DA61F2"/>
    <w:rsid w:val="00DA7B04"/>
    <w:rsid w:val="00DB0C91"/>
    <w:rsid w:val="00DB14FA"/>
    <w:rsid w:val="00DB36C2"/>
    <w:rsid w:val="00DB66EE"/>
    <w:rsid w:val="00DB7196"/>
    <w:rsid w:val="00DB781E"/>
    <w:rsid w:val="00DC1553"/>
    <w:rsid w:val="00DC169B"/>
    <w:rsid w:val="00DC2AB9"/>
    <w:rsid w:val="00DC584C"/>
    <w:rsid w:val="00DC63F0"/>
    <w:rsid w:val="00DD228C"/>
    <w:rsid w:val="00DD6EE5"/>
    <w:rsid w:val="00DD6FBE"/>
    <w:rsid w:val="00DE1B8E"/>
    <w:rsid w:val="00DE2DF9"/>
    <w:rsid w:val="00DE386C"/>
    <w:rsid w:val="00DE4D35"/>
    <w:rsid w:val="00DE4FAE"/>
    <w:rsid w:val="00DE53A0"/>
    <w:rsid w:val="00DE7C93"/>
    <w:rsid w:val="00DF0549"/>
    <w:rsid w:val="00DF098B"/>
    <w:rsid w:val="00DF11C4"/>
    <w:rsid w:val="00DF1B96"/>
    <w:rsid w:val="00DF210C"/>
    <w:rsid w:val="00DF213A"/>
    <w:rsid w:val="00DF4B6A"/>
    <w:rsid w:val="00E00A82"/>
    <w:rsid w:val="00E02C09"/>
    <w:rsid w:val="00E04D59"/>
    <w:rsid w:val="00E06EC7"/>
    <w:rsid w:val="00E07DA1"/>
    <w:rsid w:val="00E10239"/>
    <w:rsid w:val="00E123CB"/>
    <w:rsid w:val="00E13293"/>
    <w:rsid w:val="00E14134"/>
    <w:rsid w:val="00E1557C"/>
    <w:rsid w:val="00E20E13"/>
    <w:rsid w:val="00E21DBC"/>
    <w:rsid w:val="00E269B1"/>
    <w:rsid w:val="00E275D7"/>
    <w:rsid w:val="00E27DBE"/>
    <w:rsid w:val="00E32AB1"/>
    <w:rsid w:val="00E33584"/>
    <w:rsid w:val="00E33A66"/>
    <w:rsid w:val="00E34A5D"/>
    <w:rsid w:val="00E3608E"/>
    <w:rsid w:val="00E36C71"/>
    <w:rsid w:val="00E40404"/>
    <w:rsid w:val="00E40507"/>
    <w:rsid w:val="00E4133A"/>
    <w:rsid w:val="00E41420"/>
    <w:rsid w:val="00E43AAA"/>
    <w:rsid w:val="00E459C6"/>
    <w:rsid w:val="00E47332"/>
    <w:rsid w:val="00E47589"/>
    <w:rsid w:val="00E515D4"/>
    <w:rsid w:val="00E53EF1"/>
    <w:rsid w:val="00E55A02"/>
    <w:rsid w:val="00E56F0E"/>
    <w:rsid w:val="00E64915"/>
    <w:rsid w:val="00E661D4"/>
    <w:rsid w:val="00E70091"/>
    <w:rsid w:val="00E7025A"/>
    <w:rsid w:val="00E720F5"/>
    <w:rsid w:val="00E738CE"/>
    <w:rsid w:val="00E76D47"/>
    <w:rsid w:val="00E849F7"/>
    <w:rsid w:val="00E857AE"/>
    <w:rsid w:val="00E8714A"/>
    <w:rsid w:val="00E87ABD"/>
    <w:rsid w:val="00E90302"/>
    <w:rsid w:val="00E90AF4"/>
    <w:rsid w:val="00E91031"/>
    <w:rsid w:val="00E91091"/>
    <w:rsid w:val="00E91EC0"/>
    <w:rsid w:val="00E92695"/>
    <w:rsid w:val="00E9597F"/>
    <w:rsid w:val="00E97396"/>
    <w:rsid w:val="00EA185E"/>
    <w:rsid w:val="00EA592A"/>
    <w:rsid w:val="00EA60B4"/>
    <w:rsid w:val="00EA737F"/>
    <w:rsid w:val="00EB022B"/>
    <w:rsid w:val="00EB102F"/>
    <w:rsid w:val="00EB14E4"/>
    <w:rsid w:val="00EB1774"/>
    <w:rsid w:val="00EB32A5"/>
    <w:rsid w:val="00EB34ED"/>
    <w:rsid w:val="00EB7BE0"/>
    <w:rsid w:val="00EC1D7A"/>
    <w:rsid w:val="00EC315E"/>
    <w:rsid w:val="00EC600D"/>
    <w:rsid w:val="00ED077C"/>
    <w:rsid w:val="00ED1190"/>
    <w:rsid w:val="00ED4E90"/>
    <w:rsid w:val="00ED6544"/>
    <w:rsid w:val="00EE0277"/>
    <w:rsid w:val="00EE1DA9"/>
    <w:rsid w:val="00EE3E00"/>
    <w:rsid w:val="00EE5DD2"/>
    <w:rsid w:val="00EE7963"/>
    <w:rsid w:val="00EF0073"/>
    <w:rsid w:val="00EF0238"/>
    <w:rsid w:val="00EF3790"/>
    <w:rsid w:val="00EF41F1"/>
    <w:rsid w:val="00EF4EC0"/>
    <w:rsid w:val="00EF4F08"/>
    <w:rsid w:val="00EF573B"/>
    <w:rsid w:val="00F00A79"/>
    <w:rsid w:val="00F00E86"/>
    <w:rsid w:val="00F00F8B"/>
    <w:rsid w:val="00F07C1E"/>
    <w:rsid w:val="00F1054B"/>
    <w:rsid w:val="00F105DB"/>
    <w:rsid w:val="00F132BC"/>
    <w:rsid w:val="00F13467"/>
    <w:rsid w:val="00F13D80"/>
    <w:rsid w:val="00F15E18"/>
    <w:rsid w:val="00F16AAA"/>
    <w:rsid w:val="00F17164"/>
    <w:rsid w:val="00F17493"/>
    <w:rsid w:val="00F21161"/>
    <w:rsid w:val="00F218EF"/>
    <w:rsid w:val="00F21A4C"/>
    <w:rsid w:val="00F21BC7"/>
    <w:rsid w:val="00F24988"/>
    <w:rsid w:val="00F266A2"/>
    <w:rsid w:val="00F26F57"/>
    <w:rsid w:val="00F27669"/>
    <w:rsid w:val="00F32269"/>
    <w:rsid w:val="00F36FE8"/>
    <w:rsid w:val="00F422EA"/>
    <w:rsid w:val="00F42ED9"/>
    <w:rsid w:val="00F4457E"/>
    <w:rsid w:val="00F566E1"/>
    <w:rsid w:val="00F56A6F"/>
    <w:rsid w:val="00F5709C"/>
    <w:rsid w:val="00F64EF1"/>
    <w:rsid w:val="00F6746E"/>
    <w:rsid w:val="00F82900"/>
    <w:rsid w:val="00F8311D"/>
    <w:rsid w:val="00F831CE"/>
    <w:rsid w:val="00F8439E"/>
    <w:rsid w:val="00F8765F"/>
    <w:rsid w:val="00F90767"/>
    <w:rsid w:val="00F91903"/>
    <w:rsid w:val="00F939F4"/>
    <w:rsid w:val="00F97FE9"/>
    <w:rsid w:val="00FA2294"/>
    <w:rsid w:val="00FA2D81"/>
    <w:rsid w:val="00FA685B"/>
    <w:rsid w:val="00FA7AE2"/>
    <w:rsid w:val="00FB0C01"/>
    <w:rsid w:val="00FB1645"/>
    <w:rsid w:val="00FB7C2B"/>
    <w:rsid w:val="00FC04E9"/>
    <w:rsid w:val="00FC18F2"/>
    <w:rsid w:val="00FC214F"/>
    <w:rsid w:val="00FC39E5"/>
    <w:rsid w:val="00FC3A78"/>
    <w:rsid w:val="00FC488B"/>
    <w:rsid w:val="00FC4E5A"/>
    <w:rsid w:val="00FC5FFE"/>
    <w:rsid w:val="00FC6CFF"/>
    <w:rsid w:val="00FD1005"/>
    <w:rsid w:val="00FD3180"/>
    <w:rsid w:val="00FD4F84"/>
    <w:rsid w:val="00FD66B0"/>
    <w:rsid w:val="00FD6C75"/>
    <w:rsid w:val="00FE71B3"/>
    <w:rsid w:val="00FF1ABB"/>
    <w:rsid w:val="00FF2AC9"/>
    <w:rsid w:val="00FF34C7"/>
    <w:rsid w:val="00FF42C5"/>
    <w:rsid w:val="00FF71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D690F"/>
    <w:pPr>
      <w:jc w:val="both"/>
    </w:pPr>
    <w:rPr>
      <w:rFonts w:eastAsiaTheme="minorEastAsia"/>
      <w:sz w:val="24"/>
      <w:lang w:val="en-GB"/>
    </w:rPr>
  </w:style>
  <w:style w:type="paragraph" w:styleId="Heading1">
    <w:name w:val="heading 1"/>
    <w:basedOn w:val="Normal"/>
    <w:next w:val="Normal"/>
    <w:link w:val="Heading1Char"/>
    <w:uiPriority w:val="99"/>
    <w:semiHidden/>
    <w:rsid w:val="009D690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D690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D690F"/>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D690F"/>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D690F"/>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9D690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D690F"/>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9D690F"/>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9D690F"/>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690F"/>
    <w:rPr>
      <w:rFonts w:ascii="Tahoma" w:hAnsi="Tahoma" w:cs="Tahoma"/>
      <w:sz w:val="16"/>
      <w:szCs w:val="16"/>
    </w:rPr>
  </w:style>
  <w:style w:type="character" w:customStyle="1" w:styleId="BalloonTextChar">
    <w:name w:val="Balloon Text Char"/>
    <w:basedOn w:val="DefaultParagraphFont"/>
    <w:link w:val="BalloonText"/>
    <w:uiPriority w:val="99"/>
    <w:semiHidden/>
    <w:rsid w:val="009D690F"/>
    <w:rPr>
      <w:rFonts w:ascii="Tahoma" w:eastAsiaTheme="minorEastAsia" w:hAnsi="Tahoma" w:cs="Tahoma"/>
      <w:sz w:val="16"/>
      <w:szCs w:val="16"/>
      <w:lang w:val="en-GB"/>
    </w:rPr>
  </w:style>
  <w:style w:type="character" w:styleId="BookTitle">
    <w:name w:val="Book Title"/>
    <w:uiPriority w:val="99"/>
    <w:semiHidden/>
    <w:qFormat/>
    <w:rsid w:val="009D690F"/>
    <w:rPr>
      <w:i/>
      <w:iCs/>
      <w:smallCaps/>
      <w:spacing w:val="5"/>
    </w:rPr>
  </w:style>
  <w:style w:type="paragraph" w:customStyle="1" w:styleId="ECHRHeader">
    <w:name w:val="ECHR_Header"/>
    <w:aliases w:val="Ju_Header"/>
    <w:basedOn w:val="Header"/>
    <w:uiPriority w:val="4"/>
    <w:qFormat/>
    <w:rsid w:val="009D690F"/>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D690F"/>
    <w:pPr>
      <w:jc w:val="left"/>
    </w:pPr>
    <w:rPr>
      <w:sz w:val="8"/>
    </w:rPr>
  </w:style>
  <w:style w:type="character" w:styleId="Strong">
    <w:name w:val="Strong"/>
    <w:uiPriority w:val="99"/>
    <w:semiHidden/>
    <w:qFormat/>
    <w:rsid w:val="009D690F"/>
    <w:rPr>
      <w:b/>
      <w:bCs/>
    </w:rPr>
  </w:style>
  <w:style w:type="paragraph" w:styleId="NoSpacing">
    <w:name w:val="No Spacing"/>
    <w:basedOn w:val="Normal"/>
    <w:link w:val="NoSpacingChar"/>
    <w:semiHidden/>
    <w:qFormat/>
    <w:rsid w:val="009D690F"/>
    <w:rPr>
      <w:sz w:val="22"/>
      <w:lang w:val="en-US"/>
    </w:rPr>
  </w:style>
  <w:style w:type="character" w:customStyle="1" w:styleId="NoSpacingChar">
    <w:name w:val="No Spacing Char"/>
    <w:basedOn w:val="DefaultParagraphFont"/>
    <w:link w:val="NoSpacing"/>
    <w:semiHidden/>
    <w:rsid w:val="009D690F"/>
    <w:rPr>
      <w:rFonts w:eastAsiaTheme="minorEastAsia"/>
    </w:rPr>
  </w:style>
  <w:style w:type="paragraph" w:customStyle="1" w:styleId="ECHRFooterLine">
    <w:name w:val="ECHR_Footer_Line"/>
    <w:aliases w:val="Footer_Line"/>
    <w:basedOn w:val="Normal"/>
    <w:next w:val="ECHRFooter"/>
    <w:uiPriority w:val="57"/>
    <w:semiHidden/>
    <w:rsid w:val="009D690F"/>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D690F"/>
  </w:style>
  <w:style w:type="paragraph" w:customStyle="1" w:styleId="DecList">
    <w:name w:val="Dec_List"/>
    <w:basedOn w:val="Normal"/>
    <w:uiPriority w:val="9"/>
    <w:semiHidden/>
    <w:qFormat/>
    <w:rsid w:val="009D690F"/>
    <w:pPr>
      <w:spacing w:before="240"/>
      <w:ind w:left="284"/>
    </w:pPr>
  </w:style>
  <w:style w:type="paragraph" w:customStyle="1" w:styleId="DummyStyle">
    <w:name w:val="Dummy_Style"/>
    <w:basedOn w:val="Normal"/>
    <w:semiHidden/>
    <w:qFormat/>
    <w:rsid w:val="009D690F"/>
    <w:rPr>
      <w:color w:val="00B050"/>
    </w:rPr>
  </w:style>
  <w:style w:type="paragraph" w:customStyle="1" w:styleId="ECHRTitleCentre3">
    <w:name w:val="ECHR_Title_Centre_3"/>
    <w:aliases w:val="Ju_H_Article"/>
    <w:basedOn w:val="Normal"/>
    <w:next w:val="ECHRParaQuote"/>
    <w:uiPriority w:val="27"/>
    <w:qFormat/>
    <w:rsid w:val="009D690F"/>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9D690F"/>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9D690F"/>
    <w:pPr>
      <w:numPr>
        <w:numId w:val="20"/>
      </w:numPr>
      <w:jc w:val="left"/>
    </w:pPr>
    <w:rPr>
      <w:b/>
    </w:rPr>
  </w:style>
  <w:style w:type="paragraph" w:customStyle="1" w:styleId="JuCourt">
    <w:name w:val="Ju_Court"/>
    <w:basedOn w:val="Normal"/>
    <w:next w:val="Normal"/>
    <w:uiPriority w:val="16"/>
    <w:qFormat/>
    <w:rsid w:val="009D690F"/>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9D690F"/>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9D690F"/>
    <w:pPr>
      <w:spacing w:after="240"/>
      <w:jc w:val="center"/>
      <w:outlineLvl w:val="0"/>
    </w:pPr>
    <w:rPr>
      <w:rFonts w:asciiTheme="majorHAnsi" w:hAnsiTheme="majorHAnsi"/>
    </w:rPr>
  </w:style>
  <w:style w:type="paragraph" w:customStyle="1" w:styleId="JuInitialled">
    <w:name w:val="Ju_Initialled"/>
    <w:basedOn w:val="Normal"/>
    <w:uiPriority w:val="31"/>
    <w:qFormat/>
    <w:rsid w:val="009D690F"/>
    <w:pPr>
      <w:tabs>
        <w:tab w:val="center" w:pos="6407"/>
      </w:tabs>
      <w:spacing w:before="720"/>
      <w:jc w:val="right"/>
    </w:pPr>
  </w:style>
  <w:style w:type="paragraph" w:styleId="Title">
    <w:name w:val="Title"/>
    <w:basedOn w:val="Normal"/>
    <w:next w:val="Normal"/>
    <w:link w:val="TitleChar"/>
    <w:uiPriority w:val="99"/>
    <w:semiHidden/>
    <w:qFormat/>
    <w:rsid w:val="009D690F"/>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9D690F"/>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9D690F"/>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9D690F"/>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D690F"/>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9D690F"/>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9D690F"/>
    <w:pPr>
      <w:keepNext/>
      <w:keepLines/>
      <w:spacing w:before="240" w:after="120"/>
      <w:ind w:left="1236"/>
    </w:pPr>
    <w:rPr>
      <w:sz w:val="20"/>
      <w:lang w:val="en-GB"/>
    </w:rPr>
  </w:style>
  <w:style w:type="character" w:customStyle="1" w:styleId="JuITMark">
    <w:name w:val="Ju_ITMark"/>
    <w:basedOn w:val="DefaultParagraphFont"/>
    <w:uiPriority w:val="38"/>
    <w:qFormat/>
    <w:rsid w:val="009D690F"/>
    <w:rPr>
      <w:vanish w:val="0"/>
      <w:color w:val="auto"/>
      <w:sz w:val="14"/>
      <w:bdr w:val="none" w:sz="0" w:space="0" w:color="auto"/>
      <w:shd w:val="clear" w:color="auto" w:fill="BEE5FF" w:themeFill="background1" w:themeFillTint="33"/>
    </w:rPr>
  </w:style>
  <w:style w:type="paragraph" w:customStyle="1" w:styleId="JuLista">
    <w:name w:val="Ju_List_a"/>
    <w:basedOn w:val="JuList"/>
    <w:uiPriority w:val="28"/>
    <w:qFormat/>
    <w:rsid w:val="009D690F"/>
    <w:pPr>
      <w:ind w:left="346" w:firstLine="0"/>
    </w:pPr>
  </w:style>
  <w:style w:type="paragraph" w:customStyle="1" w:styleId="JuListi">
    <w:name w:val="Ju_List_i"/>
    <w:basedOn w:val="Normal"/>
    <w:next w:val="JuLista"/>
    <w:uiPriority w:val="28"/>
    <w:qFormat/>
    <w:rsid w:val="009D690F"/>
    <w:pPr>
      <w:ind w:left="794"/>
    </w:pPr>
  </w:style>
  <w:style w:type="paragraph" w:styleId="Header">
    <w:name w:val="header"/>
    <w:basedOn w:val="Normal"/>
    <w:link w:val="HeaderChar"/>
    <w:uiPriority w:val="57"/>
    <w:semiHidden/>
    <w:rsid w:val="009D690F"/>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D690F"/>
    <w:rPr>
      <w:sz w:val="24"/>
      <w:lang w:val="en-GB"/>
    </w:rPr>
  </w:style>
  <w:style w:type="character" w:customStyle="1" w:styleId="Heading1Char">
    <w:name w:val="Heading 1 Char"/>
    <w:basedOn w:val="DefaultParagraphFont"/>
    <w:link w:val="Heading1"/>
    <w:uiPriority w:val="99"/>
    <w:semiHidden/>
    <w:rsid w:val="009D690F"/>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9D690F"/>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D690F"/>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D690F"/>
    <w:rPr>
      <w:rFonts w:asciiTheme="majorHAnsi" w:eastAsiaTheme="majorEastAsia" w:hAnsiTheme="majorHAnsi" w:cstheme="majorBidi"/>
      <w:b/>
      <w:bCs/>
      <w:color w:val="4D4D4D"/>
      <w:sz w:val="26"/>
      <w:szCs w:val="26"/>
      <w:lang w:val="en-GB"/>
    </w:rPr>
  </w:style>
  <w:style w:type="character" w:customStyle="1" w:styleId="JUNAMES">
    <w:name w:val="JU_NAMES"/>
    <w:uiPriority w:val="17"/>
    <w:qFormat/>
    <w:rsid w:val="009D690F"/>
    <w:rPr>
      <w:caps w:val="0"/>
      <w:smallCaps/>
    </w:rPr>
  </w:style>
  <w:style w:type="paragraph" w:customStyle="1" w:styleId="JuCase">
    <w:name w:val="Ju_Case"/>
    <w:basedOn w:val="Normal"/>
    <w:next w:val="ECHRPara"/>
    <w:uiPriority w:val="10"/>
    <w:rsid w:val="009D690F"/>
    <w:pPr>
      <w:ind w:firstLine="284"/>
    </w:pPr>
    <w:rPr>
      <w:b/>
    </w:rPr>
  </w:style>
  <w:style w:type="character" w:customStyle="1" w:styleId="Heading3Char">
    <w:name w:val="Heading 3 Char"/>
    <w:basedOn w:val="DefaultParagraphFont"/>
    <w:link w:val="Heading3"/>
    <w:uiPriority w:val="99"/>
    <w:semiHidden/>
    <w:rsid w:val="009D690F"/>
    <w:rPr>
      <w:rFonts w:asciiTheme="majorHAnsi" w:eastAsiaTheme="majorEastAsia" w:hAnsiTheme="majorHAnsi" w:cstheme="majorBidi"/>
      <w:b/>
      <w:bCs/>
      <w:color w:val="5F5F5F"/>
      <w:sz w:val="24"/>
      <w:lang w:val="en-GB"/>
    </w:rPr>
  </w:style>
  <w:style w:type="character" w:customStyle="1" w:styleId="Heading4Char">
    <w:name w:val="Heading 4 Char"/>
    <w:basedOn w:val="DefaultParagraphFont"/>
    <w:link w:val="Heading4"/>
    <w:uiPriority w:val="99"/>
    <w:semiHidden/>
    <w:rsid w:val="009D690F"/>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9D690F"/>
    <w:rPr>
      <w:rFonts w:asciiTheme="majorHAnsi" w:eastAsiaTheme="majorEastAsia" w:hAnsiTheme="majorHAnsi" w:cstheme="majorBidi"/>
      <w:b/>
      <w:bCs/>
      <w:color w:val="808080"/>
    </w:rPr>
  </w:style>
  <w:style w:type="character" w:styleId="SubtleEmphasis">
    <w:name w:val="Subtle Emphasis"/>
    <w:uiPriority w:val="99"/>
    <w:semiHidden/>
    <w:qFormat/>
    <w:rsid w:val="009D690F"/>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9D690F"/>
    <w:pPr>
      <w:keepNext/>
      <w:keepLines/>
      <w:spacing w:before="720" w:after="240"/>
      <w:outlineLvl w:val="0"/>
    </w:pPr>
    <w:rPr>
      <w:rFonts w:asciiTheme="majorHAnsi" w:hAnsiTheme="majorHAnsi"/>
      <w:sz w:val="28"/>
    </w:rPr>
  </w:style>
  <w:style w:type="character" w:styleId="Emphasis">
    <w:name w:val="Emphasis"/>
    <w:uiPriority w:val="99"/>
    <w:semiHidden/>
    <w:qFormat/>
    <w:rsid w:val="009D690F"/>
    <w:rPr>
      <w:b/>
      <w:bCs/>
      <w:i/>
      <w:iCs/>
      <w:spacing w:val="10"/>
      <w:bdr w:val="none" w:sz="0" w:space="0" w:color="auto"/>
      <w:shd w:val="clear" w:color="auto" w:fill="auto"/>
    </w:rPr>
  </w:style>
  <w:style w:type="paragraph" w:styleId="Footer">
    <w:name w:val="footer"/>
    <w:basedOn w:val="Normal"/>
    <w:link w:val="FooterChar"/>
    <w:uiPriority w:val="57"/>
    <w:semiHidden/>
    <w:rsid w:val="009D690F"/>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D690F"/>
    <w:rPr>
      <w:sz w:val="24"/>
      <w:lang w:val="en-GB"/>
    </w:rPr>
  </w:style>
  <w:style w:type="character" w:styleId="FootnoteReference">
    <w:name w:val="footnote reference"/>
    <w:basedOn w:val="DefaultParagraphFont"/>
    <w:uiPriority w:val="99"/>
    <w:semiHidden/>
    <w:rsid w:val="009D690F"/>
    <w:rPr>
      <w:vertAlign w:val="superscript"/>
    </w:rPr>
  </w:style>
  <w:style w:type="paragraph" w:styleId="FootnoteText">
    <w:name w:val="footnote text"/>
    <w:basedOn w:val="Normal"/>
    <w:link w:val="FootnoteTextChar"/>
    <w:uiPriority w:val="99"/>
    <w:semiHidden/>
    <w:rsid w:val="009D690F"/>
    <w:rPr>
      <w:sz w:val="20"/>
      <w:szCs w:val="20"/>
    </w:rPr>
  </w:style>
  <w:style w:type="character" w:customStyle="1" w:styleId="FootnoteTextChar">
    <w:name w:val="Footnote Text Char"/>
    <w:basedOn w:val="DefaultParagraphFont"/>
    <w:link w:val="FootnoteText"/>
    <w:uiPriority w:val="99"/>
    <w:semiHidden/>
    <w:rsid w:val="009D690F"/>
    <w:rPr>
      <w:rFonts w:eastAsiaTheme="minorEastAsia"/>
      <w:sz w:val="20"/>
      <w:szCs w:val="20"/>
      <w:lang w:val="en-GB"/>
    </w:rPr>
  </w:style>
  <w:style w:type="character" w:customStyle="1" w:styleId="Heading6Char">
    <w:name w:val="Heading 6 Char"/>
    <w:basedOn w:val="DefaultParagraphFont"/>
    <w:link w:val="Heading6"/>
    <w:uiPriority w:val="99"/>
    <w:semiHidden/>
    <w:rsid w:val="009D690F"/>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9D690F"/>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D690F"/>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D690F"/>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D690F"/>
    <w:rPr>
      <w:color w:val="0072BC" w:themeColor="hyperlink"/>
      <w:u w:val="single"/>
    </w:rPr>
  </w:style>
  <w:style w:type="character" w:styleId="IntenseEmphasis">
    <w:name w:val="Intense Emphasis"/>
    <w:uiPriority w:val="99"/>
    <w:semiHidden/>
    <w:qFormat/>
    <w:rsid w:val="009D690F"/>
    <w:rPr>
      <w:b/>
      <w:bCs/>
    </w:rPr>
  </w:style>
  <w:style w:type="paragraph" w:styleId="IntenseQuote">
    <w:name w:val="Intense Quote"/>
    <w:basedOn w:val="Normal"/>
    <w:next w:val="Normal"/>
    <w:link w:val="IntenseQuoteChar"/>
    <w:uiPriority w:val="99"/>
    <w:semiHidden/>
    <w:qFormat/>
    <w:rsid w:val="009D690F"/>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9D690F"/>
    <w:rPr>
      <w:rFonts w:eastAsiaTheme="minorEastAsia"/>
      <w:b/>
      <w:bCs/>
      <w:i/>
      <w:iCs/>
      <w:lang w:bidi="en-US"/>
    </w:rPr>
  </w:style>
  <w:style w:type="character" w:styleId="IntenseReference">
    <w:name w:val="Intense Reference"/>
    <w:uiPriority w:val="99"/>
    <w:semiHidden/>
    <w:qFormat/>
    <w:rsid w:val="009D690F"/>
    <w:rPr>
      <w:smallCaps/>
      <w:spacing w:val="5"/>
      <w:u w:val="single"/>
    </w:rPr>
  </w:style>
  <w:style w:type="paragraph" w:styleId="ListParagraph">
    <w:name w:val="List Paragraph"/>
    <w:basedOn w:val="Normal"/>
    <w:uiPriority w:val="99"/>
    <w:semiHidden/>
    <w:qFormat/>
    <w:rsid w:val="009D690F"/>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D690F"/>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9D690F"/>
    <w:rPr>
      <w:rFonts w:eastAsiaTheme="minorEastAsia"/>
      <w:i/>
      <w:iCs/>
      <w:lang w:bidi="en-US"/>
    </w:rPr>
  </w:style>
  <w:style w:type="character" w:styleId="SubtleReference">
    <w:name w:val="Subtle Reference"/>
    <w:uiPriority w:val="99"/>
    <w:semiHidden/>
    <w:qFormat/>
    <w:rsid w:val="009D690F"/>
    <w:rPr>
      <w:smallCaps/>
    </w:rPr>
  </w:style>
  <w:style w:type="table" w:styleId="TableGrid">
    <w:name w:val="Table Grid"/>
    <w:basedOn w:val="TableNormal"/>
    <w:uiPriority w:val="59"/>
    <w:semiHidden/>
    <w:rsid w:val="009D690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D690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D690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D690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D690F"/>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D690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D690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9D690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9D690F"/>
    <w:pPr>
      <w:spacing w:before="120" w:after="120"/>
      <w:ind w:left="425" w:firstLine="142"/>
    </w:pPr>
    <w:rPr>
      <w:sz w:val="20"/>
    </w:rPr>
  </w:style>
  <w:style w:type="paragraph" w:customStyle="1" w:styleId="ECHRPara">
    <w:name w:val="ECHR_Para"/>
    <w:aliases w:val="Ju_Para"/>
    <w:basedOn w:val="Normal"/>
    <w:link w:val="JuParaCar"/>
    <w:uiPriority w:val="12"/>
    <w:qFormat/>
    <w:rsid w:val="009D690F"/>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D690F"/>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9D690F"/>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9D690F"/>
    <w:pPr>
      <w:ind w:left="340" w:hanging="340"/>
    </w:pPr>
  </w:style>
  <w:style w:type="paragraph" w:customStyle="1" w:styleId="JuSigned">
    <w:name w:val="Ju_Signed"/>
    <w:basedOn w:val="Normal"/>
    <w:next w:val="JuParaLast"/>
    <w:uiPriority w:val="32"/>
    <w:qFormat/>
    <w:rsid w:val="009D690F"/>
    <w:pPr>
      <w:tabs>
        <w:tab w:val="center" w:pos="851"/>
        <w:tab w:val="center" w:pos="6407"/>
      </w:tabs>
      <w:spacing w:before="720"/>
      <w:jc w:val="left"/>
    </w:pPr>
  </w:style>
  <w:style w:type="paragraph" w:customStyle="1" w:styleId="JuParaLast">
    <w:name w:val="Ju_Para_Last"/>
    <w:basedOn w:val="Normal"/>
    <w:next w:val="ECHRPara"/>
    <w:uiPriority w:val="30"/>
    <w:qFormat/>
    <w:rsid w:val="009D690F"/>
    <w:pPr>
      <w:keepNext/>
      <w:keepLines/>
      <w:spacing w:before="240"/>
      <w:ind w:firstLine="284"/>
    </w:pPr>
  </w:style>
  <w:style w:type="paragraph" w:customStyle="1" w:styleId="JuParaSub">
    <w:name w:val="Ju_Para_Sub"/>
    <w:basedOn w:val="ECHRPara"/>
    <w:uiPriority w:val="13"/>
    <w:qFormat/>
    <w:rsid w:val="009D690F"/>
    <w:pPr>
      <w:ind w:left="284"/>
    </w:pPr>
  </w:style>
  <w:style w:type="character" w:styleId="PageNumber">
    <w:name w:val="page number"/>
    <w:uiPriority w:val="99"/>
    <w:semiHidden/>
    <w:rsid w:val="00014566"/>
    <w:rPr>
      <w:sz w:val="18"/>
    </w:rPr>
  </w:style>
  <w:style w:type="paragraph" w:customStyle="1" w:styleId="JuQuotSub">
    <w:name w:val="Ju_Quot_Sub"/>
    <w:basedOn w:val="ECHRParaQuote"/>
    <w:uiPriority w:val="15"/>
    <w:qFormat/>
    <w:rsid w:val="009D690F"/>
    <w:pPr>
      <w:ind w:left="567"/>
    </w:pPr>
  </w:style>
  <w:style w:type="paragraph" w:customStyle="1" w:styleId="JuTitle">
    <w:name w:val="Ju_Title"/>
    <w:basedOn w:val="Normal"/>
    <w:next w:val="ECHRPara"/>
    <w:uiPriority w:val="3"/>
    <w:semiHidden/>
    <w:qFormat/>
    <w:rsid w:val="009D690F"/>
    <w:pPr>
      <w:spacing w:before="720" w:after="240"/>
      <w:jc w:val="center"/>
      <w:outlineLvl w:val="0"/>
    </w:pPr>
    <w:rPr>
      <w:rFonts w:asciiTheme="majorHAnsi" w:hAnsiTheme="majorHAnsi"/>
      <w:b/>
      <w:caps/>
    </w:r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basedOn w:val="DefaultParagraphFont"/>
    <w:uiPriority w:val="99"/>
    <w:semiHidden/>
    <w:rsid w:val="009D690F"/>
    <w:rPr>
      <w:vertAlign w:val="superscript"/>
    </w:rPr>
  </w:style>
  <w:style w:type="paragraph" w:styleId="EndnoteText">
    <w:name w:val="endnote text"/>
    <w:basedOn w:val="Normal"/>
    <w:link w:val="EndnoteTextChar"/>
    <w:uiPriority w:val="99"/>
    <w:semiHidden/>
    <w:rsid w:val="009D690F"/>
    <w:rPr>
      <w:sz w:val="20"/>
      <w:szCs w:val="20"/>
    </w:rPr>
  </w:style>
  <w:style w:type="character" w:customStyle="1" w:styleId="EndnoteTextChar">
    <w:name w:val="Endnote Text Char"/>
    <w:basedOn w:val="DefaultParagraphFont"/>
    <w:link w:val="EndnoteText"/>
    <w:uiPriority w:val="99"/>
    <w:semiHidden/>
    <w:rsid w:val="009D690F"/>
    <w:rPr>
      <w:rFonts w:eastAsiaTheme="minorEastAsia"/>
      <w:sz w:val="20"/>
      <w:szCs w:val="20"/>
      <w:lang w:val="en-GB"/>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H1">
    <w:name w:val="Opi_H_1"/>
    <w:basedOn w:val="ECHRHeading2"/>
    <w:uiPriority w:val="42"/>
    <w:qFormat/>
    <w:rsid w:val="009D690F"/>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9D690F"/>
    <w:pPr>
      <w:ind w:left="833" w:hanging="357"/>
      <w:outlineLvl w:val="3"/>
    </w:pPr>
    <w:rPr>
      <w:b/>
      <w:i w:val="0"/>
      <w:sz w:val="20"/>
    </w:rPr>
  </w:style>
  <w:style w:type="paragraph" w:styleId="Subtitle">
    <w:name w:val="Subtitle"/>
    <w:basedOn w:val="Normal"/>
    <w:next w:val="Normal"/>
    <w:link w:val="SubtitleChar"/>
    <w:uiPriority w:val="99"/>
    <w:semiHidden/>
    <w:qFormat/>
    <w:rsid w:val="009D690F"/>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9D690F"/>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9D690F"/>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D690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D690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9D690F"/>
    <w:pPr>
      <w:tabs>
        <w:tab w:val="clear" w:pos="357"/>
      </w:tabs>
      <w:outlineLvl w:val="1"/>
    </w:pPr>
    <w:rPr>
      <w:b/>
    </w:rPr>
  </w:style>
  <w:style w:type="paragraph" w:customStyle="1" w:styleId="OpiHi">
    <w:name w:val="Opi_H_i"/>
    <w:basedOn w:val="ECHRHeading4"/>
    <w:uiPriority w:val="44"/>
    <w:qFormat/>
    <w:rsid w:val="009D690F"/>
    <w:pPr>
      <w:ind w:left="1037" w:hanging="357"/>
      <w:outlineLvl w:val="4"/>
    </w:pPr>
    <w:rPr>
      <w:b w:val="0"/>
      <w:i/>
    </w:rPr>
  </w:style>
  <w:style w:type="paragraph" w:customStyle="1" w:styleId="OpiPara">
    <w:name w:val="Opi_Para"/>
    <w:basedOn w:val="ECHRPara"/>
    <w:uiPriority w:val="46"/>
    <w:qFormat/>
    <w:rsid w:val="009D690F"/>
  </w:style>
  <w:style w:type="paragraph" w:customStyle="1" w:styleId="OpiParaSub">
    <w:name w:val="Opi_Para_Sub"/>
    <w:basedOn w:val="JuParaSub"/>
    <w:uiPriority w:val="47"/>
    <w:qFormat/>
    <w:rsid w:val="009D690F"/>
  </w:style>
  <w:style w:type="paragraph" w:customStyle="1" w:styleId="OpiQuot">
    <w:name w:val="Opi_Quot"/>
    <w:basedOn w:val="ECHRParaQuote"/>
    <w:uiPriority w:val="48"/>
    <w:qFormat/>
    <w:rsid w:val="009D690F"/>
  </w:style>
  <w:style w:type="paragraph" w:customStyle="1" w:styleId="OpiQuotSub">
    <w:name w:val="Opi_Quot_Sub"/>
    <w:basedOn w:val="JuQuotSub"/>
    <w:uiPriority w:val="49"/>
    <w:qFormat/>
    <w:rsid w:val="009D690F"/>
  </w:style>
  <w:style w:type="paragraph" w:customStyle="1" w:styleId="OpiTranslation">
    <w:name w:val="Opi_Translation"/>
    <w:basedOn w:val="Normal"/>
    <w:next w:val="OpiPara"/>
    <w:uiPriority w:val="40"/>
    <w:qFormat/>
    <w:rsid w:val="009D690F"/>
    <w:pPr>
      <w:jc w:val="center"/>
      <w:outlineLvl w:val="0"/>
    </w:pPr>
    <w:rPr>
      <w:i/>
    </w:rPr>
  </w:style>
  <w:style w:type="character" w:customStyle="1" w:styleId="JuParaCar">
    <w:name w:val="Ju_Para Car"/>
    <w:link w:val="ECHRPara"/>
    <w:uiPriority w:val="12"/>
    <w:rsid w:val="00D1676F"/>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47134">
      <w:bodyDiv w:val="1"/>
      <w:marLeft w:val="0"/>
      <w:marRight w:val="0"/>
      <w:marTop w:val="0"/>
      <w:marBottom w:val="0"/>
      <w:divBdr>
        <w:top w:val="none" w:sz="0" w:space="0" w:color="auto"/>
        <w:left w:val="none" w:sz="0" w:space="0" w:color="auto"/>
        <w:bottom w:val="none" w:sz="0" w:space="0" w:color="auto"/>
        <w:right w:val="none" w:sz="0" w:space="0" w:color="auto"/>
      </w:divBdr>
      <w:divsChild>
        <w:div w:id="819346049">
          <w:marLeft w:val="0"/>
          <w:marRight w:val="0"/>
          <w:marTop w:val="0"/>
          <w:marBottom w:val="0"/>
          <w:divBdr>
            <w:top w:val="none" w:sz="0" w:space="0" w:color="auto"/>
            <w:left w:val="none" w:sz="0" w:space="0" w:color="auto"/>
            <w:bottom w:val="none" w:sz="0" w:space="0" w:color="auto"/>
            <w:right w:val="none" w:sz="0" w:space="0" w:color="auto"/>
          </w:divBdr>
          <w:divsChild>
            <w:div w:id="1342050246">
              <w:marLeft w:val="0"/>
              <w:marRight w:val="0"/>
              <w:marTop w:val="0"/>
              <w:marBottom w:val="0"/>
              <w:divBdr>
                <w:top w:val="none" w:sz="0" w:space="0" w:color="auto"/>
                <w:left w:val="none" w:sz="0" w:space="0" w:color="auto"/>
                <w:bottom w:val="none" w:sz="0" w:space="0" w:color="auto"/>
                <w:right w:val="none" w:sz="0" w:space="0" w:color="auto"/>
              </w:divBdr>
              <w:divsChild>
                <w:div w:id="446505895">
                  <w:marLeft w:val="0"/>
                  <w:marRight w:val="0"/>
                  <w:marTop w:val="0"/>
                  <w:marBottom w:val="0"/>
                  <w:divBdr>
                    <w:top w:val="none" w:sz="0" w:space="0" w:color="auto"/>
                    <w:left w:val="none" w:sz="0" w:space="0" w:color="auto"/>
                    <w:bottom w:val="none" w:sz="0" w:space="0" w:color="auto"/>
                    <w:right w:val="none" w:sz="0" w:space="0" w:color="auto"/>
                  </w:divBdr>
                  <w:divsChild>
                    <w:div w:id="1374618842">
                      <w:marLeft w:val="0"/>
                      <w:marRight w:val="0"/>
                      <w:marTop w:val="0"/>
                      <w:marBottom w:val="0"/>
                      <w:divBdr>
                        <w:top w:val="none" w:sz="0" w:space="0" w:color="auto"/>
                        <w:left w:val="none" w:sz="0" w:space="0" w:color="auto"/>
                        <w:bottom w:val="none" w:sz="0" w:space="0" w:color="auto"/>
                        <w:right w:val="none" w:sz="0" w:space="0" w:color="auto"/>
                      </w:divBdr>
                      <w:divsChild>
                        <w:div w:id="409621929">
                          <w:marLeft w:val="0"/>
                          <w:marRight w:val="0"/>
                          <w:marTop w:val="0"/>
                          <w:marBottom w:val="0"/>
                          <w:divBdr>
                            <w:top w:val="none" w:sz="0" w:space="0" w:color="auto"/>
                            <w:left w:val="none" w:sz="0" w:space="0" w:color="auto"/>
                            <w:bottom w:val="none" w:sz="0" w:space="0" w:color="auto"/>
                            <w:right w:val="none" w:sz="0" w:space="0" w:color="auto"/>
                          </w:divBdr>
                          <w:divsChild>
                            <w:div w:id="6379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1191">
      <w:bodyDiv w:val="1"/>
      <w:marLeft w:val="0"/>
      <w:marRight w:val="0"/>
      <w:marTop w:val="0"/>
      <w:marBottom w:val="0"/>
      <w:divBdr>
        <w:top w:val="none" w:sz="0" w:space="0" w:color="auto"/>
        <w:left w:val="none" w:sz="0" w:space="0" w:color="auto"/>
        <w:bottom w:val="none" w:sz="0" w:space="0" w:color="auto"/>
        <w:right w:val="none" w:sz="0" w:space="0" w:color="auto"/>
      </w:divBdr>
      <w:divsChild>
        <w:div w:id="1980764779">
          <w:marLeft w:val="0"/>
          <w:marRight w:val="0"/>
          <w:marTop w:val="0"/>
          <w:marBottom w:val="0"/>
          <w:divBdr>
            <w:top w:val="none" w:sz="0" w:space="0" w:color="auto"/>
            <w:left w:val="none" w:sz="0" w:space="0" w:color="auto"/>
            <w:bottom w:val="none" w:sz="0" w:space="0" w:color="auto"/>
            <w:right w:val="none" w:sz="0" w:space="0" w:color="auto"/>
          </w:divBdr>
          <w:divsChild>
            <w:div w:id="1683166136">
              <w:marLeft w:val="0"/>
              <w:marRight w:val="0"/>
              <w:marTop w:val="0"/>
              <w:marBottom w:val="0"/>
              <w:divBdr>
                <w:top w:val="none" w:sz="0" w:space="0" w:color="auto"/>
                <w:left w:val="none" w:sz="0" w:space="0" w:color="auto"/>
                <w:bottom w:val="none" w:sz="0" w:space="0" w:color="auto"/>
                <w:right w:val="none" w:sz="0" w:space="0" w:color="auto"/>
              </w:divBdr>
              <w:divsChild>
                <w:div w:id="684594627">
                  <w:marLeft w:val="0"/>
                  <w:marRight w:val="0"/>
                  <w:marTop w:val="0"/>
                  <w:marBottom w:val="0"/>
                  <w:divBdr>
                    <w:top w:val="none" w:sz="0" w:space="0" w:color="auto"/>
                    <w:left w:val="none" w:sz="0" w:space="0" w:color="auto"/>
                    <w:bottom w:val="none" w:sz="0" w:space="0" w:color="auto"/>
                    <w:right w:val="none" w:sz="0" w:space="0" w:color="auto"/>
                  </w:divBdr>
                  <w:divsChild>
                    <w:div w:id="1886403889">
                      <w:marLeft w:val="0"/>
                      <w:marRight w:val="0"/>
                      <w:marTop w:val="0"/>
                      <w:marBottom w:val="0"/>
                      <w:divBdr>
                        <w:top w:val="none" w:sz="0" w:space="0" w:color="auto"/>
                        <w:left w:val="none" w:sz="0" w:space="0" w:color="auto"/>
                        <w:bottom w:val="none" w:sz="0" w:space="0" w:color="auto"/>
                        <w:right w:val="none" w:sz="0" w:space="0" w:color="auto"/>
                      </w:divBdr>
                      <w:divsChild>
                        <w:div w:id="591011028">
                          <w:marLeft w:val="0"/>
                          <w:marRight w:val="0"/>
                          <w:marTop w:val="0"/>
                          <w:marBottom w:val="0"/>
                          <w:divBdr>
                            <w:top w:val="none" w:sz="0" w:space="0" w:color="auto"/>
                            <w:left w:val="none" w:sz="0" w:space="0" w:color="auto"/>
                            <w:bottom w:val="none" w:sz="0" w:space="0" w:color="auto"/>
                            <w:right w:val="none" w:sz="0" w:space="0" w:color="auto"/>
                          </w:divBdr>
                          <w:divsChild>
                            <w:div w:id="3090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572248">
      <w:bodyDiv w:val="1"/>
      <w:marLeft w:val="0"/>
      <w:marRight w:val="0"/>
      <w:marTop w:val="0"/>
      <w:marBottom w:val="0"/>
      <w:divBdr>
        <w:top w:val="none" w:sz="0" w:space="0" w:color="auto"/>
        <w:left w:val="none" w:sz="0" w:space="0" w:color="auto"/>
        <w:bottom w:val="none" w:sz="0" w:space="0" w:color="auto"/>
        <w:right w:val="none" w:sz="0" w:space="0" w:color="auto"/>
      </w:divBdr>
      <w:divsChild>
        <w:div w:id="1775634807">
          <w:marLeft w:val="0"/>
          <w:marRight w:val="0"/>
          <w:marTop w:val="0"/>
          <w:marBottom w:val="0"/>
          <w:divBdr>
            <w:top w:val="none" w:sz="0" w:space="0" w:color="auto"/>
            <w:left w:val="none" w:sz="0" w:space="0" w:color="auto"/>
            <w:bottom w:val="none" w:sz="0" w:space="0" w:color="auto"/>
            <w:right w:val="none" w:sz="0" w:space="0" w:color="auto"/>
          </w:divBdr>
          <w:divsChild>
            <w:div w:id="191311281">
              <w:marLeft w:val="0"/>
              <w:marRight w:val="0"/>
              <w:marTop w:val="0"/>
              <w:marBottom w:val="0"/>
              <w:divBdr>
                <w:top w:val="none" w:sz="0" w:space="0" w:color="auto"/>
                <w:left w:val="none" w:sz="0" w:space="0" w:color="auto"/>
                <w:bottom w:val="none" w:sz="0" w:space="0" w:color="auto"/>
                <w:right w:val="none" w:sz="0" w:space="0" w:color="auto"/>
              </w:divBdr>
              <w:divsChild>
                <w:div w:id="316420693">
                  <w:marLeft w:val="0"/>
                  <w:marRight w:val="0"/>
                  <w:marTop w:val="0"/>
                  <w:marBottom w:val="0"/>
                  <w:divBdr>
                    <w:top w:val="none" w:sz="0" w:space="0" w:color="auto"/>
                    <w:left w:val="none" w:sz="0" w:space="0" w:color="auto"/>
                    <w:bottom w:val="none" w:sz="0" w:space="0" w:color="auto"/>
                    <w:right w:val="none" w:sz="0" w:space="0" w:color="auto"/>
                  </w:divBdr>
                  <w:divsChild>
                    <w:div w:id="478496947">
                      <w:marLeft w:val="0"/>
                      <w:marRight w:val="0"/>
                      <w:marTop w:val="0"/>
                      <w:marBottom w:val="0"/>
                      <w:divBdr>
                        <w:top w:val="none" w:sz="0" w:space="0" w:color="auto"/>
                        <w:left w:val="none" w:sz="0" w:space="0" w:color="auto"/>
                        <w:bottom w:val="none" w:sz="0" w:space="0" w:color="auto"/>
                        <w:right w:val="none" w:sz="0" w:space="0" w:color="auto"/>
                      </w:divBdr>
                      <w:divsChild>
                        <w:div w:id="915015351">
                          <w:marLeft w:val="0"/>
                          <w:marRight w:val="0"/>
                          <w:marTop w:val="0"/>
                          <w:marBottom w:val="0"/>
                          <w:divBdr>
                            <w:top w:val="none" w:sz="0" w:space="0" w:color="auto"/>
                            <w:left w:val="none" w:sz="0" w:space="0" w:color="auto"/>
                            <w:bottom w:val="none" w:sz="0" w:space="0" w:color="auto"/>
                            <w:right w:val="none" w:sz="0" w:space="0" w:color="auto"/>
                          </w:divBdr>
                          <w:divsChild>
                            <w:div w:id="3600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606220">
      <w:bodyDiv w:val="1"/>
      <w:marLeft w:val="0"/>
      <w:marRight w:val="0"/>
      <w:marTop w:val="0"/>
      <w:marBottom w:val="0"/>
      <w:divBdr>
        <w:top w:val="none" w:sz="0" w:space="0" w:color="auto"/>
        <w:left w:val="none" w:sz="0" w:space="0" w:color="auto"/>
        <w:bottom w:val="none" w:sz="0" w:space="0" w:color="auto"/>
        <w:right w:val="none" w:sz="0" w:space="0" w:color="auto"/>
      </w:divBdr>
    </w:div>
    <w:div w:id="713193990">
      <w:bodyDiv w:val="1"/>
      <w:marLeft w:val="0"/>
      <w:marRight w:val="0"/>
      <w:marTop w:val="0"/>
      <w:marBottom w:val="0"/>
      <w:divBdr>
        <w:top w:val="none" w:sz="0" w:space="0" w:color="auto"/>
        <w:left w:val="none" w:sz="0" w:space="0" w:color="auto"/>
        <w:bottom w:val="none" w:sz="0" w:space="0" w:color="auto"/>
        <w:right w:val="none" w:sz="0" w:space="0" w:color="auto"/>
      </w:divBdr>
      <w:divsChild>
        <w:div w:id="1416899698">
          <w:marLeft w:val="0"/>
          <w:marRight w:val="0"/>
          <w:marTop w:val="0"/>
          <w:marBottom w:val="0"/>
          <w:divBdr>
            <w:top w:val="none" w:sz="0" w:space="0" w:color="auto"/>
            <w:left w:val="none" w:sz="0" w:space="0" w:color="auto"/>
            <w:bottom w:val="none" w:sz="0" w:space="0" w:color="auto"/>
            <w:right w:val="none" w:sz="0" w:space="0" w:color="auto"/>
          </w:divBdr>
          <w:divsChild>
            <w:div w:id="1661346590">
              <w:marLeft w:val="0"/>
              <w:marRight w:val="0"/>
              <w:marTop w:val="0"/>
              <w:marBottom w:val="0"/>
              <w:divBdr>
                <w:top w:val="none" w:sz="0" w:space="0" w:color="auto"/>
                <w:left w:val="none" w:sz="0" w:space="0" w:color="auto"/>
                <w:bottom w:val="none" w:sz="0" w:space="0" w:color="auto"/>
                <w:right w:val="none" w:sz="0" w:space="0" w:color="auto"/>
              </w:divBdr>
              <w:divsChild>
                <w:div w:id="1812479997">
                  <w:marLeft w:val="0"/>
                  <w:marRight w:val="0"/>
                  <w:marTop w:val="0"/>
                  <w:marBottom w:val="0"/>
                  <w:divBdr>
                    <w:top w:val="none" w:sz="0" w:space="0" w:color="auto"/>
                    <w:left w:val="none" w:sz="0" w:space="0" w:color="auto"/>
                    <w:bottom w:val="none" w:sz="0" w:space="0" w:color="auto"/>
                    <w:right w:val="none" w:sz="0" w:space="0" w:color="auto"/>
                  </w:divBdr>
                  <w:divsChild>
                    <w:div w:id="1774670079">
                      <w:marLeft w:val="0"/>
                      <w:marRight w:val="0"/>
                      <w:marTop w:val="0"/>
                      <w:marBottom w:val="0"/>
                      <w:divBdr>
                        <w:top w:val="none" w:sz="0" w:space="0" w:color="auto"/>
                        <w:left w:val="none" w:sz="0" w:space="0" w:color="auto"/>
                        <w:bottom w:val="none" w:sz="0" w:space="0" w:color="auto"/>
                        <w:right w:val="none" w:sz="0" w:space="0" w:color="auto"/>
                      </w:divBdr>
                      <w:divsChild>
                        <w:div w:id="1593853489">
                          <w:marLeft w:val="0"/>
                          <w:marRight w:val="0"/>
                          <w:marTop w:val="0"/>
                          <w:marBottom w:val="0"/>
                          <w:divBdr>
                            <w:top w:val="none" w:sz="0" w:space="0" w:color="auto"/>
                            <w:left w:val="none" w:sz="0" w:space="0" w:color="auto"/>
                            <w:bottom w:val="none" w:sz="0" w:space="0" w:color="auto"/>
                            <w:right w:val="none" w:sz="0" w:space="0" w:color="auto"/>
                          </w:divBdr>
                          <w:divsChild>
                            <w:div w:id="11324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29579">
      <w:bodyDiv w:val="1"/>
      <w:marLeft w:val="0"/>
      <w:marRight w:val="0"/>
      <w:marTop w:val="0"/>
      <w:marBottom w:val="0"/>
      <w:divBdr>
        <w:top w:val="none" w:sz="0" w:space="0" w:color="auto"/>
        <w:left w:val="none" w:sz="0" w:space="0" w:color="auto"/>
        <w:bottom w:val="none" w:sz="0" w:space="0" w:color="auto"/>
        <w:right w:val="none" w:sz="0" w:space="0" w:color="auto"/>
      </w:divBdr>
    </w:div>
    <w:div w:id="731001894">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1307200770">
      <w:bodyDiv w:val="1"/>
      <w:marLeft w:val="0"/>
      <w:marRight w:val="0"/>
      <w:marTop w:val="0"/>
      <w:marBottom w:val="0"/>
      <w:divBdr>
        <w:top w:val="none" w:sz="0" w:space="0" w:color="auto"/>
        <w:left w:val="none" w:sz="0" w:space="0" w:color="auto"/>
        <w:bottom w:val="none" w:sz="0" w:space="0" w:color="auto"/>
        <w:right w:val="none" w:sz="0" w:space="0" w:color="auto"/>
      </w:divBdr>
    </w:div>
    <w:div w:id="1343782139">
      <w:bodyDiv w:val="1"/>
      <w:marLeft w:val="0"/>
      <w:marRight w:val="0"/>
      <w:marTop w:val="0"/>
      <w:marBottom w:val="0"/>
      <w:divBdr>
        <w:top w:val="none" w:sz="0" w:space="0" w:color="auto"/>
        <w:left w:val="none" w:sz="0" w:space="0" w:color="auto"/>
        <w:bottom w:val="none" w:sz="0" w:space="0" w:color="auto"/>
        <w:right w:val="none" w:sz="0" w:space="0" w:color="auto"/>
      </w:divBdr>
      <w:divsChild>
        <w:div w:id="2039306235">
          <w:marLeft w:val="0"/>
          <w:marRight w:val="0"/>
          <w:marTop w:val="0"/>
          <w:marBottom w:val="0"/>
          <w:divBdr>
            <w:top w:val="none" w:sz="0" w:space="0" w:color="auto"/>
            <w:left w:val="none" w:sz="0" w:space="0" w:color="auto"/>
            <w:bottom w:val="none" w:sz="0" w:space="0" w:color="auto"/>
            <w:right w:val="none" w:sz="0" w:space="0" w:color="auto"/>
          </w:divBdr>
          <w:divsChild>
            <w:div w:id="1207647793">
              <w:marLeft w:val="0"/>
              <w:marRight w:val="0"/>
              <w:marTop w:val="0"/>
              <w:marBottom w:val="0"/>
              <w:divBdr>
                <w:top w:val="none" w:sz="0" w:space="0" w:color="auto"/>
                <w:left w:val="none" w:sz="0" w:space="0" w:color="auto"/>
                <w:bottom w:val="none" w:sz="0" w:space="0" w:color="auto"/>
                <w:right w:val="none" w:sz="0" w:space="0" w:color="auto"/>
              </w:divBdr>
              <w:divsChild>
                <w:div w:id="62072887">
                  <w:marLeft w:val="0"/>
                  <w:marRight w:val="0"/>
                  <w:marTop w:val="0"/>
                  <w:marBottom w:val="0"/>
                  <w:divBdr>
                    <w:top w:val="none" w:sz="0" w:space="0" w:color="auto"/>
                    <w:left w:val="none" w:sz="0" w:space="0" w:color="auto"/>
                    <w:bottom w:val="none" w:sz="0" w:space="0" w:color="auto"/>
                    <w:right w:val="none" w:sz="0" w:space="0" w:color="auto"/>
                  </w:divBdr>
                  <w:divsChild>
                    <w:div w:id="2056661732">
                      <w:marLeft w:val="0"/>
                      <w:marRight w:val="0"/>
                      <w:marTop w:val="0"/>
                      <w:marBottom w:val="0"/>
                      <w:divBdr>
                        <w:top w:val="none" w:sz="0" w:space="0" w:color="auto"/>
                        <w:left w:val="none" w:sz="0" w:space="0" w:color="auto"/>
                        <w:bottom w:val="none" w:sz="0" w:space="0" w:color="auto"/>
                        <w:right w:val="none" w:sz="0" w:space="0" w:color="auto"/>
                      </w:divBdr>
                      <w:divsChild>
                        <w:div w:id="1102072704">
                          <w:marLeft w:val="0"/>
                          <w:marRight w:val="0"/>
                          <w:marTop w:val="0"/>
                          <w:marBottom w:val="0"/>
                          <w:divBdr>
                            <w:top w:val="none" w:sz="0" w:space="0" w:color="auto"/>
                            <w:left w:val="none" w:sz="0" w:space="0" w:color="auto"/>
                            <w:bottom w:val="none" w:sz="0" w:space="0" w:color="auto"/>
                            <w:right w:val="none" w:sz="0" w:space="0" w:color="auto"/>
                          </w:divBdr>
                          <w:divsChild>
                            <w:div w:id="4350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7060">
      <w:bodyDiv w:val="1"/>
      <w:marLeft w:val="0"/>
      <w:marRight w:val="0"/>
      <w:marTop w:val="0"/>
      <w:marBottom w:val="0"/>
      <w:divBdr>
        <w:top w:val="none" w:sz="0" w:space="0" w:color="auto"/>
        <w:left w:val="none" w:sz="0" w:space="0" w:color="auto"/>
        <w:bottom w:val="none" w:sz="0" w:space="0" w:color="auto"/>
        <w:right w:val="none" w:sz="0" w:space="0" w:color="auto"/>
      </w:divBdr>
      <w:divsChild>
        <w:div w:id="1727486001">
          <w:marLeft w:val="0"/>
          <w:marRight w:val="0"/>
          <w:marTop w:val="0"/>
          <w:marBottom w:val="0"/>
          <w:divBdr>
            <w:top w:val="none" w:sz="0" w:space="0" w:color="auto"/>
            <w:left w:val="none" w:sz="0" w:space="0" w:color="auto"/>
            <w:bottom w:val="none" w:sz="0" w:space="0" w:color="auto"/>
            <w:right w:val="none" w:sz="0" w:space="0" w:color="auto"/>
          </w:divBdr>
          <w:divsChild>
            <w:div w:id="1373531179">
              <w:marLeft w:val="0"/>
              <w:marRight w:val="0"/>
              <w:marTop w:val="0"/>
              <w:marBottom w:val="0"/>
              <w:divBdr>
                <w:top w:val="none" w:sz="0" w:space="0" w:color="auto"/>
                <w:left w:val="none" w:sz="0" w:space="0" w:color="auto"/>
                <w:bottom w:val="none" w:sz="0" w:space="0" w:color="auto"/>
                <w:right w:val="none" w:sz="0" w:space="0" w:color="auto"/>
              </w:divBdr>
              <w:divsChild>
                <w:div w:id="33971836">
                  <w:marLeft w:val="0"/>
                  <w:marRight w:val="0"/>
                  <w:marTop w:val="0"/>
                  <w:marBottom w:val="0"/>
                  <w:divBdr>
                    <w:top w:val="none" w:sz="0" w:space="0" w:color="auto"/>
                    <w:left w:val="none" w:sz="0" w:space="0" w:color="auto"/>
                    <w:bottom w:val="none" w:sz="0" w:space="0" w:color="auto"/>
                    <w:right w:val="none" w:sz="0" w:space="0" w:color="auto"/>
                  </w:divBdr>
                  <w:divsChild>
                    <w:div w:id="1528520597">
                      <w:marLeft w:val="0"/>
                      <w:marRight w:val="0"/>
                      <w:marTop w:val="0"/>
                      <w:marBottom w:val="0"/>
                      <w:divBdr>
                        <w:top w:val="none" w:sz="0" w:space="0" w:color="auto"/>
                        <w:left w:val="none" w:sz="0" w:space="0" w:color="auto"/>
                        <w:bottom w:val="none" w:sz="0" w:space="0" w:color="auto"/>
                        <w:right w:val="none" w:sz="0" w:space="0" w:color="auto"/>
                      </w:divBdr>
                      <w:divsChild>
                        <w:div w:id="2051105654">
                          <w:marLeft w:val="0"/>
                          <w:marRight w:val="0"/>
                          <w:marTop w:val="0"/>
                          <w:marBottom w:val="0"/>
                          <w:divBdr>
                            <w:top w:val="none" w:sz="0" w:space="0" w:color="auto"/>
                            <w:left w:val="none" w:sz="0" w:space="0" w:color="auto"/>
                            <w:bottom w:val="none" w:sz="0" w:space="0" w:color="auto"/>
                            <w:right w:val="none" w:sz="0" w:space="0" w:color="auto"/>
                          </w:divBdr>
                          <w:divsChild>
                            <w:div w:id="20356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doc.echr.coe.int/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64941-8378-4EF9-9279-7CE12D2A48CA}">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853B0D2-70D1-4498-BF97-6B974511D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43D3BC-6CCE-4ABE-B31A-51338672901E}">
  <ds:schemaRefs>
    <ds:schemaRef ds:uri="http://schemas.microsoft.com/sharepoint/v3/contenttype/forms"/>
  </ds:schemaRefs>
</ds:datastoreItem>
</file>

<file path=customXml/itemProps4.xml><?xml version="1.0" encoding="utf-8"?>
<ds:datastoreItem xmlns:ds="http://schemas.openxmlformats.org/officeDocument/2006/customXml" ds:itemID="{C892E5A7-6F82-4C5D-9747-242B3D5C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4020</Words>
  <Characters>22914</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2018-04-11T11:03:00Z</dcterms:created>
  <dcterms:modified xsi:type="dcterms:W3CDTF">2018-04-11T11:03:00Z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15074/08</vt:lpwstr>
  </property>
  <property fmtid="{D5CDD505-2E9C-101B-9397-08002B2CF9AE}" pid="4" name="CASEID">
    <vt:lpwstr>499248</vt:lpwstr>
  </property>
  <property fmtid="{D5CDD505-2E9C-101B-9397-08002B2CF9AE}" pid="5" name="ContentTypeId">
    <vt:lpwstr>0x010100558EB02BDB9E204AB350EDD385B68E10</vt:lpwstr>
  </property>
</Properties>
</file>